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道县西洲街道办事处</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 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ind w:left="720" w:firstLine="600"/>
        <w:rPr>
          <w:rFonts w:ascii="仿宋_GB2312" w:hAnsi="宋体"/>
          <w:sz w:val="30"/>
          <w:szCs w:val="30"/>
        </w:rPr>
      </w:pPr>
      <w:r>
        <w:rPr>
          <w:rFonts w:hint="eastAsia" w:ascii="仿宋_GB2312" w:hAnsi="宋体"/>
          <w:sz w:val="30"/>
          <w:szCs w:val="30"/>
        </w:rPr>
        <w:t>根据《中华人民共和国宪法》规定，本单位主要工作职责是：</w:t>
      </w:r>
      <w:r>
        <w:rPr>
          <w:rFonts w:hint="eastAsia" w:ascii="仿宋_GB2312"/>
          <w:sz w:val="30"/>
          <w:szCs w:val="30"/>
        </w:rPr>
        <w:t>执行本级人民代表大会的决议和上级国家行政机关的决定和命令，管理本行政区域内的行政工作。</w:t>
      </w:r>
      <w:r>
        <w:rPr>
          <w:rFonts w:hint="eastAsia" w:ascii="仿宋_GB2312" w:hAnsi="宋体"/>
          <w:sz w:val="30"/>
          <w:szCs w:val="30"/>
        </w:rPr>
        <w:t xml:space="preserve">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ind w:firstLine="750" w:firstLineChars="250"/>
        <w:rPr>
          <w:rFonts w:ascii="仿宋_GB2312"/>
          <w:sz w:val="30"/>
          <w:szCs w:val="30"/>
        </w:rPr>
      </w:pPr>
      <w:r>
        <w:rPr>
          <w:rFonts w:hint="eastAsia" w:ascii="仿宋_GB2312"/>
          <w:sz w:val="30"/>
          <w:szCs w:val="30"/>
        </w:rPr>
        <w:t>我单位为正科级全额拨款行政单位，内设办公室、财务室、民政室、计生办、综治办等5个职能部室。行政编制27人，事业编制55人。现实有在编人数82人。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rPr>
          <w:rFonts w:asciiTheme="minorEastAsia" w:hAnsiTheme="minorEastAsia"/>
          <w:bCs/>
          <w:kern w:val="0"/>
          <w:sz w:val="32"/>
          <w:szCs w:val="32"/>
        </w:rPr>
      </w:pP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21年部门决算汇总公开单位构成包括：西洲街道办事处单位本级。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道县西洲街道办事处</w:t>
            </w:r>
            <w:r>
              <w:rPr>
                <w:rFonts w:hint="eastAsia"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713.64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721.65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205.51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38.09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895.51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241.20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1,435.29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1,435.29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2091"/>
        <w:gridCol w:w="240"/>
        <w:gridCol w:w="1646"/>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0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33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道县西洲街道办事处</w:t>
            </w:r>
          </w:p>
        </w:tc>
        <w:tc>
          <w:tcPr>
            <w:tcW w:w="16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33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4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3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1,435.29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1,435.29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政协事务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19.67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19.67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19.67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19.67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财政事务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35.31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35.31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2010601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35.31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35.31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205.51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205.51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81.24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81.24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81.24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81.24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124.27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124.27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124.27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124.27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38.09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895.51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895.51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城乡社区公共设施</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159.42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159.42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2120399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其他城乡社区公共设施支出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159.42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159.42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国有土地使用权出让收入安排的支出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721.65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721.65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征地和拆迁补偿支出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721.65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721.65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其他城乡社区支出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14.44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14.44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2129999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其他城乡社区支出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14.44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14.44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农村综合改革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对村民委员会和村党支部的补助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241.20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道县西洲街道办事处</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1,435.29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1,242.28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193.01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54.98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54.98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政协事务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财政事务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205.51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205.51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895.51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702.50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193.01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城乡社区公共设施</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其他城乡社区公共设施支出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721.65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702.50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721.65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702.50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道县西洲街道办事处</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713.64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54.98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721.65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205.51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205.51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38.09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38.09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895.51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173.86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721.65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241.20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241.20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713.64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721.65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1,435.29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713.64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721.65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道县西洲街道办事处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32"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713.64</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539.78</w:t>
            </w: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173.86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54.98</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54.98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20102</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政协事务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19.67</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2010201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19.67</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19.67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20106</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财政事务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35.31</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35.31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2010601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35.31</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35.31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205.51</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205.51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81.24</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81.24</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124.27</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124.27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124.27</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124.27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38.09</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173.86</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173.86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21203</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城乡社区公共设施</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159.42</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159.42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2120399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其他城乡社区公共设施支出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159.42</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159.42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其他城乡社区支出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2129999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其他城乡社区支出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农村综合改革</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对村民委员会和村党支部的补助</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241.20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79"/>
        <w:gridCol w:w="3184"/>
        <w:gridCol w:w="949"/>
        <w:gridCol w:w="1170"/>
        <w:gridCol w:w="2197"/>
        <w:gridCol w:w="845"/>
        <w:gridCol w:w="1171"/>
        <w:gridCol w:w="3972"/>
        <w:gridCol w:w="84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val="en-US" w:eastAsia="zh-CN"/>
              </w:rPr>
              <w:t>道县西洲街道办事处</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744.9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131.80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232.6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11.65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221.5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25.5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5.6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81.9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81.1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4.1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1.7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38.1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25.2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32.7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46.7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365.57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1.26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0.12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49.2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316.32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8.6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12.7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8.9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1.57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1.6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20.2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1110.48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131.80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道县西洲街道办事处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道县西洲街道办事处</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1"/>
        <w:gridCol w:w="1234"/>
        <w:gridCol w:w="1849"/>
        <w:gridCol w:w="1893"/>
        <w:gridCol w:w="1893"/>
        <w:gridCol w:w="1893"/>
        <w:gridCol w:w="1882"/>
        <w:gridCol w:w="1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8"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9" w:type="dxa"/>
            <w:vMerge w:val="continue"/>
            <w:vAlign w:val="center"/>
          </w:tcPr>
          <w:p>
            <w:pPr>
              <w:widowControl/>
              <w:jc w:val="left"/>
              <w:rPr>
                <w:rFonts w:ascii="Times New Roman" w:hAnsi="Times New Roman" w:eastAsia="仿宋_GB2312" w:cs="Times New Roman"/>
                <w:b/>
                <w:kern w:val="0"/>
                <w:szCs w:val="21"/>
              </w:rPr>
            </w:pPr>
          </w:p>
        </w:tc>
        <w:tc>
          <w:tcPr>
            <w:tcW w:w="1893" w:type="dxa"/>
            <w:vMerge w:val="continue"/>
            <w:vAlign w:val="center"/>
          </w:tcPr>
          <w:p>
            <w:pPr>
              <w:widowControl/>
              <w:jc w:val="left"/>
              <w:rPr>
                <w:rFonts w:ascii="Times New Roman" w:hAnsi="Times New Roman" w:eastAsia="仿宋_GB2312" w:cs="Times New Roman"/>
                <w:b/>
                <w:kern w:val="0"/>
                <w:szCs w:val="21"/>
              </w:rPr>
            </w:pP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9"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82"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82"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849"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89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89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89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882"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849"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702.50</w:t>
            </w:r>
          </w:p>
        </w:tc>
        <w:tc>
          <w:tcPr>
            <w:tcW w:w="188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19.15</w:t>
            </w: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2195"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702.50</w:t>
            </w:r>
          </w:p>
        </w:tc>
        <w:tc>
          <w:tcPr>
            <w:tcW w:w="188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19.15</w:t>
            </w: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w:t>
            </w:r>
          </w:p>
        </w:tc>
        <w:tc>
          <w:tcPr>
            <w:tcW w:w="2195"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国有土地使用权出让收入安排的支出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702.50</w:t>
            </w:r>
          </w:p>
        </w:tc>
        <w:tc>
          <w:tcPr>
            <w:tcW w:w="188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19.15</w:t>
            </w: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2120801</w:t>
            </w:r>
          </w:p>
        </w:tc>
        <w:tc>
          <w:tcPr>
            <w:tcW w:w="2195"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征地和拆迁补偿支出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721.65</w:t>
            </w:r>
          </w:p>
        </w:tc>
        <w:tc>
          <w:tcPr>
            <w:tcW w:w="189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702.50</w:t>
            </w:r>
          </w:p>
        </w:tc>
        <w:tc>
          <w:tcPr>
            <w:tcW w:w="1882"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19.15</w:t>
            </w:r>
          </w:p>
        </w:tc>
        <w:tc>
          <w:tcPr>
            <w:tcW w:w="1849"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道县西洲街道办事处</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道县西洲街道办事处部门无国有资本经营收入，也没有安排国有资本经营支出，故本表无数据。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2021年度收、支总计1435.29万元。与上年相比，减少34.61万元，减少2%，主要是因为厉行节约、压缩开支。</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2021年度收入合计1435.29万元，其中：财政拨款收入1435.29万元，占100%；上级补助收入0万元，占0%；事业收入0万元，占0%：经营收入0万元，占0%；附属单位上缴收入0万元，占0%；其他收入0万元，占0%。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2021年度支出合计1435.29万元，其中：基本支出1242.28万元，占87%；项目支出193.01万元，占13%；上缴上级支出0万元，占0%；经营支出0万元，占0%；对附属单位补助支出0万元，占0%。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2021年度财政拨款收、支总计1435.29万元，与上年相比，减少34.61万元，减少2%，主要是因为厉行节约、压缩开支。</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2021年度财政拨款支出1435.29万元，占本年支出合计的100%，与上年相比，财政拨款支出减少34.61万元，减少2%，主要是因为厉行节约、压缩开支。</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1435.29万元，主要用于以下方面：一般公共服务（类）支出776.6万元，占54.1%；社会保障和就业（类）支出205.53万元，占14.3%;卫生健康支出（类）支出38.1万元,占3%；城乡社区（类）支出173.86万元，占12%；农林水支出（类）支出241.2万元，占16.6%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2021年度财政拨款支出年初预算数为1060.32万元，支出决算数为1435.29万元，完成年初预算的135%，其中：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1、一般公共服务支出（类）政协事务（款）行政运行（项）。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年初预算为17.3万元，支出决算为19.6万元，完成年初预算的113%，决算数大于年初预算数的主要原因是：工资调标。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2、一般公共服务支出（类）政府办公厅及相关事务（款）行政运行（项）。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年初预算为426.7万元，支出决算为533.5万元，完成年初预算的125%，决算数大于年初预算数的主要原因是：工资调标。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3、一般公共服务支出（类）政府办公厅及相关事务（款）其他政府办公室及相关机构事务支出（项）。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年初预算为117.8万元，支出决算为131.16万元，完成年初预算的111%，决算数大于年初预算数的主要原因是：疫情防控支出、印刷费增加。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4、一般公共服务支出（类）财政事务（款）行政运行（项）。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年初预算为30.9万元，支出决算为35.3万元，完成年初预算的114%，决算数大于年初预算数的主要原因是：工资调标。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5、一般公共服务支出（类）纪检监察事务（款）行政运行（项）。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年初预算为5.7万元，支出决算为6.9万元，完成年初预算的121%，决算数大于年初预算数的主要原因是：工资调标。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6、一般公共服务支出（类）纪检监察事务（款）其他纪检监察事务（项）。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年初预算为5万元，支出决算为0.6万元，完成年初预算的12%，决算数小于年初预算数的主要原因是：未及时报账。</w:t>
      </w:r>
    </w:p>
    <w:p>
      <w:pPr>
        <w:pStyle w:val="1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7、一般公共服务支出（类）党委办公厅及相关机构事务（款）行政运行（项）。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年初预算为27.86万元，支出决算为30.23万元，完成年初预算的108%，决算数大于年初预算数的主要原因是：工资调标。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8、一般公共服务支出（类）社会保障和就业支出（款）机关事业单位基本养老保险缴费支出（项）。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年初预算为72.69万元，支出决算为81.2万元，完成年初预算的117%，决算数大于年初预算数的主要原因是：工资基数调整、导致支出增加。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9、一般公共服务支出（类）抚恤（款）死亡抚恤（项）。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年初预算为100万元，支出决算为124.2万元，完成年初预算的124%，决算数大于（小于）年初预算数的主要原因是：实际抚恤金有所增加。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10、一般公共服务支出（类）行政事业单位医疗（款）行政单位医疗（项）。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年初预算为32.7万元，支出决算为38.1万元，完成年初预算的116%，决算数大于年初预算数的主要原因是：工资基数调整、导致支出增加。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11、一般公共服务支出（类）农林水支出（款）对村民委员会和村党支部的补助（项）。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年初预算为206.07万元，支出决算为241.3万元，完成年初预算的117%，决算数大于年初预算数的主要原因是：社区干部工资调标。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11、一般公共服务支出（类）政府办公室及相关机构事务（款）专项服务（项）。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年初预算为17.6万元，支出决算为19.2万元，完成年初预算的109%，决算数大于年初预算数的主要原因是：工资调标。</w:t>
      </w: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12、一般公共服务支出（类）城乡社区支出（款）小城镇基础设施建设（项）。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年初预算为0万元，支出决算为159.5万元，决算数大于年初预算数的主要原因是：老旧小区改造工程款为财政专批资金，不涉及预算。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12、一般公共服务支出（类）其他城乡社区支出（款）其他城乡社区支出（项）。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年初预算为0万元，支出决算为14.5万元，决算数大于（小于）年初预算数的主要原因是：大坪子棚户区改造款为财政结算资金专户款，应以工程进度拨付款项。</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1242.2万元，其中：人员经费1110.4万元，占基本支出的89.4%,主要包括基本工资、津贴补贴、奖金、伙食补助费、绩效工资、养老保险、医疗保险、其他社会保障保险、其他工资福利支出、对个人和家庭的补助；公用经费131.8万元，占基本支出的10.6%，主要包括办公费、印刷费、水费、电费、邮电费、差旅费、维修费、培训费、公务接待费、劳务费、工会经费、福利费、公务用车运行维护费、其他交通费用、其他商品和服务支出。</w:t>
      </w:r>
    </w:p>
    <w:p>
      <w:pPr>
        <w:pStyle w:val="10"/>
        <w:numPr>
          <w:ilvl w:val="0"/>
          <w:numId w:val="2"/>
        </w:numPr>
        <w:rPr>
          <w:rFonts w:hint="eastAsia" w:hAnsi="黑体"/>
          <w:b/>
          <w:sz w:val="32"/>
          <w:szCs w:val="32"/>
        </w:rPr>
      </w:pPr>
      <w:r>
        <w:rPr>
          <w:rFonts w:hint="eastAsia" w:hAnsi="黑体"/>
          <w:b/>
          <w:sz w:val="32"/>
          <w:szCs w:val="32"/>
        </w:rPr>
        <w:t>一般公共预算财政拨款“三公”经费支出决算情况说明</w:t>
      </w:r>
    </w:p>
    <w:p>
      <w:pPr>
        <w:pStyle w:val="10"/>
        <w:numPr>
          <w:numId w:val="0"/>
        </w:numPr>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2021年度“三公”经费财政拨款支出预算为10.3万元，支出决算为1.69万元，完成预算的16.4%，其中：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5.8万元，支出决算为0.12万元，完成预算的2%，决算数小于预算数的主要原因是2021年度公务接待费未及时报账，与上年相比减少4.78万元，减少99%,减少的主要原因是2021年度公务接待费未及时报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公务用车运行维护费支出预算为4.5元，支出决算为1.57万元，完成预算的34.8%，决算数小于预算数的主要原因是压缩开支、厉行节约，与上年相比减少0.23万元，减少12.7%,减少的主要原因是压缩开支、厉行节约。</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2021年度“三公”经费财政拨款支出决算中，公务接待费支出决算0.12万元，占7%,因公出国（境）费支出决算0万元，占0%,公务用车购置费及运行维护费支出决算1.57万元，占93%。其中：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2、公务接待费支出决算为0.12万元，全年共接待来访团组3个、来宾10人次，主要是其他乡镇交流、学习发生的接待支出。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3、公务用车购置费及运行维护费支出决算为1.57万元，其中：公务用车购置费0万元，公务用车更新0辆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公务用车运行维护费1.57万元，主要是车辆维修、保修及保养支出，截止2021年12月31日，我单位开支财政拨款的公务用车保有量为1辆。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2021年度政府性基金预算财政拨款收入0万元；年初结转和结余0万元；支出0万元，其中基本支出0万元，项目支出0万元；年末结转和结余0万元。具体情况如下：本单位无政府性基金收支</w:t>
      </w:r>
      <w:r>
        <w:rPr>
          <w:rFonts w:hint="eastAsia" w:asciiTheme="minorEastAsia" w:hAnsiTheme="minorEastAsia" w:eastAsiaTheme="minorEastAsia"/>
          <w:i/>
          <w:color w:val="000000" w:themeColor="text1"/>
          <w:sz w:val="32"/>
          <w:szCs w:val="32"/>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本部门2021年度机关运行经费支出131.8万元，比上年决算数减少18.9 万元，降低12.5%。主要原因是：压缩开支、厉行节约。</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2021年本部门开支会议费0万元；开支培训费1.26万元，用于开展去县外业务学习等培训，人数7人，内容为湖南省内业务学习培训等。</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0辆、应急保障用车0辆、执法执勤用车1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年度一般公共预算项目支出全面开展绩效自评，其中，一级项目5个，二级项目0个，共涉及资金173.84万元，占一般公共预算项目支出总额的100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年度皮革厂老旧小区改造、电信局老旧小区改造、烟草公司老旧小区改造、万家庄政府老旧小区改造、大坪子棚户区改造资金等。</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项目绩效自评综述：根据年初设定的绩效目标，项目绩效自评得分为98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分。项目全年预算数为173.84万元，执行数为173.84万元，完成预算的100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。项目绩效目标完成情况：及时拨付款项。发现的主要问题及原因：绩效监督不够完善。下一步改进措施：加强绩效自评监督。</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五、对附属单位补助支出：指事业单位用财政拨款收入之外的收入对附属单位补助发生的支出。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六、经营支出：指事业单位在专业业务活动及其辅助活动之外开展非独立核算经营活动发生的支出。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七、上缴上级支出：指事业单位按照财政部门和主管部门的规定上缴上级单位的支出。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八、项目支出:</w:t>
      </w:r>
      <w:r>
        <w:rPr>
          <w:rFonts w:hint="eastAsia"/>
        </w:rPr>
        <w:t xml:space="preserve"> </w:t>
      </w:r>
      <w:r>
        <w:rPr>
          <w:rFonts w:hint="eastAsia" w:cs="黑体" w:asciiTheme="minorEastAsia" w:hAnsiTheme="minorEastAsia"/>
          <w:color w:val="000000"/>
          <w:kern w:val="0"/>
          <w:sz w:val="32"/>
          <w:szCs w:val="32"/>
        </w:rPr>
        <w:t>指在为完成特定的工作任务和事业发展目标所发生的支出。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九、基本支出：指为保障机构正常运转、完成日常工作任务而发生的支出，包括人员经费和公用经费。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十、年末结转和结余资金：指本年度或以前年度预算安排、因客观条件发生变化无法按原计划实施，需要延迟到以后年度按有关规定继续使用的资金。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十一、结余分配：指事业单位按规定对非财政拨款结余资金提取的专用基金、缴纳的所得税和转入非财政拨款结余等。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十二、年初结转和结余：指单位上年结转本年使用的基本支出结转、项目支出结转和结余和经营结余。</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十三、使用非财政拨款结余:</w:t>
      </w:r>
      <w:r>
        <w:rPr>
          <w:rFonts w:hint="eastAsia"/>
        </w:rPr>
        <w:t xml:space="preserve"> </w:t>
      </w:r>
      <w:r>
        <w:rPr>
          <w:rFonts w:hint="eastAsia" w:cs="黑体" w:asciiTheme="minorEastAsia" w:hAnsiTheme="minorEastAsia"/>
          <w:color w:val="000000"/>
          <w:kern w:val="0"/>
          <w:sz w:val="32"/>
          <w:szCs w:val="32"/>
        </w:rPr>
        <w:t>指事业单位使用非财政拨款结余（原事业基金）弥补当年收支差额的数额。</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十四、其他收入：指单位取得的除上述“财政拨款收入”、“事业收入”、“经营收入”等以外的各项收入。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十五、事业收入：指事业单位开展专业业务活动及其辅助活动取得的收入，事业单位收到的财政专户实际核拨的教育收费等资金在此反映。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十六、经营收入：指事业单位在专业业务活动及其辅助活动之外开展非独立核算经营活动取得的收入。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十七、附属单位上缴收入：指事业单位附属独立核算单位按照有关规定上缴的收入。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十八、一般公共服务支出（类）政协事务（款）行政运行（项）：反映行政单位（包括实行公务员管理的事业单位）的基本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十九、一般公共服务支出（类）政府办公厅（室）及相关机构事务（款）行政运行（项）：反映行政单位（包括实行公务员管理的事业单位）的基本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二十、一般公共服务支出（类）财政事务（款）行政运行（项）：反映行政单位（包括实行公务员管理的事业单位）的基本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二十一、一般公共服务支出（类）纪检监察事务（款）行政运行（项）：反映行政单位（包括实行公务员管理的事业单位）的基本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二十二、一般公共服务支出（类）纪检监察事务（款）其他纪检监察事务支出（项）：反映除上述项目以外其他纪检监察事务方面的支出。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二十三、一般公共服务支出（类）党委办公厅（室）及相关机构事务（款）行政运行（项）：反映行政单位（包括实行公务员管理的事业单位）的基本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二十四、社会保障和就业支出（类）行政事业单位养老支出（款）机关事业单位基本养老保险缴费支出（项）：反映机关事业单位实施养老保险制度由单位缴纳的基本养老保险费支出。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二十五、社会保障和就业支出（类）抚恤（款）其他优抚支出（项）：反映除上述项目以外其他用于优抚方面的支出，包括向优抚 对象发放的价格临时补贴等支出。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二十六、卫生健康支出（类）行政事业单位医疗（款）行政单位医疗（项）：反映财政部门安排的行政单位（包括实行公务员管理的事业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二十七、城乡社区支出（类）其他城乡社区支出（款）其他城乡社区支出（项）：反映除上述项目以外其他用于城乡社区方面的支出。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二十八、农林水支出（类）农村综合改革（款）对村民委员会和村党支部的补助（项）：反映各级财政对村民委员会和村党支部的补助支出，以及支持建立县级基本财力保障机制安排的村级组织运转奖补资金。</w:t>
      </w:r>
    </w:p>
    <w:p>
      <w:pPr>
        <w:pStyle w:val="10"/>
        <w:jc w:val="center"/>
        <w:rPr>
          <w:rFonts w:asciiTheme="minorEastAsia" w:hAnsi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right="11" w:firstLine="800"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ascii="宋体" w:hAnsi="宋体"/>
          <w:sz w:val="30"/>
          <w:szCs w:val="30"/>
        </w:rPr>
      </w:pPr>
      <w:r>
        <w:rPr>
          <w:rFonts w:hint="eastAsia" w:ascii="宋体" w:hAnsi="宋体"/>
          <w:sz w:val="30"/>
          <w:szCs w:val="30"/>
        </w:rPr>
        <w:t>1．主要职能。</w:t>
      </w:r>
    </w:p>
    <w:p>
      <w:pPr>
        <w:ind w:firstLine="600" w:firstLineChars="200"/>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（4）为居民提供有效的科技、教育、文化、信息、卫生、体育、医疗、人才开发、劳动就业、安全生产等方面的服务。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ascii="宋体" w:hAnsi="宋体"/>
          <w:color w:val="010101"/>
          <w:sz w:val="30"/>
          <w:szCs w:val="30"/>
        </w:rPr>
      </w:pPr>
      <w:r>
        <w:rPr>
          <w:rFonts w:hint="eastAsia" w:ascii="宋体" w:hAnsi="宋体"/>
          <w:color w:val="010101"/>
          <w:sz w:val="30"/>
          <w:szCs w:val="30"/>
        </w:rPr>
        <w:t>（7）推行乡村振兴，推进新农村建设与美丽乡村建设。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（9）承办上级人民政府交办的其他事项。</w:t>
      </w:r>
    </w:p>
    <w:p>
      <w:pPr>
        <w:ind w:right="11" w:firstLine="450" w:firstLineChars="150"/>
        <w:rPr>
          <w:rFonts w:ascii="宋体" w:hAnsi="宋体"/>
          <w:sz w:val="30"/>
          <w:szCs w:val="30"/>
        </w:rPr>
      </w:pPr>
      <w:r>
        <w:rPr>
          <w:rFonts w:hint="eastAsia" w:ascii="宋体" w:hAnsi="宋体"/>
          <w:sz w:val="30"/>
          <w:szCs w:val="30"/>
        </w:rPr>
        <w:t>2．机构情况，包括当年变动情况及原因。</w:t>
      </w:r>
    </w:p>
    <w:p>
      <w:pPr>
        <w:ind w:firstLine="750" w:firstLineChars="250"/>
        <w:rPr>
          <w:rFonts w:ascii="仿宋_GB2312"/>
          <w:sz w:val="30"/>
          <w:szCs w:val="30"/>
        </w:rPr>
      </w:pPr>
      <w:r>
        <w:rPr>
          <w:rFonts w:hint="eastAsia" w:ascii="仿宋_GB2312"/>
          <w:sz w:val="30"/>
          <w:szCs w:val="30"/>
        </w:rPr>
        <w:t>我单位为正科级全额拨款行政单位，内设办公室、财务室、民政室、计生办、综治办等5个职能部室。行政编制27人，事业编制55人。现实有在编人数82人。</w:t>
      </w:r>
    </w:p>
    <w:p>
      <w:pPr>
        <w:ind w:right="11" w:firstLine="450" w:firstLineChars="150"/>
        <w:rPr>
          <w:rFonts w:ascii="宋体" w:hAnsi="宋体"/>
          <w:sz w:val="30"/>
          <w:szCs w:val="30"/>
        </w:rPr>
      </w:pPr>
      <w:r>
        <w:rPr>
          <w:rFonts w:hint="eastAsia" w:ascii="宋体" w:hAnsi="宋体"/>
          <w:sz w:val="30"/>
          <w:szCs w:val="30"/>
        </w:rPr>
        <w:t>3.部门整体支出规模、使用方向和主要内容</w:t>
      </w:r>
    </w:p>
    <w:p>
      <w:pPr>
        <w:ind w:firstLine="750" w:firstLineChars="250"/>
        <w:rPr>
          <w:rFonts w:ascii="仿宋_GB2312"/>
          <w:sz w:val="30"/>
          <w:szCs w:val="30"/>
        </w:rPr>
      </w:pPr>
      <w:r>
        <w:rPr>
          <w:rFonts w:hint="eastAsia" w:ascii="仿宋_GB2312"/>
          <w:sz w:val="30"/>
          <w:szCs w:val="30"/>
        </w:rPr>
        <w:t>1、收入决算:2021年收入决算数1435.29万元；其中：财政拨款收入1435.29万元。</w:t>
      </w:r>
    </w:p>
    <w:p>
      <w:pPr>
        <w:ind w:firstLine="750" w:firstLineChars="250"/>
        <w:rPr>
          <w:rFonts w:ascii="仿宋_GB2312"/>
          <w:sz w:val="30"/>
          <w:szCs w:val="30"/>
        </w:rPr>
      </w:pPr>
      <w:r>
        <w:rPr>
          <w:rFonts w:hint="eastAsia" w:ascii="仿宋_GB2312"/>
          <w:sz w:val="30"/>
          <w:szCs w:val="30"/>
        </w:rPr>
        <w:t>2、支出决算：2021年支出决算数1435.29万元；其中：一般公共服务支出776.62万元，社会保障和就业支出205.5万元，医疗卫生与计划生育支出38.1万元，城乡社区支出173.87万元，农林水支出241.2万元。</w:t>
      </w:r>
    </w:p>
    <w:p>
      <w:pPr>
        <w:numPr>
          <w:ilvl w:val="0"/>
          <w:numId w:val="3"/>
        </w:numPr>
        <w:ind w:right="11"/>
        <w:rPr>
          <w:rFonts w:ascii="宋体" w:hAnsi="宋体"/>
          <w:b/>
          <w:sz w:val="30"/>
          <w:szCs w:val="30"/>
        </w:rPr>
      </w:pPr>
      <w:r>
        <w:rPr>
          <w:rFonts w:hint="eastAsia" w:ascii="宋体" w:hAnsi="宋体"/>
          <w:b/>
          <w:sz w:val="30"/>
          <w:szCs w:val="30"/>
        </w:rPr>
        <w:t>一般公共预算支出情况</w:t>
      </w:r>
    </w:p>
    <w:p>
      <w:pPr>
        <w:numPr>
          <w:ilvl w:val="0"/>
          <w:numId w:val="4"/>
        </w:numPr>
        <w:ind w:left="901" w:right="11"/>
        <w:rPr>
          <w:rFonts w:ascii="宋体" w:hAnsi="宋体"/>
          <w:color w:val="010101"/>
          <w:sz w:val="30"/>
          <w:szCs w:val="30"/>
        </w:rPr>
      </w:pPr>
      <w:r>
        <w:rPr>
          <w:rFonts w:hint="eastAsia" w:ascii="宋体" w:hAnsi="宋体"/>
          <w:color w:val="010101"/>
          <w:sz w:val="30"/>
          <w:szCs w:val="30"/>
        </w:rPr>
        <w:t>基本支出情况</w:t>
      </w:r>
    </w:p>
    <w:p>
      <w:pPr>
        <w:ind w:firstLine="600" w:firstLineChars="200"/>
        <w:rPr>
          <w:rFonts w:ascii="宋体" w:hAnsi="宋体"/>
          <w:color w:val="010101"/>
          <w:sz w:val="30"/>
          <w:szCs w:val="30"/>
        </w:rPr>
      </w:pPr>
      <w:r>
        <w:rPr>
          <w:rFonts w:hint="eastAsia" w:ascii="宋体" w:hAnsi="宋体"/>
          <w:color w:val="010101"/>
          <w:sz w:val="30"/>
          <w:szCs w:val="30"/>
        </w:rPr>
        <w:t>用于为保障我单位正常运转、完成日常工作任务而发生的支出，包括人员经费和公用经费。2021年一般公共预算拨款支出1435.29万元，具体安排情况如下：</w:t>
      </w:r>
    </w:p>
    <w:p>
      <w:pPr>
        <w:ind w:firstLine="600" w:firstLineChars="200"/>
        <w:rPr>
          <w:rFonts w:ascii="宋体" w:hAnsi="宋体"/>
          <w:color w:val="010101"/>
          <w:sz w:val="30"/>
          <w:szCs w:val="30"/>
        </w:rPr>
      </w:pPr>
      <w:r>
        <w:rPr>
          <w:rFonts w:hint="eastAsia" w:ascii="宋体" w:hAnsi="宋体"/>
          <w:color w:val="010101"/>
          <w:sz w:val="30"/>
          <w:szCs w:val="30"/>
        </w:rPr>
        <w:t>1、基本支出：1242.29万元。</w:t>
      </w:r>
    </w:p>
    <w:p>
      <w:pPr>
        <w:ind w:firstLine="600" w:firstLineChars="200"/>
        <w:rPr>
          <w:rFonts w:ascii="宋体" w:hAnsi="宋体"/>
          <w:color w:val="010101"/>
          <w:sz w:val="30"/>
          <w:szCs w:val="30"/>
        </w:rPr>
      </w:pPr>
      <w:r>
        <w:rPr>
          <w:rFonts w:hint="eastAsia" w:ascii="宋体" w:hAnsi="宋体"/>
          <w:color w:val="010101"/>
          <w:sz w:val="30"/>
          <w:szCs w:val="30"/>
        </w:rPr>
        <w:t>2、项目支出：193万元。</w:t>
      </w:r>
    </w:p>
    <w:p>
      <w:pPr>
        <w:rPr>
          <w:rFonts w:ascii="仿宋_GB2312" w:hAnsi="黑体" w:eastAsia="仿宋_GB2312"/>
          <w:sz w:val="32"/>
          <w:szCs w:val="32"/>
        </w:rPr>
      </w:pPr>
      <w:r>
        <w:rPr>
          <w:rFonts w:hint="eastAsia" w:ascii="宋体" w:hAnsi="宋体"/>
          <w:color w:val="010101"/>
          <w:sz w:val="30"/>
          <w:szCs w:val="30"/>
        </w:rPr>
        <w:t>3、</w:t>
      </w:r>
      <w:r>
        <w:rPr>
          <w:rFonts w:hint="eastAsia" w:ascii="仿宋_GB2312" w:hAnsi="黑体" w:eastAsia="仿宋_GB2312"/>
          <w:sz w:val="32"/>
          <w:szCs w:val="32"/>
        </w:rPr>
        <w:t>机关运行经费情况</w:t>
      </w:r>
      <w:r>
        <w:rPr>
          <w:rFonts w:hint="eastAsia" w:ascii="仿宋_GB2312" w:hAnsi="宋体"/>
          <w:b/>
          <w:sz w:val="30"/>
          <w:szCs w:val="30"/>
        </w:rPr>
        <w:t>：</w:t>
      </w:r>
      <w:r>
        <w:rPr>
          <w:rFonts w:hint="eastAsia" w:ascii="仿宋_GB2312"/>
          <w:sz w:val="30"/>
          <w:szCs w:val="30"/>
        </w:rPr>
        <w:t>2021年机关运行经费131.8万元，主要包括办公费11.65万元，印刷费25.5万元，水费0.6万元，电费4.1万元，邮电费1.7万元，差旅费0.6万元，维修费32.7万元，培训费1.26万元，公务接待费0.12万元，劳务费8.6万元，工会经费12.7万元，福利8.9万元，公务用车运行维护费1.57万元，其他交通费用1.6万元，其他商品服务支出20.2万元。</w:t>
      </w:r>
    </w:p>
    <w:p>
      <w:pPr>
        <w:ind w:right="11" w:firstLine="600" w:firstLineChars="200"/>
        <w:rPr>
          <w:rFonts w:ascii="宋体" w:hAnsi="宋体"/>
          <w:sz w:val="30"/>
          <w:szCs w:val="30"/>
        </w:rPr>
      </w:pPr>
      <w:r>
        <w:rPr>
          <w:rFonts w:hint="eastAsia" w:ascii="宋体" w:hAnsi="宋体"/>
          <w:sz w:val="30"/>
          <w:szCs w:val="30"/>
        </w:rPr>
        <w:t>（二）项目支出情况</w:t>
      </w:r>
    </w:p>
    <w:p>
      <w:pPr>
        <w:ind w:right="11" w:firstLine="600" w:firstLineChars="200"/>
        <w:rPr>
          <w:rFonts w:ascii="宋体" w:hAnsi="宋体"/>
          <w:sz w:val="30"/>
          <w:szCs w:val="30"/>
        </w:rPr>
      </w:pPr>
      <w:r>
        <w:rPr>
          <w:rFonts w:hint="eastAsia" w:ascii="宋体" w:hAnsi="宋体"/>
          <w:sz w:val="30"/>
          <w:szCs w:val="30"/>
        </w:rPr>
        <w:t>一般公共预算财政拨款项目支出193万元，具体使用情况如下:</w:t>
      </w:r>
    </w:p>
    <w:p>
      <w:pPr>
        <w:ind w:right="11" w:firstLine="600" w:firstLineChars="200"/>
        <w:rPr>
          <w:rFonts w:ascii="宋体" w:hAnsi="宋体"/>
          <w:sz w:val="30"/>
          <w:szCs w:val="30"/>
        </w:rPr>
      </w:pPr>
      <w:r>
        <w:rPr>
          <w:rFonts w:hint="eastAsia" w:ascii="宋体" w:hAnsi="宋体"/>
          <w:sz w:val="30"/>
          <w:szCs w:val="30"/>
        </w:rPr>
        <w:t>老旧小区改造资金193万元。</w:t>
      </w:r>
    </w:p>
    <w:p>
      <w:pPr>
        <w:ind w:right="11" w:firstLine="600" w:firstLineChars="200"/>
        <w:rPr>
          <w:rFonts w:ascii="宋体" w:hAnsi="宋体"/>
          <w:sz w:val="30"/>
          <w:szCs w:val="30"/>
        </w:rPr>
      </w:pPr>
      <w:r>
        <w:rPr>
          <w:rFonts w:hint="eastAsia" w:ascii="宋体" w:hAnsi="宋体"/>
          <w:sz w:val="30"/>
          <w:szCs w:val="30"/>
        </w:rPr>
        <w:t>（三）“三公经费”预算与实际支出减少</w:t>
      </w:r>
    </w:p>
    <w:p>
      <w:pPr>
        <w:ind w:right="11" w:firstLine="600" w:firstLineChars="200"/>
        <w:rPr>
          <w:rFonts w:ascii="宋体" w:hAnsi="宋体"/>
          <w:sz w:val="30"/>
          <w:szCs w:val="30"/>
        </w:rPr>
      </w:pPr>
      <w:r>
        <w:rPr>
          <w:rFonts w:hint="eastAsia" w:ascii="宋体" w:hAnsi="宋体"/>
          <w:sz w:val="30"/>
          <w:szCs w:val="30"/>
        </w:rPr>
        <w:t>2021年度本单位“三公”经费总额为1.69万元，其中公务用车运行及维护费用1.57万元，公务接待费0.12万元。与预算相比减少了8.61万元。2021年公务用车购置数0台，车辆保有量1台，国内公务接待3批次，接待人数10人。</w:t>
      </w:r>
    </w:p>
    <w:p>
      <w:pPr>
        <w:pStyle w:val="5"/>
        <w:widowControl/>
        <w:spacing w:before="0" w:beforeAutospacing="0" w:after="0" w:afterAutospacing="0"/>
        <w:ind w:right="11" w:firstLine="600" w:firstLineChars="200"/>
        <w:rPr>
          <w:rFonts w:ascii="宋体" w:hAnsi="宋体"/>
          <w:b/>
          <w:bCs/>
          <w:color w:val="010101"/>
          <w:sz w:val="30"/>
          <w:szCs w:val="30"/>
        </w:rPr>
      </w:pPr>
      <w:r>
        <w:rPr>
          <w:rFonts w:hint="eastAsia" w:ascii="宋体" w:hAnsi="宋体"/>
          <w:b/>
          <w:bCs/>
          <w:color w:val="010101"/>
          <w:sz w:val="30"/>
          <w:szCs w:val="30"/>
        </w:rPr>
        <w:t>三、政府性基金预算支出情况</w:t>
      </w:r>
    </w:p>
    <w:p>
      <w:pPr>
        <w:ind w:left="901" w:right="11"/>
        <w:rPr>
          <w:rFonts w:ascii="宋体" w:hAnsi="宋体"/>
          <w:b/>
          <w:bCs/>
          <w:color w:val="010101"/>
          <w:sz w:val="30"/>
          <w:szCs w:val="30"/>
        </w:rPr>
      </w:pPr>
      <w:r>
        <w:rPr>
          <w:rFonts w:hint="eastAsia" w:ascii="宋体" w:hAnsi="宋体"/>
          <w:color w:val="010101"/>
          <w:sz w:val="30"/>
          <w:szCs w:val="30"/>
        </w:rPr>
        <w:t>道县西洲街道办事处2021年无政府性基金预算。</w:t>
      </w:r>
    </w:p>
    <w:p>
      <w:pPr>
        <w:ind w:right="11" w:firstLine="600" w:firstLineChars="200"/>
        <w:rPr>
          <w:rFonts w:ascii="宋体" w:hAnsi="宋体"/>
          <w:b/>
          <w:bCs/>
          <w:color w:val="010101"/>
          <w:sz w:val="30"/>
          <w:szCs w:val="30"/>
        </w:rPr>
      </w:pPr>
      <w:r>
        <w:rPr>
          <w:rFonts w:hint="eastAsia" w:ascii="宋体" w:hAnsi="宋体"/>
          <w:b/>
          <w:bCs/>
          <w:color w:val="010101"/>
          <w:sz w:val="30"/>
          <w:szCs w:val="30"/>
        </w:rPr>
        <w:t>四、</w:t>
      </w:r>
      <w:r>
        <w:rPr>
          <w:rFonts w:ascii="宋体" w:hAnsi="宋体"/>
          <w:b/>
          <w:bCs/>
          <w:color w:val="010101"/>
          <w:sz w:val="30"/>
          <w:szCs w:val="30"/>
        </w:rPr>
        <w:t>国有资本经营预算支出情况</w:t>
      </w:r>
    </w:p>
    <w:p>
      <w:pPr>
        <w:ind w:left="901" w:right="11"/>
        <w:rPr>
          <w:rFonts w:ascii="宋体" w:hAnsi="宋体"/>
          <w:color w:val="010101"/>
          <w:sz w:val="30"/>
          <w:szCs w:val="30"/>
        </w:rPr>
      </w:pPr>
      <w:r>
        <w:rPr>
          <w:rFonts w:hint="eastAsia" w:ascii="宋体" w:hAnsi="宋体"/>
          <w:color w:val="010101"/>
          <w:sz w:val="30"/>
          <w:szCs w:val="30"/>
        </w:rPr>
        <w:t>道县西洲街道办事处2021年无国有资本经营预算支出。</w:t>
      </w:r>
    </w:p>
    <w:p>
      <w:pPr>
        <w:ind w:right="11" w:firstLine="600" w:firstLineChars="200"/>
        <w:rPr>
          <w:rFonts w:ascii="宋体" w:hAnsi="宋体"/>
          <w:b/>
          <w:color w:val="010101"/>
          <w:sz w:val="30"/>
          <w:szCs w:val="30"/>
        </w:rPr>
      </w:pPr>
      <w:r>
        <w:rPr>
          <w:rFonts w:hint="eastAsia" w:ascii="宋体" w:hAnsi="宋体"/>
          <w:b/>
          <w:bCs/>
          <w:color w:val="010101"/>
          <w:sz w:val="30"/>
          <w:szCs w:val="30"/>
        </w:rPr>
        <w:t>五</w:t>
      </w:r>
      <w:r>
        <w:rPr>
          <w:rFonts w:hint="eastAsia" w:ascii="宋体" w:hAnsi="宋体"/>
          <w:bCs/>
          <w:color w:val="010101"/>
          <w:sz w:val="30"/>
          <w:szCs w:val="30"/>
        </w:rPr>
        <w:t>、</w:t>
      </w:r>
      <w:r>
        <w:rPr>
          <w:rFonts w:ascii="宋体" w:hAnsi="宋体"/>
          <w:b/>
          <w:color w:val="010101"/>
          <w:sz w:val="30"/>
          <w:szCs w:val="30"/>
        </w:rPr>
        <w:t>社会保险基金预算支出情况</w:t>
      </w:r>
    </w:p>
    <w:p>
      <w:pPr>
        <w:ind w:left="901" w:right="11"/>
        <w:rPr>
          <w:rFonts w:ascii="宋体" w:hAnsi="宋体"/>
          <w:bCs/>
          <w:color w:val="010101"/>
          <w:sz w:val="30"/>
          <w:szCs w:val="30"/>
        </w:rPr>
      </w:pPr>
      <w:r>
        <w:rPr>
          <w:rFonts w:ascii="宋体" w:hAnsi="宋体"/>
          <w:bCs/>
          <w:color w:val="010101"/>
          <w:sz w:val="30"/>
          <w:szCs w:val="30"/>
        </w:rPr>
        <w:t>道县西洲街道办事处</w:t>
      </w:r>
      <w:r>
        <w:rPr>
          <w:rFonts w:hint="eastAsia" w:ascii="宋体" w:hAnsi="宋体"/>
          <w:bCs/>
          <w:color w:val="010101"/>
          <w:sz w:val="30"/>
          <w:szCs w:val="30"/>
        </w:rPr>
        <w:t>2021</w:t>
      </w:r>
      <w:r>
        <w:rPr>
          <w:rFonts w:ascii="宋体" w:hAnsi="宋体"/>
          <w:bCs/>
          <w:color w:val="010101"/>
          <w:sz w:val="30"/>
          <w:szCs w:val="30"/>
        </w:rPr>
        <w:t>年无社会保险基金预算支出。</w:t>
      </w:r>
    </w:p>
    <w:p>
      <w:pPr>
        <w:ind w:right="11" w:firstLine="600" w:firstLineChars="200"/>
        <w:rPr>
          <w:rFonts w:ascii="宋体" w:hAnsi="宋体"/>
          <w:b/>
          <w:color w:val="010101"/>
          <w:sz w:val="30"/>
          <w:szCs w:val="30"/>
        </w:rPr>
      </w:pPr>
      <w:r>
        <w:rPr>
          <w:rFonts w:hint="eastAsia" w:ascii="宋体" w:hAnsi="宋体"/>
          <w:b/>
          <w:color w:val="010101"/>
          <w:sz w:val="30"/>
          <w:szCs w:val="30"/>
        </w:rPr>
        <w:t>六、部门整体支出绩效情况</w:t>
      </w:r>
    </w:p>
    <w:p>
      <w:pPr>
        <w:spacing w:line="520" w:lineRule="exact"/>
        <w:ind w:firstLine="600" w:firstLineChars="200"/>
        <w:rPr>
          <w:rFonts w:ascii="宋体" w:hAnsi="宋体"/>
          <w:b/>
          <w:color w:val="010101"/>
          <w:sz w:val="30"/>
          <w:szCs w:val="30"/>
        </w:rPr>
      </w:pPr>
      <w:r>
        <w:rPr>
          <w:rFonts w:hint="eastAsia" w:ascii="宋体" w:hAnsi="宋体"/>
          <w:b/>
          <w:color w:val="010101"/>
          <w:sz w:val="30"/>
          <w:szCs w:val="30"/>
        </w:rPr>
        <w:t>1.精准施策，狠抓疫情防控</w:t>
      </w:r>
    </w:p>
    <w:p>
      <w:pPr>
        <w:spacing w:line="520" w:lineRule="exact"/>
        <w:ind w:firstLine="600" w:firstLineChars="200"/>
        <w:rPr>
          <w:rFonts w:ascii="宋体" w:hAnsi="宋体"/>
          <w:sz w:val="30"/>
          <w:szCs w:val="30"/>
        </w:rPr>
      </w:pPr>
      <w:r>
        <w:rPr>
          <w:rFonts w:hint="eastAsia" w:ascii="宋体" w:hAnsi="宋体"/>
          <w:sz w:val="30"/>
          <w:szCs w:val="30"/>
        </w:rPr>
        <w:t>疫情防控。年初，结合辖区实际，制作发放张贴《致西洲街道全体居民做好疫情防控的一封信》，提高居民群众的疫情防控意识。同时通过微信群、朋友圈、广播喇叭等形式推送防控宣传最新消息，及时准确发布疫情防控信息。加强对物流、商超、宾馆、酒店、市场等重点场所、重点部位、重点环节、重点人员的监督检查，全面落实“五包一”、“4321”管控机制，对重点地区来道人员做好双向排查、建好信息台账、实施精准闭环管控。8月9日，县委政府在辖区内组织核酸检测演练，街道全力配合，动员群众参与演练，做好现场秩序稳控。疫苗接种。领导干部入户宣讲疫苗免费接种政策，面对面为居民群众解答疑惑，消除群众顾虑。利用“云办公”的及时性，建立起街道、社区、医院等多部门多层级接种工作微信群，在接种点竖起“居民一家亲”微信群二维码指示牌，引导居民入群及时掌握疫苗分配量，利用多种媒介广泛宣传新冠疫苗免费接种工作，播放新冠疫苗接种的标语宣传片，普及新冠肺炎疫苗接种知识，营造浓厚的宣传氛围及强大攻势。党政主要负责同志下沉一线、靠前指挥，坚持每天不下两次到接种现场进行“打卡”。并在每个接种日派遣两名街道干部到现场全天候值班值守，保障接种现场组织秩序。截止到目前，12岁及以上人群接种任务25627人，全程接种率118%，位于全县前列。</w:t>
      </w:r>
    </w:p>
    <w:p>
      <w:pPr>
        <w:spacing w:line="520" w:lineRule="exact"/>
        <w:ind w:firstLine="600" w:firstLineChars="200"/>
        <w:rPr>
          <w:rFonts w:ascii="宋体" w:hAnsi="宋体"/>
          <w:b/>
          <w:color w:val="010101"/>
          <w:sz w:val="30"/>
          <w:szCs w:val="30"/>
        </w:rPr>
      </w:pPr>
      <w:r>
        <w:rPr>
          <w:rFonts w:hint="eastAsia" w:ascii="宋体" w:hAnsi="宋体"/>
          <w:b/>
          <w:color w:val="010101"/>
          <w:sz w:val="30"/>
          <w:szCs w:val="30"/>
        </w:rPr>
        <w:t>2.保障民生，提升生活指数</w:t>
      </w:r>
    </w:p>
    <w:p>
      <w:pPr>
        <w:spacing w:line="520" w:lineRule="exact"/>
        <w:ind w:firstLine="600" w:firstLineChars="200"/>
        <w:rPr>
          <w:rFonts w:ascii="宋体" w:hAnsi="宋体"/>
          <w:sz w:val="30"/>
          <w:szCs w:val="30"/>
        </w:rPr>
      </w:pPr>
      <w:r>
        <w:rPr>
          <w:rFonts w:hint="eastAsia" w:ascii="宋体" w:hAnsi="宋体"/>
          <w:sz w:val="30"/>
          <w:szCs w:val="30"/>
        </w:rPr>
        <w:t>（1）低保工作。落实低保动态管理和应保尽保，截止到年底，全街道保障城市低保对象共计630户、享受低保1903人。低保资金已全部实行银行直发到户。认真做好低保对象的专项整治和年审排查工作，从6月开始，对全街道的城乡低保对象进行专项整治和年审排查。通过低保年审排查，共取消不符合条件城镇低保户41户，新审批城市低保4户，提标0户。确保生活困难群众应保尽保，应退尽退、进退及时。</w:t>
      </w:r>
    </w:p>
    <w:p>
      <w:pPr>
        <w:spacing w:line="520" w:lineRule="exact"/>
        <w:ind w:firstLine="600" w:firstLineChars="200"/>
        <w:rPr>
          <w:rFonts w:ascii="宋体" w:hAnsi="宋体"/>
          <w:sz w:val="30"/>
          <w:szCs w:val="30"/>
        </w:rPr>
      </w:pPr>
      <w:r>
        <w:rPr>
          <w:rFonts w:hint="eastAsia" w:ascii="宋体" w:hAnsi="宋体"/>
          <w:sz w:val="30"/>
          <w:szCs w:val="30"/>
        </w:rPr>
        <w:t>（2）大病救助和临时救助工作。按照“扶贫帮困，分类施救”的指导思想，将城乡低保户、特困人员、重点优抚对象作为救助的重点对象，全年发放孤儿救助金5人、贫困家庭和优抚对象临时救助42人，共计发放52800元。与此同时，实现了与新农合、城镇居民医疗保险等社会保障制度的有效对接。</w:t>
      </w:r>
    </w:p>
    <w:p>
      <w:pPr>
        <w:spacing w:line="520" w:lineRule="exact"/>
        <w:ind w:firstLine="600" w:firstLineChars="200"/>
        <w:rPr>
          <w:rFonts w:ascii="宋体" w:hAnsi="宋体"/>
          <w:sz w:val="30"/>
          <w:szCs w:val="30"/>
        </w:rPr>
      </w:pPr>
      <w:r>
        <w:rPr>
          <w:rFonts w:hint="eastAsia" w:ascii="宋体" w:hAnsi="宋体"/>
          <w:sz w:val="30"/>
          <w:szCs w:val="30"/>
        </w:rPr>
        <w:t>（3）城乡居民养老保险工作。全面开展养老保险待遇核查工作。按照“边查边改、以查促改”的原则，立足自身实际，实行“三包”责任制，逐户逐人逐卡一一核实，截止到目前，我街道完成对15名死亡人员多领2.0449万元养老金追缴工作，1名疑似身份状态异常违规领取待遇核查，7名一次性补发大额待遇且待遇状态多次变更核查，6名疑似生存状态异常违规领取待遇核实。同时对辖区居民社会保障卡及待遇发放情况进行核查，对461名60岁以上未参保人员落实参保,对21855名持卡人员，1441名养老金待遇发放人员生存状态及身份信息深入核查，切实将社保基金风险隐患排查整改工作抓在手上，落于实处。</w:t>
      </w:r>
    </w:p>
    <w:p>
      <w:pPr>
        <w:spacing w:line="520" w:lineRule="exact"/>
        <w:ind w:firstLine="600" w:firstLineChars="200"/>
        <w:rPr>
          <w:rFonts w:ascii="宋体" w:hAnsi="宋体"/>
          <w:sz w:val="30"/>
          <w:szCs w:val="30"/>
        </w:rPr>
      </w:pPr>
      <w:r>
        <w:rPr>
          <w:rFonts w:hint="eastAsia" w:ascii="宋体" w:hAnsi="宋体"/>
          <w:sz w:val="30"/>
          <w:szCs w:val="30"/>
        </w:rPr>
        <w:t>4.社会事务工作有序开展。开展对退役军人和现役军人家属采集信息工作，发放生活补助的优抚对象197人。发放残疾人重度补贴和困难补贴共计5307人次，共计发放37.2万元。</w:t>
      </w:r>
      <w:r>
        <w:rPr>
          <w:rFonts w:ascii="宋体" w:hAnsi="宋体"/>
          <w:sz w:val="30"/>
          <w:szCs w:val="30"/>
        </w:rPr>
        <w:t>健全救助制度</w:t>
      </w:r>
      <w:r>
        <w:rPr>
          <w:rFonts w:hint="eastAsia" w:ascii="宋体" w:hAnsi="宋体"/>
          <w:sz w:val="30"/>
          <w:szCs w:val="30"/>
        </w:rPr>
        <w:t>，</w:t>
      </w:r>
      <w:r>
        <w:rPr>
          <w:rFonts w:ascii="宋体" w:hAnsi="宋体"/>
          <w:sz w:val="30"/>
          <w:szCs w:val="30"/>
        </w:rPr>
        <w:t>建立贫特困家庭、残疾人家庭劳动力档案，重点做好该两类家庭劳动力就业安排和困难，完善城乡最低生活保障管理及城乡大病救助工作，搞好重大节日走访慰问贫困群众活动，争取更多的社会资金帮助困难群众，并建立完善对自然灾害和突发事故的救灾体系</w:t>
      </w:r>
      <w:r>
        <w:rPr>
          <w:rFonts w:hint="eastAsia" w:ascii="宋体" w:hAnsi="宋体"/>
          <w:sz w:val="30"/>
          <w:szCs w:val="30"/>
        </w:rPr>
        <w:t>。</w:t>
      </w:r>
    </w:p>
    <w:p>
      <w:pPr>
        <w:spacing w:line="520" w:lineRule="exact"/>
        <w:ind w:firstLine="600" w:firstLineChars="200"/>
        <w:rPr>
          <w:rFonts w:ascii="宋体" w:hAnsi="宋体"/>
          <w:sz w:val="30"/>
          <w:szCs w:val="30"/>
        </w:rPr>
      </w:pPr>
      <w:r>
        <w:rPr>
          <w:rFonts w:hint="eastAsia" w:ascii="宋体" w:hAnsi="宋体"/>
          <w:sz w:val="30"/>
          <w:szCs w:val="30"/>
        </w:rPr>
        <w:t>3.助力创建，建设宜居家园</w:t>
      </w:r>
    </w:p>
    <w:p>
      <w:pPr>
        <w:spacing w:line="520" w:lineRule="exact"/>
        <w:ind w:firstLine="600" w:firstLineChars="200"/>
        <w:rPr>
          <w:rFonts w:ascii="宋体" w:hAnsi="宋体"/>
          <w:sz w:val="30"/>
          <w:szCs w:val="30"/>
        </w:rPr>
      </w:pPr>
      <w:r>
        <w:rPr>
          <w:rFonts w:hint="eastAsia" w:ascii="宋体" w:hAnsi="宋体"/>
          <w:sz w:val="30"/>
          <w:szCs w:val="30"/>
        </w:rPr>
        <w:t>（1）创文创卫工作。打造文明创建活动阵地新样板，建设一批新时代文明实践所和实践广场、百姓舞台，新增宣传栏300余块，广泛宣传习近平新时代中国特色社会主义思想。落实“一包三”总体要求，在责任路段开展文明劝导。每周四下午组织干部职工在街道责任路段开展文明创建，制止“六乱”现象，维护交通、市容秩序，组织社区干部群众整治环境卫生，清除卫生死角，清运积存垃圾。发动居民广泛参与文明创建，组建志愿服务队伍，开展法律援助、纠纷调处、敬老爱老、困难家庭帮扶等志愿服务活动。</w:t>
      </w:r>
    </w:p>
    <w:p>
      <w:pPr>
        <w:spacing w:line="520" w:lineRule="exact"/>
        <w:ind w:firstLine="600" w:firstLineChars="200"/>
        <w:rPr>
          <w:rFonts w:ascii="宋体" w:hAnsi="宋体"/>
          <w:sz w:val="30"/>
          <w:szCs w:val="30"/>
        </w:rPr>
      </w:pPr>
      <w:r>
        <w:rPr>
          <w:rFonts w:hint="eastAsia" w:ascii="宋体" w:hAnsi="宋体"/>
          <w:sz w:val="30"/>
          <w:szCs w:val="30"/>
        </w:rPr>
        <w:t>（2）环境保护工作。坚持专项排查、定期检查和日常巡查相结合的环保机制。坚持党工委班子成员带队巡查制度，加强打击查处环境违法违规问题。针对辖区内存在污染的企业和商户，摸清底数，分门别类制定工作台账。对道州大市场居民反映强烈的鸡鸭狗羊屠宰场所，通过劝离整改、停产整治、取缔关停等措施，及时整改到位。全年共计查处污染企业和商户个人共计138起。全面落实林长制、河长制，加大巡河巡林力度，实行党政领导带队巡河巡林，对河流污染、破坏林地等现象，发现一起处理一起。截止年底，两级河长林长共计开展巡河巡林800余次。</w:t>
      </w:r>
    </w:p>
    <w:p>
      <w:pPr>
        <w:spacing w:line="520" w:lineRule="exact"/>
        <w:ind w:firstLine="600" w:firstLineChars="200"/>
        <w:rPr>
          <w:rFonts w:ascii="宋体" w:hAnsi="宋体"/>
          <w:sz w:val="30"/>
          <w:szCs w:val="30"/>
        </w:rPr>
      </w:pPr>
      <w:r>
        <w:rPr>
          <w:rFonts w:hint="eastAsia" w:ascii="宋体" w:hAnsi="宋体"/>
          <w:sz w:val="30"/>
          <w:szCs w:val="30"/>
        </w:rPr>
        <w:t>（3）禁毒创生工作。禁毒工作：加强禁毒宣传，组织禁毒宣传车6台，分别在6个社区流动广播宣传，做到家喻户晓。同时在人流密集区域以“健康人生  绿色无毒”为主题开展禁毒知识讲座，发放宣传资料，在辖区中、小学开展防毒禁毒教育，为中小学生普及毒品安全知识，将毒品防治教育与文明教育、疫情防控相结合。创生工作。按照国家生态文明建设示范县创建工作的总体要求和职责分工，建立健全了资源共享、信息互补、通力合作、协调推进的工作机制。严格执法。，认真开展环保专项行动，对违法排污、群众反映强烈的污染实行全面整治。2021年，全年共打击整治40余起群众反映强烈的污染问题。</w:t>
      </w:r>
    </w:p>
    <w:p>
      <w:pPr>
        <w:spacing w:line="520" w:lineRule="exact"/>
        <w:ind w:firstLine="600" w:firstLineChars="200"/>
        <w:rPr>
          <w:rFonts w:ascii="宋体" w:hAnsi="宋体"/>
          <w:sz w:val="30"/>
          <w:szCs w:val="30"/>
        </w:rPr>
      </w:pPr>
      <w:r>
        <w:rPr>
          <w:rFonts w:hint="eastAsia" w:ascii="宋体" w:hAnsi="宋体"/>
          <w:sz w:val="30"/>
          <w:szCs w:val="30"/>
        </w:rPr>
        <w:t>（4）自然资源保护、拆违控违工作。自然资源保护：全面实行土地执法监察动态巡查责任制和执法责任制，将所辖区域分片承包，明确巡查责任人，切实加强监察力度。认真接待群众关于自然资源方面来信来访，全年共受理人民群众来信来访8起。已办结8件，办结率为100%。拆违控违工作：组织各社区做好调查摸底工作，对发现的违章建筑，发现一处，查处一处、制止一处、拆除一处。在大坪子棚户区改造（改扩翻）项目中，街道联合县城管、自然资源等部门迎难而上，放弃节假日休息，通过组织代表考察、座谈、入户走访、张贴发放告知书等多种形式拆除违章建筑5000余平方米。</w:t>
      </w:r>
    </w:p>
    <w:p>
      <w:pPr>
        <w:spacing w:line="520" w:lineRule="exact"/>
        <w:ind w:firstLine="600" w:firstLineChars="200"/>
        <w:rPr>
          <w:rFonts w:ascii="宋体" w:hAnsi="宋体"/>
          <w:sz w:val="30"/>
          <w:szCs w:val="30"/>
        </w:rPr>
      </w:pPr>
      <w:r>
        <w:rPr>
          <w:rFonts w:hint="eastAsia" w:ascii="宋体" w:hAnsi="宋体"/>
          <w:sz w:val="30"/>
          <w:szCs w:val="30"/>
        </w:rPr>
        <w:t>4.稳控结合，筑牢平安保障</w:t>
      </w:r>
    </w:p>
    <w:p>
      <w:pPr>
        <w:spacing w:line="520" w:lineRule="exact"/>
        <w:ind w:firstLine="600" w:firstLineChars="200"/>
        <w:rPr>
          <w:rFonts w:ascii="宋体" w:hAnsi="宋体"/>
          <w:sz w:val="30"/>
          <w:szCs w:val="30"/>
        </w:rPr>
      </w:pPr>
      <w:r>
        <w:rPr>
          <w:rFonts w:hint="eastAsia" w:ascii="宋体" w:hAnsi="宋体"/>
          <w:sz w:val="30"/>
          <w:szCs w:val="30"/>
        </w:rPr>
        <w:t>（1）平安建设。一是排查矛盾纠纷。坚持“预防为主，教育疏导，依法调处，防止激化”的原则，认真做好矛盾纠纷排查工作。坚持月排查、月治理、月上报工作制度，及时向县里主管部门上报矛盾纠纷排查情况。全年调处矛盾纠纷16起，排查化解率达到90%以上，解决欧姣花、黄占月等积案。全年3起非正常死亡案件及时得到处理，未造成不良社会影响。成功化解了公园西路土地办证纠纷、玉龙湾业主办证纠纷、大润发超市业主维权纠纷，取得了良好的社会反响。二是强化打击治理。以扫黑除恶专项斗争为抓手，认真开展线索摸排，开展了打击“三强三堵”“三贷三霸”、“校园周边环境治理”、“企业周边环境治理”、“出租屋专项治理”等专项治理活动取得了显著效果，有效净化了辖区治安环境。三是加大稳控力度。对辖区内的不稳定因素，第一时间介入、研判、处理，做到把隐患解决在初期、消除在萌芽。对于疑难复杂问题，主动向县里领导汇报求得支持。对于群众诉求，有政策法律依据的想法推动解决；无理的，耐心细致做解释工作。做好重要时间点和节假日人员稳控，全年没有发生群体性事件、“民转刑”案件、非正常上访及网络舆情。四是加强平安宣传。充分利用节假日和人口比较集中的场所，开展创建活动宣传，组织开展了4次大规模平安创建宣传活动，出动宣传车20余辆次，刷写张贴标语1700余条，发放以打击外流盗窃、外流贩毒等为主要内容的宣传单6万多份。街道开展了评选平安社区的活动，共组织居民微信投票2万余次，掀起了平安创建的良好氛围。组建夜巡队伍12支，在各辖区内背街小巷开展夜巡，震慑不法分子。</w:t>
      </w:r>
    </w:p>
    <w:p>
      <w:pPr>
        <w:spacing w:line="520" w:lineRule="exact"/>
        <w:ind w:firstLine="600" w:firstLineChars="200"/>
        <w:rPr>
          <w:rFonts w:ascii="宋体" w:hAnsi="宋体"/>
          <w:sz w:val="30"/>
          <w:szCs w:val="30"/>
        </w:rPr>
      </w:pPr>
      <w:r>
        <w:rPr>
          <w:rFonts w:hint="eastAsia" w:ascii="宋体" w:hAnsi="宋体"/>
          <w:sz w:val="30"/>
          <w:szCs w:val="30"/>
        </w:rPr>
        <w:t>（2）应急管理工作。健全组织机构，成立了街道“两委两队工作机构”，利用宣传车、流动喇叭、悬挂横幅、致广大市民一封信等方式，开展了防“小火亡人、一氧化碳中毒”宣传工作，提高辖区内居民用电用火安全意识，发放各类宣传资料20000余份。组织干部职工到应急管理局进行烟花爆竹法律法规专业知识培训，积极配合县安委会、应急管理局的专项治理行动计划，对辖区内的烟花爆竹违规经营商户以及电子礼花进行了规范整改。协同交警大队持续开展酒后驾驶、校园周边道路交通安全、机动车无牌无证、货运机动车违法行为等专项整治活动。开展“打非治违”专项行动，深入小江口路、爱莲商业广场内，对各类企业进行了全方位的安全隐患排查，关停整改企业5家。采取“四查两谈”的方式对辖区内公共场所安全生产和消防安全进行了全方位、地毯式的大检查。结合“多合一”消防安全专项整治，共排查检查“多合一”场所766家，其他经营场所800余家，开展执法检查32次，检查各类生产经营单位93家，罚款处理19家，罚款金额7200元，责令限期整改80余家。</w:t>
      </w:r>
    </w:p>
    <w:p>
      <w:pPr>
        <w:spacing w:line="520" w:lineRule="exact"/>
        <w:ind w:firstLine="600" w:firstLineChars="200"/>
        <w:rPr>
          <w:rFonts w:ascii="宋体" w:hAnsi="宋体"/>
          <w:sz w:val="30"/>
          <w:szCs w:val="30"/>
        </w:rPr>
      </w:pPr>
      <w:r>
        <w:rPr>
          <w:rFonts w:hint="eastAsia" w:ascii="宋体" w:hAnsi="宋体"/>
          <w:sz w:val="30"/>
          <w:szCs w:val="30"/>
        </w:rPr>
        <w:t>（3）食品安全工作。将食品安全工作纳入街道重点工作，与其他中心工作同安排同部署，制定《西洲街道食品安全考核办法》，落实主体责任，明确班子成员食品安全工作责任，成立并调整街道食品安全监督管理站。加强对社区督导考核，建立健全社区食品安全协管员制度，严格兑现协管员补助，积极对接相关职能部门，严格实施全程监管。加强监督检查，全年共党政领导对辖区内食品安全工作共计开展检查70余次。截止2021年末，街道没有发生一起食品安全事故。</w:t>
      </w:r>
    </w:p>
    <w:p>
      <w:pPr>
        <w:spacing w:line="520" w:lineRule="exact"/>
        <w:ind w:firstLine="600" w:firstLineChars="200"/>
        <w:rPr>
          <w:rFonts w:ascii="宋体" w:hAnsi="宋体"/>
          <w:sz w:val="30"/>
          <w:szCs w:val="30"/>
        </w:rPr>
      </w:pPr>
      <w:r>
        <w:rPr>
          <w:rFonts w:hint="eastAsia" w:ascii="宋体" w:hAnsi="宋体"/>
          <w:sz w:val="30"/>
          <w:szCs w:val="30"/>
        </w:rPr>
        <w:t>（4）防电诈工作。多次专题召开联席会议，安排部署缅北窝点人员劝投逼返、涉诈重点人员摸排与管控、打击整治“两卡”等，领导坚持调度研判，组织广大青年志愿者践行“六进”活动，持续推进“防被骗、拒参骗、反诈骗”宣传宣教工作，加大下载安装防电诈APP力度，落实“三包一”管控。街道对41名电信网络新型违法犯罪前科人员、高危人员、缅北回流人员、“两卡”人员建立了 “三包一”管控台账。街道和社区在人流密集区域通过广泛粘贴宣传标语、发放宣传单、拉横幅等方式开展广泛宣传。截止目前，共计发放宣传单70000余份，悬挂横幅140条，粘贴通知、公告2000余张。街道防电诈APP安装达1.3万余人次。签订《承诺书》2.3万余份。劝返在缅北人员3人。</w:t>
      </w:r>
    </w:p>
    <w:p>
      <w:pPr>
        <w:ind w:left="623"/>
        <w:rPr>
          <w:rFonts w:ascii="宋体" w:hAnsi="宋体" w:cs="宋体"/>
          <w:b/>
          <w:sz w:val="32"/>
          <w:szCs w:val="32"/>
        </w:rPr>
      </w:pPr>
      <w:r>
        <w:rPr>
          <w:rFonts w:hint="eastAsia" w:ascii="宋体" w:hAnsi="宋体" w:cs="宋体"/>
          <w:b/>
          <w:sz w:val="32"/>
          <w:szCs w:val="32"/>
        </w:rPr>
        <w:t>（二）</w:t>
      </w:r>
      <w:r>
        <w:rPr>
          <w:rFonts w:hint="eastAsia" w:ascii="宋体" w:hAnsi="宋体"/>
          <w:b/>
          <w:sz w:val="32"/>
          <w:szCs w:val="32"/>
        </w:rPr>
        <w:t>制度执行比较到位，提高了资金使用效益。</w:t>
      </w:r>
    </w:p>
    <w:p>
      <w:pPr>
        <w:ind w:firstLine="640" w:firstLineChars="200"/>
        <w:rPr>
          <w:rFonts w:ascii="宋体" w:hAnsi="宋体"/>
          <w:sz w:val="32"/>
          <w:szCs w:val="32"/>
        </w:rPr>
      </w:pPr>
      <w:r>
        <w:rPr>
          <w:rFonts w:hint="eastAsia" w:ascii="宋体" w:hAnsi="宋体"/>
          <w:sz w:val="32"/>
          <w:szCs w:val="32"/>
        </w:rPr>
        <w:t>2021年度加强了财务管理，落实厉行节约的各项规定，“三公”经费实现了有效压缩。</w:t>
      </w:r>
    </w:p>
    <w:p>
      <w:pPr>
        <w:adjustRightInd w:val="0"/>
        <w:snapToGrid w:val="0"/>
        <w:spacing w:line="600" w:lineRule="exact"/>
        <w:ind w:firstLine="640" w:firstLineChars="200"/>
        <w:rPr>
          <w:rFonts w:ascii="宋体" w:hAnsi="宋体"/>
          <w:sz w:val="32"/>
          <w:szCs w:val="32"/>
        </w:rPr>
      </w:pPr>
      <w:r>
        <w:rPr>
          <w:rFonts w:hint="eastAsia" w:ascii="宋体" w:hAnsi="宋体"/>
          <w:sz w:val="32"/>
          <w:szCs w:val="32"/>
        </w:rPr>
        <w:t>2021年度的“三公”经费中，无因公出国（境）费用，公务接待费和公务用车购置及运行费实际支出8.39万元，比预算减少了4.23万元。</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八、存在的主要问题</w:t>
      </w:r>
    </w:p>
    <w:p>
      <w:pPr>
        <w:adjustRightInd w:val="0"/>
        <w:snapToGrid w:val="0"/>
        <w:spacing w:line="600" w:lineRule="exact"/>
        <w:ind w:firstLine="600" w:firstLineChars="200"/>
        <w:rPr>
          <w:rFonts w:ascii="宋体" w:hAnsi="宋体"/>
          <w:sz w:val="30"/>
          <w:szCs w:val="30"/>
        </w:rPr>
      </w:pPr>
      <w:r>
        <w:rPr>
          <w:rFonts w:hint="eastAsia" w:ascii="宋体" w:hAnsi="宋体"/>
          <w:sz w:val="30"/>
          <w:szCs w:val="30"/>
        </w:rPr>
        <w:t>1.少部分票据附件不太齐全。</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九、下一步改进措施和有关建议</w:t>
      </w:r>
    </w:p>
    <w:p>
      <w:pPr>
        <w:ind w:firstLine="800" w:firstLineChars="250"/>
        <w:rPr>
          <w:rFonts w:ascii="宋体" w:hAnsi="宋体" w:cs="宋体"/>
          <w:sz w:val="32"/>
          <w:szCs w:val="32"/>
        </w:rPr>
      </w:pPr>
      <w:r>
        <w:rPr>
          <w:rFonts w:hint="eastAsia" w:ascii="宋体" w:hAnsi="宋体" w:cs="宋体"/>
          <w:sz w:val="32"/>
          <w:szCs w:val="32"/>
        </w:rPr>
        <w:t>（一）规范账务处理，提高财务信息质量</w:t>
      </w:r>
      <w:r>
        <w:rPr>
          <w:rFonts w:ascii="宋体" w:hAnsi="宋体" w:cs="宋体"/>
          <w:sz w:val="32"/>
          <w:szCs w:val="32"/>
        </w:rPr>
        <w:t> </w:t>
      </w:r>
      <w:r>
        <w:rPr>
          <w:rFonts w:hint="eastAsia" w:ascii="宋体" w:hAnsi="宋体" w:cs="宋体"/>
          <w:sz w:val="32"/>
          <w:szCs w:val="32"/>
        </w:rPr>
        <w:t>。</w:t>
      </w:r>
    </w:p>
    <w:p>
      <w:pPr>
        <w:ind w:firstLine="800" w:firstLineChars="250"/>
        <w:rPr>
          <w:rFonts w:ascii="宋体" w:hAnsi="宋体" w:cs="宋体"/>
          <w:sz w:val="32"/>
          <w:szCs w:val="32"/>
        </w:rPr>
      </w:pPr>
      <w:r>
        <w:rPr>
          <w:rFonts w:hint="eastAsia" w:ascii="宋体" w:hAnsi="宋体" w:cs="宋体"/>
          <w:sz w:val="32"/>
          <w:szCs w:val="32"/>
        </w:rPr>
        <w:t>严格按照《会计法》、《行政单位会计制度》、《行政单位财务规则》等规定执行财务核算，并结合实际情况，完整、准确地披露相关信息，做到决算与预算相衔接。</w:t>
      </w:r>
    </w:p>
    <w:p>
      <w:pPr>
        <w:ind w:firstLine="800" w:firstLineChars="250"/>
        <w:rPr>
          <w:rFonts w:ascii="宋体" w:hAnsi="宋体" w:cs="宋体"/>
          <w:sz w:val="32"/>
          <w:szCs w:val="32"/>
        </w:rPr>
      </w:pPr>
      <w:r>
        <w:rPr>
          <w:rFonts w:hint="eastAsia" w:ascii="宋体" w:hAnsi="宋体" w:cs="宋体"/>
          <w:sz w:val="32"/>
          <w:szCs w:val="32"/>
        </w:rPr>
        <w:t>（二）落实管理制度，进一步加强接待管理。</w:t>
      </w:r>
    </w:p>
    <w:p>
      <w:pPr>
        <w:adjustRightInd w:val="0"/>
        <w:snapToGrid w:val="0"/>
        <w:spacing w:line="600" w:lineRule="exact"/>
        <w:rPr>
          <w:rFonts w:ascii="宋体" w:hAnsi="宋体"/>
          <w:sz w:val="32"/>
          <w:szCs w:val="32"/>
        </w:rPr>
      </w:pPr>
      <w:r>
        <w:rPr>
          <w:rFonts w:hint="eastAsia" w:ascii="宋体" w:hAnsi="宋体"/>
          <w:sz w:val="32"/>
          <w:szCs w:val="32"/>
        </w:rPr>
        <w:t>按照《道县党政机关公务接待管理实施细则》的加强接待管理工作，对被接待单位人员要及时索取接待函，对存在的问题认真进行整改。</w:t>
      </w:r>
    </w:p>
    <w:p>
      <w:pPr>
        <w:adjustRightInd w:val="0"/>
        <w:snapToGrid w:val="0"/>
        <w:spacing w:line="600" w:lineRule="exact"/>
        <w:ind w:firstLine="640"/>
        <w:rPr>
          <w:rFonts w:ascii="宋体" w:hAnsi="宋体"/>
          <w:sz w:val="32"/>
          <w:szCs w:val="32"/>
        </w:rPr>
      </w:pPr>
      <w:r>
        <w:rPr>
          <w:rFonts w:hint="eastAsia" w:ascii="宋体" w:hAnsi="宋体"/>
          <w:sz w:val="32"/>
          <w:szCs w:val="32"/>
        </w:rPr>
        <w:t>（三）加强会计机构队伍建设</w:t>
      </w:r>
    </w:p>
    <w:p>
      <w:pPr>
        <w:adjustRightInd w:val="0"/>
        <w:snapToGrid w:val="0"/>
        <w:spacing w:line="600" w:lineRule="exact"/>
        <w:ind w:firstLine="640"/>
        <w:rPr>
          <w:rFonts w:ascii="宋体" w:hAnsi="宋体"/>
          <w:sz w:val="32"/>
          <w:szCs w:val="32"/>
        </w:rPr>
      </w:pPr>
      <w:r>
        <w:rPr>
          <w:rFonts w:hint="eastAsia" w:ascii="宋体" w:hAnsi="宋体"/>
          <w:sz w:val="32"/>
          <w:szCs w:val="32"/>
        </w:rPr>
        <w:t>按照《中华人民共和国会计法》要求建立会计机关，配备齐会计人员，做到不相容岗位分设，加强会计监督。</w:t>
      </w:r>
    </w:p>
    <w:p>
      <w:pPr>
        <w:ind w:firstLine="640" w:firstLineChars="200"/>
        <w:rPr>
          <w:rFonts w:ascii="宋体" w:hAnsi="宋体"/>
          <w:sz w:val="32"/>
          <w:szCs w:val="32"/>
        </w:rPr>
      </w:pPr>
      <w:r>
        <w:rPr>
          <w:rFonts w:hint="eastAsia" w:ascii="宋体" w:hAnsi="宋体"/>
          <w:sz w:val="32"/>
          <w:szCs w:val="32"/>
        </w:rPr>
        <w:t>（四）对大额无说明支出补充附件及说明，完善手续，各项专项资金纳入专项资金专户核算，工程项目按规定进行招投标。</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154BE"/>
    <w:multiLevelType w:val="singleLevel"/>
    <w:tmpl w:val="D0F154BE"/>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50432E"/>
    <w:multiLevelType w:val="singleLevel"/>
    <w:tmpl w:val="4350432E"/>
    <w:lvl w:ilvl="0" w:tentative="0">
      <w:start w:val="2"/>
      <w:numFmt w:val="chineseCounting"/>
      <w:suff w:val="nothing"/>
      <w:lvlText w:val="%1、"/>
      <w:lvlJc w:val="left"/>
      <w:pPr>
        <w:ind w:left="901" w:firstLine="0"/>
      </w:pPr>
      <w:rPr>
        <w:rFonts w:hint="eastAsia"/>
      </w:rPr>
    </w:lvl>
  </w:abstractNum>
  <w:abstractNum w:abstractNumId="3">
    <w:nsid w:val="5E94AC96"/>
    <w:multiLevelType w:val="singleLevel"/>
    <w:tmpl w:val="5E94AC9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0F42A0"/>
    <w:rsid w:val="00103957"/>
    <w:rsid w:val="00124A1F"/>
    <w:rsid w:val="00152C6D"/>
    <w:rsid w:val="00162D39"/>
    <w:rsid w:val="001678BD"/>
    <w:rsid w:val="00182373"/>
    <w:rsid w:val="001A67DB"/>
    <w:rsid w:val="001C1E8E"/>
    <w:rsid w:val="001C3C29"/>
    <w:rsid w:val="001D51E5"/>
    <w:rsid w:val="001E080D"/>
    <w:rsid w:val="001E53D0"/>
    <w:rsid w:val="001F0C3B"/>
    <w:rsid w:val="00202C14"/>
    <w:rsid w:val="00202C82"/>
    <w:rsid w:val="00214427"/>
    <w:rsid w:val="00226CB7"/>
    <w:rsid w:val="0024345A"/>
    <w:rsid w:val="00264552"/>
    <w:rsid w:val="00264EF9"/>
    <w:rsid w:val="00265724"/>
    <w:rsid w:val="0027426B"/>
    <w:rsid w:val="002771E8"/>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660BC"/>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E3D9E"/>
    <w:rsid w:val="005F2103"/>
    <w:rsid w:val="005F3D1C"/>
    <w:rsid w:val="0062378F"/>
    <w:rsid w:val="00641842"/>
    <w:rsid w:val="00651EEC"/>
    <w:rsid w:val="00686673"/>
    <w:rsid w:val="00691E8C"/>
    <w:rsid w:val="006A22C4"/>
    <w:rsid w:val="006A348B"/>
    <w:rsid w:val="006A351B"/>
    <w:rsid w:val="006A44AC"/>
    <w:rsid w:val="006B0422"/>
    <w:rsid w:val="006C1B53"/>
    <w:rsid w:val="006D7730"/>
    <w:rsid w:val="006E5284"/>
    <w:rsid w:val="006F3EB5"/>
    <w:rsid w:val="00702113"/>
    <w:rsid w:val="00702E34"/>
    <w:rsid w:val="00704395"/>
    <w:rsid w:val="00710FE7"/>
    <w:rsid w:val="00717621"/>
    <w:rsid w:val="00720FF1"/>
    <w:rsid w:val="00727A53"/>
    <w:rsid w:val="00787B42"/>
    <w:rsid w:val="007C4539"/>
    <w:rsid w:val="007F3657"/>
    <w:rsid w:val="00812ED5"/>
    <w:rsid w:val="008277D9"/>
    <w:rsid w:val="0084478C"/>
    <w:rsid w:val="0086597A"/>
    <w:rsid w:val="0086638C"/>
    <w:rsid w:val="008A3E8D"/>
    <w:rsid w:val="008B337A"/>
    <w:rsid w:val="009237C4"/>
    <w:rsid w:val="00944C48"/>
    <w:rsid w:val="00950252"/>
    <w:rsid w:val="00967F5D"/>
    <w:rsid w:val="0099054F"/>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F391E"/>
    <w:rsid w:val="00C10681"/>
    <w:rsid w:val="00C3049A"/>
    <w:rsid w:val="00C31B1E"/>
    <w:rsid w:val="00C77645"/>
    <w:rsid w:val="00CE04C3"/>
    <w:rsid w:val="00CE76A0"/>
    <w:rsid w:val="00D05D23"/>
    <w:rsid w:val="00D148C6"/>
    <w:rsid w:val="00D17A8A"/>
    <w:rsid w:val="00D415BA"/>
    <w:rsid w:val="00D572CB"/>
    <w:rsid w:val="00D63780"/>
    <w:rsid w:val="00D644EE"/>
    <w:rsid w:val="00D75489"/>
    <w:rsid w:val="00D95051"/>
    <w:rsid w:val="00DD06FF"/>
    <w:rsid w:val="00DD5FE9"/>
    <w:rsid w:val="00DF2133"/>
    <w:rsid w:val="00E00C7A"/>
    <w:rsid w:val="00E209CF"/>
    <w:rsid w:val="00E37D6C"/>
    <w:rsid w:val="00E55B68"/>
    <w:rsid w:val="00E67BE6"/>
    <w:rsid w:val="00E8683C"/>
    <w:rsid w:val="00EA2B72"/>
    <w:rsid w:val="00EC3C09"/>
    <w:rsid w:val="00F74360"/>
    <w:rsid w:val="00F90100"/>
    <w:rsid w:val="00FB462F"/>
    <w:rsid w:val="00FE16FA"/>
    <w:rsid w:val="00FE328A"/>
    <w:rsid w:val="00FE4D95"/>
    <w:rsid w:val="00FE6269"/>
    <w:rsid w:val="00FF5CD6"/>
    <w:rsid w:val="05D44C82"/>
    <w:rsid w:val="172F015A"/>
    <w:rsid w:val="21955962"/>
    <w:rsid w:val="224F7C90"/>
    <w:rsid w:val="3FEC0A15"/>
    <w:rsid w:val="59987F3E"/>
    <w:rsid w:val="64F57949"/>
    <w:rsid w:val="73B85BA3"/>
    <w:rsid w:val="76E0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6415-9AF9-4EB1-9891-050F5E8D61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15231</Words>
  <Characters>17755</Characters>
  <Lines>147</Lines>
  <Paragraphs>41</Paragraphs>
  <TotalTime>0</TotalTime>
  <ScaleCrop>false</ScaleCrop>
  <LinksUpToDate>false</LinksUpToDate>
  <CharactersWithSpaces>18760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2023-09-25T01:39:00Z</dcterms:created>
  <dc:creator>李航 null</dc:creator>
  <cp:lastModifiedBy>Administrator</cp:lastModifiedBy>
  <cp:lastPrinted>2022-07-27T12:55:00Z</cp:lastPrinted>
  <dcterms:modified xsi:type="dcterms:W3CDTF">2023-09-28T05:29:01Z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