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道县图书馆部门决算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第一部分XX单位概况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道县图书馆单位概况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1、保存借阅资料，促进社会经济文化发展。</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2、采编与储藏，图书资料借阅，知识培训与社会教育。</w:t>
      </w:r>
    </w:p>
    <w:p>
      <w:pPr>
        <w:ind w:firstLine="1120" w:firstLineChars="350"/>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jc w:val="left"/>
        <w:rPr>
          <w:rFonts w:hint="eastAsia"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道县图书馆</w:t>
      </w:r>
      <w:r>
        <w:rPr>
          <w:rFonts w:hint="eastAsia" w:asciiTheme="minorEastAsia" w:hAnsiTheme="minorEastAsia"/>
          <w:bCs/>
          <w:kern w:val="0"/>
          <w:sz w:val="32"/>
          <w:szCs w:val="32"/>
        </w:rPr>
        <w:t>单位内设机构包括：办公室、财务室、业务辅导与参考咨询室、外借室、阅览室、少儿借阅室、电子阅览室、多媒体室</w:t>
      </w:r>
      <w:r>
        <w:rPr>
          <w:rFonts w:hint="eastAsia" w:asciiTheme="minorEastAsia" w:hAnsiTheme="minorEastAsia"/>
          <w:bCs/>
          <w:kern w:val="0"/>
          <w:sz w:val="32"/>
          <w:szCs w:val="32"/>
          <w:lang w:eastAsia="zh-CN"/>
        </w:rPr>
        <w:t>。</w:t>
      </w:r>
    </w:p>
    <w:p>
      <w:pPr>
        <w:jc w:val="left"/>
        <w:rPr>
          <w:rFonts w:hint="eastAsia" w:ascii="黑体" w:hAnsi="黑体" w:eastAsiaTheme="minorEastAsia"/>
          <w:sz w:val="28"/>
          <w:szCs w:val="28"/>
          <w:lang w:eastAsia="zh-CN"/>
        </w:rPr>
      </w:pP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道县图书馆</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只有道县图书馆</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道县图书馆</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137.65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5.31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152.59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152.59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729"/>
        <w:gridCol w:w="126"/>
        <w:gridCol w:w="1786"/>
        <w:gridCol w:w="1588"/>
        <w:gridCol w:w="1588"/>
        <w:gridCol w:w="1588"/>
        <w:gridCol w:w="1588"/>
        <w:gridCol w:w="1588"/>
        <w:gridCol w:w="1588"/>
        <w:gridCol w:w="2259"/>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kern w:val="0"/>
                <w:sz w:val="24"/>
                <w:szCs w:val="24"/>
              </w:rPr>
              <w:t xml:space="preserve"> 道县图书馆</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152.59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152.59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137.65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103.12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34.53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道县图书馆</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152.59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118.06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34.53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137.65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道县图书馆</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137.65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137.65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9.63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152.59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道县图书馆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152.59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118.06</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34.53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137.65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103.12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137.65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103.12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103.12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103.12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图书馆</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34.53</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12"/>
        <w:gridCol w:w="3276"/>
        <w:gridCol w:w="758"/>
        <w:gridCol w:w="1200"/>
        <w:gridCol w:w="2260"/>
        <w:gridCol w:w="758"/>
        <w:gridCol w:w="1201"/>
        <w:gridCol w:w="4090"/>
        <w:gridCol w:w="75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道县图书馆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37.53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9.62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6.01</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87.38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30.68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道县图书馆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3.07</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道县图书馆</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宋体" w:hAnsi="宋体" w:eastAsia="宋体" w:cs="宋体"/>
          <w:kern w:val="0"/>
          <w:sz w:val="24"/>
          <w:szCs w:val="24"/>
        </w:rPr>
        <w:t xml:space="preserve"> </w:t>
      </w:r>
      <w:r>
        <w:rPr>
          <w:rFonts w:hint="eastAsia" w:ascii="Times New Roman" w:hAnsi="Times New Roman" w:eastAsia="仿宋_GB2312" w:cs="Times New Roman"/>
          <w:kern w:val="0"/>
          <w:szCs w:val="21"/>
        </w:rPr>
        <w:t>道县图书馆没有政府性基金收入，也没有使用政府性基金安排的支出，故本表无数据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道县图书馆</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仿宋_GB2312" w:cs="宋体"/>
                <w:kern w:val="0"/>
                <w:sz w:val="24"/>
                <w:szCs w:val="24"/>
                <w:lang w:eastAsia="zh-CN"/>
              </w:rPr>
            </w:pP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rPr>
              <w:t>道县图书馆没有</w:t>
            </w:r>
            <w:r>
              <w:rPr>
                <w:rFonts w:hint="eastAsia" w:ascii="Times New Roman" w:hAnsi="Times New Roman" w:eastAsia="仿宋_GB2312" w:cs="Times New Roman"/>
                <w:kern w:val="0"/>
                <w:szCs w:val="21"/>
                <w:lang w:val="en-US" w:eastAsia="zh-CN"/>
              </w:rPr>
              <w:t>国有资本经营预算收入，也没有安排国有资本经营预算支出，故</w:t>
            </w:r>
            <w:r>
              <w:rPr>
                <w:rFonts w:hint="eastAsia" w:ascii="Times New Roman" w:hAnsi="Times New Roman" w:eastAsia="仿宋_GB2312" w:cs="Times New Roman"/>
                <w:kern w:val="0"/>
                <w:szCs w:val="21"/>
              </w:rPr>
              <w:t>本表无数据</w:t>
            </w:r>
            <w:r>
              <w:rPr>
                <w:rFonts w:hint="eastAsia" w:ascii="Times New Roman" w:hAnsi="Times New Roman" w:eastAsia="仿宋_GB2312" w:cs="Times New Roman"/>
                <w:kern w:val="0"/>
                <w:szCs w:val="21"/>
                <w:lang w:eastAsia="zh-CN"/>
              </w:rPr>
              <w:t>）</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22.56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17.35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152.5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118.06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77.36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34.54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22.64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22.56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17.35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22.56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17.35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项目收支增加。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137.65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90.21</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9.63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6.31</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5.31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156.41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97.56</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1、文化旅游体育与传媒支出(类)文化和旅游（款）行政运行（项）     </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88.94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103.12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115.94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。决算数大于年初预算数的主要原因是工资基数调整导致支出增加。</w:t>
      </w:r>
    </w:p>
    <w:p>
      <w:pPr>
        <w:pStyle w:val="9"/>
        <w:numPr>
          <w:ilvl w:val="0"/>
          <w:numId w:val="0"/>
        </w:numPr>
        <w:ind w:leftChars="-94"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2、文化旅游体育与传媒支出(类)文化和旅游（款）图书馆（项）      </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34.53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92.57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。决算数小于年初预算数的主要原因是调减项目支出。</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3、社会保障和就业支出（类）行政事业单位养老支出（款）机关事业单位职业年金缴费支出（项）</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9.62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87.45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。决算数小于年初预算数的主要原因是工资基数调整导致支出减少。</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4、社会保障和就业支出（类）行政事业单位养老支出（款）机关事业单位基本养老保险缴费支出（项）。</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。决算数小于年初预算数的主要原因是工资基数调整减少。</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卫生健康支出（类）行政事业单位医疗（款）行政单位医疗（项）</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96.55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。决算数大于年初预算数的主要原因是工资基数调整导致支出减少。</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118.06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87.38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74.01</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30.68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25.99</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84.25</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bookmarkStart w:id="5" w:name="_GoBack"/>
      <w:bookmarkEnd w:id="5"/>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87.81</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91.1</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免费开放经验交流等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3.07</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3.07</w:t>
      </w:r>
      <w:r>
        <w:rPr>
          <w:rFonts w:hint="eastAsia" w:asciiTheme="minorEastAsia" w:hAnsiTheme="minorEastAsia"/>
          <w:sz w:val="32"/>
          <w:szCs w:val="32"/>
        </w:rPr>
        <w:t>万元，主要是</w:t>
      </w:r>
      <w:r>
        <w:rPr>
          <w:rFonts w:hint="eastAsia" w:asciiTheme="minorEastAsia" w:hAnsiTheme="minorEastAsia"/>
          <w:sz w:val="32"/>
          <w:szCs w:val="32"/>
          <w:lang w:eastAsia="zh-CN"/>
        </w:rPr>
        <w:t>流动服务车司机工资及燃油维修费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2021年度政府性基金预算财政拨款收入0万元；年初结转和结余0万元；支出0万元，其中基本支出0万元，项目支出0万元；年末结转和结余0万元。具体情况如下：本单位无政府性基金收支。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30.68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比上年增加</w:t>
      </w:r>
      <w:r>
        <w:rPr>
          <w:rFonts w:hint="eastAsia" w:asciiTheme="minorEastAsia" w:hAnsiTheme="minorEastAsia" w:eastAsiaTheme="minorEastAsia"/>
          <w:sz w:val="32"/>
          <w:szCs w:val="32"/>
          <w:lang w:val="en-US" w:eastAsia="zh-CN"/>
        </w:rPr>
        <w:t>16.9万元，增长122.71%，今年支出相比于上年大幅度增加，三公经费及公务用车运行维护费增加。</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免费开放业务培训。</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960" w:firstLineChars="3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both"/>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1、财政拨款收入：指单位本年度从同级财政部门取得的各类财政</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拨款。</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政补助收入。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公务用车运行维护费及其他费用。</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用。</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对附属单位补助发生的支出。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非独立核算经营活动发生的支出。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7.事业收入：指事业单位开展专业业务活动及其辅助活动取得的</w:t>
      </w:r>
    </w:p>
    <w:p>
      <w:pPr>
        <w:keepNext w:val="0"/>
        <w:keepLines w:val="0"/>
        <w:widowControl/>
        <w:suppressLineNumbers w:val="0"/>
        <w:bidi w:val="0"/>
        <w:jc w:val="left"/>
        <w:rPr>
          <w:rFonts w:hint="eastAsia" w:asciiTheme="minorEastAsia" w:hAnsiTheme="minorEastAsia" w:eastAsiaTheme="minorEastAsia" w:cstheme="minorEastAsia"/>
          <w:sz w:val="32"/>
          <w:szCs w:val="32"/>
        </w:rPr>
      </w:pPr>
      <w:bookmarkStart w:id="3" w:name="28"/>
      <w:bookmarkEnd w:id="3"/>
      <w:r>
        <w:rPr>
          <w:rFonts w:hint="eastAsia" w:asciiTheme="minorEastAsia" w:hAnsiTheme="minorEastAsia" w:eastAsiaTheme="minorEastAsia" w:cstheme="minorEastAsia"/>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非独立核算经营活动取得的收入。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定上缴的收入。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入”、“经营收入”等以外的各项收入。</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业基金）弥补当年收支差额的数额。</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项目支出结转和结余和经营结余。</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用基金、缴纳的所得税和转入非财政拨款结余等。</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使用的资金。</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的支出，包括人员经费和公用经费。</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的支出。</w:t>
      </w:r>
    </w:p>
    <w:p>
      <w:pPr>
        <w:keepNext w:val="0"/>
        <w:keepLines w:val="0"/>
        <w:widowControl/>
        <w:suppressLineNumbers w:val="0"/>
        <w:bidi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缴上级单位的支出。</w:t>
      </w:r>
      <w:bookmarkStart w:id="4" w:name="29"/>
      <w:bookmarkEnd w:id="4"/>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keepNext w:val="0"/>
        <w:keepLines w:val="0"/>
        <w:widowControl/>
        <w:suppressLineNumbers w:val="0"/>
        <w:bidi w:val="0"/>
        <w:jc w:val="left"/>
        <w:rPr>
          <w:rFonts w:hint="eastAsia" w:asciiTheme="minorEastAsia" w:hAnsiTheme="minorEastAsia" w:eastAsiaTheme="minorEastAsia" w:cstheme="minorEastAsia"/>
          <w:kern w:val="0"/>
          <w:sz w:val="32"/>
          <w:szCs w:val="32"/>
          <w:lang w:val="en-US" w:eastAsia="zh-CN" w:bidi="ar"/>
        </w:rPr>
      </w:pPr>
    </w:p>
    <w:p>
      <w:pPr>
        <w:pStyle w:val="9"/>
        <w:jc w:val="center"/>
        <w:rPr>
          <w:rFonts w:hint="eastAsia"/>
          <w:sz w:val="72"/>
          <w:szCs w:val="72"/>
          <w:lang w:val="en-US" w:eastAsia="zh-CN"/>
        </w:rPr>
      </w:pPr>
      <w:r>
        <w:rPr>
          <w:rFonts w:hint="eastAsia"/>
          <w:sz w:val="72"/>
          <w:szCs w:val="72"/>
        </w:rPr>
        <w:t>第五部分</w:t>
      </w:r>
    </w:p>
    <w:p>
      <w:pPr>
        <w:pStyle w:val="9"/>
        <w:jc w:val="center"/>
        <w:rPr>
          <w:rFonts w:hint="eastAsia"/>
          <w:sz w:val="72"/>
          <w:szCs w:val="72"/>
        </w:rPr>
      </w:pPr>
      <w:r>
        <w:rPr>
          <w:rFonts w:hint="eastAsia"/>
          <w:sz w:val="72"/>
          <w:szCs w:val="72"/>
        </w:rPr>
        <w:t>附件</w:t>
      </w: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widowControl/>
        <w:ind w:firstLine="2240" w:firstLineChars="700"/>
        <w:jc w:val="left"/>
        <w:rPr>
          <w:rFonts w:hint="eastAsia" w:cs="黑体" w:asciiTheme="minorEastAsia" w:hAnsiTheme="minorEastAsia"/>
          <w:b/>
          <w:color w:val="000000"/>
          <w:kern w:val="0"/>
          <w:sz w:val="32"/>
          <w:szCs w:val="32"/>
        </w:rPr>
      </w:pPr>
    </w:p>
    <w:p>
      <w:pPr>
        <w:widowControl/>
        <w:ind w:firstLine="2240" w:firstLineChars="7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jc w:val="both"/>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1174" w:bottom="720" w:left="1174"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1510C"/>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CF7D6E"/>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C84383"/>
    <w:rsid w:val="089B41CC"/>
    <w:rsid w:val="09B93D28"/>
    <w:rsid w:val="09DF1F3F"/>
    <w:rsid w:val="0B616943"/>
    <w:rsid w:val="0E6365CF"/>
    <w:rsid w:val="188D23C1"/>
    <w:rsid w:val="1F96314A"/>
    <w:rsid w:val="26EB24EE"/>
    <w:rsid w:val="2AD77647"/>
    <w:rsid w:val="31450A0F"/>
    <w:rsid w:val="39ED253A"/>
    <w:rsid w:val="3B94781B"/>
    <w:rsid w:val="3E693D35"/>
    <w:rsid w:val="41570042"/>
    <w:rsid w:val="4EDA665A"/>
    <w:rsid w:val="51D64E9B"/>
    <w:rsid w:val="54030019"/>
    <w:rsid w:val="55C47E2D"/>
    <w:rsid w:val="59987F3E"/>
    <w:rsid w:val="5F926B74"/>
    <w:rsid w:val="63634020"/>
    <w:rsid w:val="67B50A65"/>
    <w:rsid w:val="70DC62C7"/>
    <w:rsid w:val="73C26049"/>
    <w:rsid w:val="74081F82"/>
    <w:rsid w:val="779F6E1B"/>
    <w:rsid w:val="78D42310"/>
    <w:rsid w:val="7BBF08D3"/>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6909</Words>
  <Characters>8356</Characters>
  <Lines>69</Lines>
  <Paragraphs>19</Paragraphs>
  <TotalTime>0</TotalTime>
  <ScaleCrop>false</ScaleCrop>
  <LinksUpToDate>false</LinksUpToDate>
  <CharactersWithSpaces>9385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2023-09-28T05:51:56Z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32472D4D0B2A452EB0D212029E60532C_13</vt:lpwstr>
  </property>
</Properties>
</file>