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sz w:val="84"/>
          <w:szCs w:val="84"/>
        </w:rPr>
      </w:pPr>
      <w:r>
        <w:rPr>
          <w:rFonts w:hint="eastAsia"/>
          <w:sz w:val="84"/>
          <w:szCs w:val="84"/>
        </w:rPr>
        <w:t>2021年度</w:t>
      </w:r>
    </w:p>
    <w:p>
      <w:pPr>
        <w:pStyle w:val="13"/>
        <w:jc w:val="center"/>
        <w:rPr>
          <w:sz w:val="84"/>
          <w:szCs w:val="84"/>
        </w:rPr>
      </w:pPr>
      <w:r>
        <w:rPr>
          <w:rFonts w:hint="eastAsia"/>
          <w:sz w:val="84"/>
          <w:szCs w:val="84"/>
        </w:rPr>
        <w:t>道县寿雁镇人民政府</w:t>
      </w:r>
    </w:p>
    <w:p>
      <w:pPr>
        <w:pStyle w:val="13"/>
        <w:jc w:val="center"/>
        <w:rPr>
          <w:sz w:val="84"/>
          <w:szCs w:val="84"/>
        </w:rPr>
      </w:pPr>
      <w:r>
        <w:rPr>
          <w:rFonts w:hint="eastAsia"/>
          <w:sz w:val="84"/>
          <w:szCs w:val="84"/>
        </w:rPr>
        <w:t>部门决算</w:t>
      </w: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center"/>
        <w:rPr>
          <w:b/>
          <w:sz w:val="36"/>
          <w:szCs w:val="28"/>
        </w:rPr>
      </w:pPr>
    </w:p>
    <w:p>
      <w:pPr>
        <w:pStyle w:val="13"/>
        <w:spacing w:line="500" w:lineRule="exact"/>
        <w:jc w:val="center"/>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ascii="仿宋_GB2312" w:hAnsi="仿宋_GB2312" w:cs="仿宋_GB2312"/>
          <w:b/>
          <w:sz w:val="28"/>
          <w:szCs w:val="28"/>
        </w:rPr>
      </w:pPr>
      <w:r>
        <w:rPr>
          <w:rFonts w:hint="eastAsia"/>
          <w:b/>
          <w:sz w:val="28"/>
          <w:szCs w:val="28"/>
        </w:rPr>
        <w:t>第一部分道县寿雁镇人民政府概况</w:t>
      </w:r>
    </w:p>
    <w:p>
      <w:pPr>
        <w:pStyle w:val="13"/>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一、部门职责</w:t>
      </w:r>
    </w:p>
    <w:p>
      <w:pPr>
        <w:pStyle w:val="13"/>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二、机构设置</w:t>
      </w:r>
    </w:p>
    <w:p>
      <w:pPr>
        <w:pStyle w:val="13"/>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3"/>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一、收入支出决算总表</w:t>
      </w:r>
    </w:p>
    <w:p>
      <w:pPr>
        <w:pStyle w:val="13"/>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二、收入决算表</w:t>
      </w:r>
    </w:p>
    <w:p>
      <w:pPr>
        <w:pStyle w:val="13"/>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三、支出决算表</w:t>
      </w:r>
    </w:p>
    <w:p>
      <w:pPr>
        <w:pStyle w:val="13"/>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四、财政拨款收入支出决算总表</w:t>
      </w:r>
    </w:p>
    <w:p>
      <w:pPr>
        <w:pStyle w:val="13"/>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五、一般公共预算财政拨款支出决算表</w:t>
      </w:r>
    </w:p>
    <w:p>
      <w:pPr>
        <w:pStyle w:val="13"/>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六、一般公共预算财政拨款基本支出决算</w:t>
      </w:r>
      <w:r>
        <w:rPr>
          <w:rFonts w:hint="eastAsia" w:ascii="宋体" w:hAnsi="宋体" w:eastAsia="宋体" w:cs="仿宋_GB2312"/>
          <w:sz w:val="28"/>
          <w:szCs w:val="28"/>
        </w:rPr>
        <w:t>明细</w:t>
      </w:r>
      <w:r>
        <w:rPr>
          <w:rFonts w:ascii="宋体" w:hAnsi="宋体" w:eastAsia="宋体" w:cs="仿宋_GB2312"/>
          <w:sz w:val="28"/>
          <w:szCs w:val="28"/>
        </w:rPr>
        <w:t>表</w:t>
      </w:r>
    </w:p>
    <w:p>
      <w:pPr>
        <w:pStyle w:val="13"/>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七、一般公共预算财政拨款“三公”经费支出决算表</w:t>
      </w:r>
    </w:p>
    <w:p>
      <w:pPr>
        <w:pStyle w:val="13"/>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八、政府性基金预算财政拨款收入支出决算表</w:t>
      </w:r>
    </w:p>
    <w:p>
      <w:pPr>
        <w:pStyle w:val="13"/>
        <w:spacing w:line="500" w:lineRule="exact"/>
        <w:ind w:firstLine="700" w:firstLineChars="250"/>
        <w:rPr>
          <w:rFonts w:ascii="宋体" w:hAnsi="宋体" w:eastAsia="宋体" w:cs="仿宋_GB2312"/>
          <w:sz w:val="28"/>
          <w:szCs w:val="28"/>
        </w:rPr>
      </w:pPr>
      <w:r>
        <w:rPr>
          <w:rFonts w:hint="eastAsia" w:ascii="宋体" w:hAnsi="宋体" w:eastAsia="宋体" w:cs="仿宋_GB2312"/>
          <w:sz w:val="28"/>
          <w:szCs w:val="28"/>
        </w:rPr>
        <w:t>九、国有资本经营预算财政拨款支出决算表</w:t>
      </w:r>
    </w:p>
    <w:p>
      <w:pPr>
        <w:pStyle w:val="13"/>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3"/>
        <w:spacing w:line="500" w:lineRule="exact"/>
        <w:ind w:firstLine="700" w:firstLineChars="250"/>
        <w:rPr>
          <w:rFonts w:ascii="宋体" w:hAnsi="宋体" w:eastAsia="宋体" w:cs="仿宋_GB2312"/>
          <w:sz w:val="28"/>
          <w:szCs w:val="28"/>
        </w:rPr>
      </w:pPr>
      <w:r>
        <w:rPr>
          <w:rFonts w:ascii="宋体" w:hAnsi="宋体" w:eastAsia="宋体" w:cs="仿宋_GB2312"/>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3"/>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十二、国有资产占用情况说明</w:t>
      </w:r>
    </w:p>
    <w:p>
      <w:pPr>
        <w:pStyle w:val="13"/>
        <w:spacing w:line="500" w:lineRule="exact"/>
        <w:ind w:firstLine="700" w:firstLineChars="250"/>
        <w:rPr>
          <w:rFonts w:ascii="仿宋_GB2312" w:hAnsi="仿宋_GB2312" w:eastAsia="宋体" w:cs="仿宋_GB2312"/>
          <w:sz w:val="28"/>
          <w:szCs w:val="28"/>
        </w:rPr>
      </w:pPr>
      <w:r>
        <w:rPr>
          <w:rFonts w:hint="eastAsia" w:ascii="仿宋_GB2312" w:hAnsi="仿宋_GB2312" w:eastAsia="宋体" w:cs="仿宋_GB2312"/>
          <w:sz w:val="28"/>
          <w:szCs w:val="28"/>
        </w:rPr>
        <w:t>十三、</w:t>
      </w:r>
      <w:r>
        <w:rPr>
          <w:rFonts w:hint="eastAsia" w:ascii="宋体" w:hAnsi="宋体" w:eastAsia="宋体" w:cs="仿宋_GB2312"/>
          <w:sz w:val="28"/>
          <w:szCs w:val="28"/>
        </w:rPr>
        <w:t>2021年</w:t>
      </w:r>
      <w:r>
        <w:rPr>
          <w:rFonts w:hint="eastAsia" w:ascii="仿宋_GB2312" w:hAnsi="仿宋_GB2312" w:eastAsia="宋体" w:cs="仿宋_GB2312"/>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3"/>
        <w:jc w:val="center"/>
        <w:rPr>
          <w:sz w:val="84"/>
          <w:szCs w:val="84"/>
        </w:rPr>
      </w:pPr>
      <w:r>
        <w:rPr>
          <w:rFonts w:hint="eastAsia"/>
          <w:sz w:val="84"/>
          <w:szCs w:val="84"/>
        </w:rPr>
        <w:t>第一部分</w:t>
      </w:r>
      <w:r>
        <w:rPr>
          <w:sz w:val="84"/>
          <w:szCs w:val="84"/>
        </w:rPr>
        <w:t xml:space="preserve"> </w:t>
      </w:r>
    </w:p>
    <w:p>
      <w:pPr>
        <w:pStyle w:val="13"/>
        <w:jc w:val="center"/>
        <w:rPr>
          <w:sz w:val="84"/>
          <w:szCs w:val="84"/>
        </w:rPr>
      </w:pPr>
    </w:p>
    <w:p>
      <w:pPr>
        <w:pStyle w:val="13"/>
        <w:jc w:val="center"/>
        <w:rPr>
          <w:sz w:val="84"/>
          <w:szCs w:val="84"/>
        </w:rPr>
      </w:pPr>
      <w:r>
        <w:rPr>
          <w:rFonts w:hint="eastAsia"/>
          <w:sz w:val="84"/>
          <w:szCs w:val="84"/>
        </w:rPr>
        <w:t>道县寿雁镇人民政府概况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4"/>
        <w:ind w:left="720" w:firstLine="0" w:firstLineChars="0"/>
        <w:jc w:val="left"/>
        <w:rPr>
          <w:rFonts w:ascii="黑体" w:hAnsi="黑体" w:eastAsia="黑体"/>
          <w:sz w:val="32"/>
          <w:szCs w:val="32"/>
        </w:rPr>
      </w:pPr>
    </w:p>
    <w:p>
      <w:pPr>
        <w:pStyle w:val="14"/>
        <w:ind w:left="720" w:firstLine="0" w:firstLineChars="0"/>
        <w:jc w:val="left"/>
        <w:rPr>
          <w:rFonts w:ascii="黑体" w:hAnsi="黑体" w:eastAsia="黑体"/>
          <w:sz w:val="32"/>
          <w:szCs w:val="32"/>
        </w:rPr>
      </w:pPr>
    </w:p>
    <w:p>
      <w:pPr>
        <w:pStyle w:val="14"/>
        <w:ind w:left="720" w:firstLine="0" w:firstLineChars="0"/>
        <w:jc w:val="left"/>
        <w:rPr>
          <w:rFonts w:ascii="黑体" w:hAnsi="黑体" w:eastAsia="黑体"/>
          <w:sz w:val="32"/>
          <w:szCs w:val="32"/>
        </w:rPr>
      </w:pPr>
    </w:p>
    <w:p>
      <w:pPr>
        <w:pStyle w:val="14"/>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ascii="宋体" w:hAnsi="宋体"/>
          <w:bCs/>
          <w:kern w:val="0"/>
          <w:sz w:val="32"/>
          <w:szCs w:val="32"/>
        </w:rPr>
      </w:pPr>
      <w:bookmarkStart w:id="0" w:name="AGENCY_NAME_TITLE3"/>
      <w:r>
        <w:rPr>
          <w:rFonts w:hint="eastAsia" w:ascii="宋体" w:hAnsi="宋体"/>
          <w:bCs/>
          <w:kern w:val="0"/>
          <w:sz w:val="32"/>
          <w:szCs w:val="32"/>
        </w:rPr>
        <w:t>道县寿雁镇人民政府</w:t>
      </w:r>
      <w:bookmarkEnd w:id="0"/>
      <w:r>
        <w:rPr>
          <w:rFonts w:hint="eastAsia" w:ascii="宋体" w:hAnsi="宋体"/>
          <w:bCs/>
          <w:kern w:val="0"/>
          <w:sz w:val="32"/>
          <w:szCs w:val="32"/>
        </w:rPr>
        <w:t>的主要职责是：</w:t>
      </w:r>
    </w:p>
    <w:p>
      <w:pPr>
        <w:widowControl/>
        <w:spacing w:line="600" w:lineRule="exact"/>
        <w:ind w:firstLine="1280" w:firstLineChars="400"/>
        <w:rPr>
          <w:rFonts w:ascii="宋体" w:hAnsi="宋体"/>
          <w:bCs/>
          <w:kern w:val="0"/>
          <w:sz w:val="32"/>
          <w:szCs w:val="32"/>
        </w:rPr>
      </w:pPr>
      <w:bookmarkStart w:id="1" w:name="FUNCRESP"/>
      <w:r>
        <w:rPr>
          <w:rFonts w:hint="eastAsia" w:ascii="宋体" w:hAnsi="宋体"/>
          <w:bCs/>
          <w:kern w:val="0"/>
          <w:sz w:val="32"/>
          <w:szCs w:val="32"/>
        </w:rPr>
        <w:t>根据《中华人民共和国宪法》规定，本单位主要工作职责是：执行本级人民代表大会的决议和上级国家行政机关的决定和命令，管理本行政区域内的行政工作。</w:t>
      </w:r>
      <w:bookmarkEnd w:id="1"/>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宋体" w:hAnsi="宋体"/>
          <w:bCs/>
          <w:kern w:val="0"/>
          <w:sz w:val="32"/>
          <w:szCs w:val="32"/>
        </w:rPr>
      </w:pPr>
      <w:r>
        <w:rPr>
          <w:rFonts w:hint="eastAsia" w:ascii="宋体" w:hAnsi="宋体"/>
          <w:bCs/>
          <w:kern w:val="0"/>
          <w:sz w:val="32"/>
          <w:szCs w:val="32"/>
        </w:rPr>
        <w:t>（一）内设机构设置。我单位为正科级全额拨款行政单位，内设党政综合办公室（信访办公室）、社会治安和应急管理办公室（社会治安综合治理中心）、社会经济发展办公室（农业农村和扶贫工作办公室）、社会事务办公室（卫生健康办公室）、基层党建办公室、自然资源和生态环境办公室（农村房屋建设管理办公室）6个职能部室。行政编制55人，事业编制81人，工勤人员编制3人。现实有在编人数行政50人，事业72人，工勤人员2人，退休人员17人，配有小车1辆。</w:t>
      </w:r>
    </w:p>
    <w:p>
      <w:pPr>
        <w:jc w:val="left"/>
        <w:rPr>
          <w:rFonts w:ascii="仿宋_GB2312" w:hAnsi="宋体" w:eastAsia="仿宋_GB2312"/>
          <w:sz w:val="28"/>
          <w:szCs w:val="32"/>
        </w:rPr>
      </w:pPr>
      <w:r>
        <w:rPr>
          <w:rFonts w:hint="eastAsia" w:ascii="宋体" w:hAnsi="宋体"/>
          <w:bCs/>
          <w:kern w:val="0"/>
          <w:sz w:val="32"/>
          <w:szCs w:val="32"/>
        </w:rPr>
        <w:t>（二）决算单位构成。道县寿雁镇人民政府部门只有本级，没有其他二级决算单位，因此，纳入2021年部门决算编制范围的只有道县寿雁镇人民政府本级。</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宋体" w:hAnsi="宋体"/>
          <w:sz w:val="32"/>
          <w:szCs w:val="32"/>
        </w:rPr>
        <w:sectPr>
          <w:pgSz w:w="11906" w:h="16838"/>
          <w:pgMar w:top="720" w:right="720" w:bottom="720" w:left="720" w:header="851" w:footer="992" w:gutter="0"/>
          <w:cols w:space="425" w:num="1"/>
          <w:docGrid w:type="lines" w:linePitch="312" w:charSpace="0"/>
        </w:sectPr>
      </w:pPr>
    </w:p>
    <w:tbl>
      <w:tblPr>
        <w:tblStyle w:val="9"/>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olor w:val="000000"/>
                <w:kern w:val="0"/>
                <w:sz w:val="32"/>
                <w:szCs w:val="32"/>
              </w:rPr>
            </w:pPr>
            <w:r>
              <w:rPr>
                <w:rFonts w:hint="eastAsia" w:ascii="华文中宋" w:hAnsi="华文中宋" w:eastAsia="华文中宋"/>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color w:val="000000"/>
                <w:kern w:val="0"/>
                <w:sz w:val="20"/>
                <w:szCs w:val="20"/>
              </w:rPr>
            </w:pPr>
            <w:r>
              <w:rPr>
                <w:rFonts w:hint="eastAsia" w:ascii="宋体" w:hAnsi="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部门：</w:t>
            </w:r>
            <w:r>
              <w:rPr>
                <w:rFonts w:ascii="宋体" w:hAnsi="宋体"/>
                <w:color w:val="000000"/>
                <w:kern w:val="0"/>
                <w:sz w:val="20"/>
                <w:szCs w:val="20"/>
              </w:rPr>
              <w:t xml:space="preserve"> </w:t>
            </w:r>
            <w:r>
              <w:rPr>
                <w:rFonts w:hint="eastAsia" w:ascii="宋体" w:hAnsi="宋体"/>
                <w:color w:val="000000"/>
                <w:kern w:val="0"/>
                <w:sz w:val="20"/>
                <w:szCs w:val="20"/>
              </w:rPr>
              <w:t>道县寿雁镇人民政府</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color w:val="000000"/>
                <w:kern w:val="0"/>
                <w:sz w:val="20"/>
                <w:szCs w:val="20"/>
              </w:rPr>
            </w:pPr>
            <w:r>
              <w:rPr>
                <w:rFonts w:hint="eastAsia" w:ascii="宋体" w:hAnsi="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kern w:val="0"/>
                <w:sz w:val="24"/>
                <w:szCs w:val="24"/>
              </w:rPr>
            </w:pPr>
            <w:r>
              <w:rPr>
                <w:rFonts w:hint="eastAsia" w:ascii="宋体" w:hAnsi="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kern w:val="0"/>
                <w:sz w:val="24"/>
                <w:szCs w:val="24"/>
              </w:rPr>
            </w:pPr>
            <w:r>
              <w:rPr>
                <w:rFonts w:hint="eastAsia" w:ascii="宋体" w:hAnsi="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kern w:val="0"/>
                <w:sz w:val="24"/>
                <w:szCs w:val="24"/>
              </w:rPr>
            </w:pPr>
            <w:r>
              <w:rPr>
                <w:rFonts w:hint="eastAsia" w:ascii="宋体" w:hAnsi="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kern w:val="0"/>
                <w:sz w:val="20"/>
                <w:szCs w:val="20"/>
              </w:rPr>
            </w:pPr>
            <w:r>
              <w:rPr>
                <w:rFonts w:hint="eastAsia" w:ascii="宋体" w:hAnsi="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kern w:val="0"/>
                <w:sz w:val="24"/>
                <w:szCs w:val="24"/>
              </w:rPr>
            </w:pPr>
            <w:r>
              <w:rPr>
                <w:rFonts w:hint="eastAsia" w:ascii="宋体" w:hAnsi="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kern w:val="0"/>
                <w:sz w:val="24"/>
                <w:szCs w:val="24"/>
              </w:rPr>
            </w:pPr>
            <w:r>
              <w:rPr>
                <w:rFonts w:hint="eastAsia" w:ascii="宋体" w:hAnsi="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kern w:val="0"/>
                <w:sz w:val="20"/>
                <w:szCs w:val="20"/>
              </w:rPr>
            </w:pPr>
            <w:r>
              <w:rPr>
                <w:rFonts w:hint="eastAsia" w:ascii="宋体" w:hAnsi="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kern w:val="0"/>
                <w:sz w:val="24"/>
                <w:szCs w:val="24"/>
              </w:rPr>
            </w:pPr>
            <w:r>
              <w:rPr>
                <w:rFonts w:hint="eastAsia" w:ascii="宋体" w:hAnsi="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4"/>
                <w:szCs w:val="24"/>
              </w:rPr>
            </w:pPr>
            <w:r>
              <w:rPr>
                <w:rFonts w:hint="eastAsia" w:ascii="宋体" w:hAnsi="宋体"/>
                <w:color w:val="000000"/>
                <w:kern w:val="0"/>
                <w:sz w:val="22"/>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4"/>
                <w:szCs w:val="24"/>
              </w:rPr>
            </w:pPr>
            <w:r>
              <w:rPr>
                <w:rFonts w:hint="eastAsia" w:ascii="宋体" w:hAnsi="宋体"/>
                <w:color w:val="000000"/>
                <w:kern w:val="0"/>
                <w:sz w:val="22"/>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4"/>
                <w:szCs w:val="24"/>
              </w:rPr>
            </w:pPr>
            <w:r>
              <w:rPr>
                <w:rFonts w:hint="eastAsia" w:ascii="宋体" w:hAnsi="宋体"/>
                <w:color w:val="000000"/>
                <w:kern w:val="0"/>
                <w:sz w:val="22"/>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4"/>
                <w:szCs w:val="24"/>
              </w:rPr>
            </w:pPr>
            <w:r>
              <w:rPr>
                <w:rFonts w:hint="eastAsia" w:ascii="宋体" w:hAnsi="宋体"/>
                <w:color w:val="000000"/>
                <w:kern w:val="0"/>
                <w:sz w:val="22"/>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2,647.63</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2"/>
              </w:rPr>
            </w:pPr>
            <w:r>
              <w:rPr>
                <w:rFonts w:hint="eastAsia" w:ascii="宋体" w:hAnsi="宋体"/>
                <w:color w:val="000000"/>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94.29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2"/>
              </w:rPr>
            </w:pPr>
            <w:r>
              <w:rPr>
                <w:rFonts w:hint="eastAsia" w:ascii="宋体" w:hAnsi="宋体"/>
                <w:color w:val="000000"/>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315.15</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2"/>
              </w:rPr>
            </w:pPr>
            <w:r>
              <w:rPr>
                <w:rFonts w:hint="eastAsia" w:ascii="宋体" w:hAnsi="宋体"/>
                <w:color w:val="000000"/>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2"/>
              </w:rPr>
            </w:pPr>
            <w:r>
              <w:rPr>
                <w:rFonts w:hint="eastAsia" w:ascii="宋体" w:hAnsi="宋体"/>
                <w:color w:val="000000"/>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2"/>
              </w:rPr>
            </w:pPr>
            <w:r>
              <w:rPr>
                <w:rFonts w:hint="eastAsia" w:ascii="宋体" w:hAnsi="宋体"/>
                <w:color w:val="000000"/>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2"/>
              </w:rPr>
            </w:pPr>
            <w:r>
              <w:rPr>
                <w:rFonts w:hint="eastAsia" w:ascii="宋体" w:hAnsi="宋体"/>
                <w:color w:val="000000"/>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2"/>
              </w:rPr>
            </w:pPr>
            <w:r>
              <w:rPr>
                <w:rFonts w:hint="eastAsia" w:ascii="宋体" w:hAnsi="宋体"/>
                <w:color w:val="000000"/>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2"/>
              </w:rPr>
            </w:pPr>
            <w:r>
              <w:rPr>
                <w:rFonts w:hint="eastAsia" w:ascii="宋体" w:hAnsi="宋体"/>
                <w:color w:val="000000"/>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2"/>
              </w:rPr>
            </w:pPr>
            <w:r>
              <w:rPr>
                <w:rFonts w:hint="eastAsia" w:ascii="宋体" w:hAnsi="宋体"/>
                <w:color w:val="000000"/>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2"/>
              </w:rPr>
            </w:pPr>
            <w:r>
              <w:rPr>
                <w:rFonts w:hint="eastAsia" w:ascii="宋体" w:hAnsi="宋体"/>
                <w:color w:val="000000"/>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2"/>
              </w:rPr>
            </w:pPr>
            <w:r>
              <w:rPr>
                <w:rFonts w:hint="eastAsia" w:ascii="宋体" w:hAnsi="宋体"/>
                <w:color w:val="000000"/>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2"/>
              </w:rPr>
            </w:pPr>
            <w:r>
              <w:rPr>
                <w:rFonts w:hint="eastAsia" w:ascii="宋体" w:hAnsi="宋体"/>
                <w:color w:val="000000"/>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148.77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0"/>
                <w:szCs w:val="20"/>
              </w:rPr>
            </w:pPr>
            <w:r>
              <w:rPr>
                <w:rFonts w:hint="eastAsia" w:ascii="宋体" w:hAnsi="宋体"/>
                <w:color w:val="000000"/>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b/>
                <w:bCs/>
                <w:kern w:val="0"/>
                <w:sz w:val="22"/>
              </w:rPr>
            </w:pPr>
            <w:r>
              <w:rPr>
                <w:rFonts w:hint="eastAsia" w:ascii="宋体" w:hAnsi="宋体"/>
                <w:color w:val="000000"/>
                <w:kern w:val="0"/>
                <w:sz w:val="22"/>
              </w:rPr>
              <w:t>73.85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0"/>
                <w:szCs w:val="20"/>
              </w:rPr>
            </w:pPr>
            <w:r>
              <w:rPr>
                <w:rFonts w:hint="eastAsia" w:ascii="宋体" w:hAnsi="宋体"/>
                <w:color w:val="000000"/>
                <w:kern w:val="0"/>
                <w:sz w:val="22"/>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0"/>
                <w:szCs w:val="20"/>
              </w:rPr>
            </w:pPr>
            <w:r>
              <w:rPr>
                <w:rFonts w:hint="eastAsia" w:ascii="宋体" w:hAnsi="宋体"/>
                <w:color w:val="000000"/>
                <w:kern w:val="0"/>
                <w:sz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b/>
                <w:bCs/>
                <w:kern w:val="0"/>
                <w:sz w:val="22"/>
              </w:rPr>
            </w:pPr>
            <w:r>
              <w:rPr>
                <w:rFonts w:hint="eastAsia" w:ascii="宋体" w:hAnsi="宋体"/>
                <w:color w:val="000000"/>
                <w:kern w:val="0"/>
                <w:sz w:val="22"/>
              </w:rPr>
              <w:t>307.15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0"/>
                <w:szCs w:val="20"/>
              </w:rPr>
            </w:pPr>
            <w:r>
              <w:rPr>
                <w:rFonts w:hint="eastAsia" w:ascii="宋体" w:hAnsi="宋体"/>
                <w:color w:val="000000"/>
                <w:kern w:val="0"/>
                <w:sz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b/>
                <w:bCs/>
                <w:kern w:val="0"/>
                <w:sz w:val="22"/>
              </w:rPr>
            </w:pPr>
            <w:r>
              <w:rPr>
                <w:rFonts w:hint="eastAsia" w:ascii="宋体" w:hAnsi="宋体"/>
                <w:color w:val="000000"/>
                <w:kern w:val="0"/>
                <w:sz w:val="22"/>
              </w:rPr>
              <w:t>2,044.72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0"/>
                <w:szCs w:val="20"/>
              </w:rPr>
            </w:pPr>
            <w:r>
              <w:rPr>
                <w:rFonts w:hint="eastAsia" w:ascii="宋体" w:hAnsi="宋体"/>
                <w:color w:val="000000"/>
                <w:kern w:val="0"/>
                <w:sz w:val="22"/>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0"/>
                <w:szCs w:val="20"/>
              </w:rPr>
            </w:pPr>
            <w:r>
              <w:rPr>
                <w:rFonts w:hint="eastAsia" w:ascii="宋体" w:hAnsi="宋体"/>
                <w:color w:val="000000"/>
                <w:kern w:val="0"/>
                <w:sz w:val="22"/>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0"/>
                <w:szCs w:val="20"/>
              </w:rPr>
            </w:pPr>
            <w:r>
              <w:rPr>
                <w:rFonts w:hint="eastAsia" w:ascii="宋体" w:hAnsi="宋体"/>
                <w:color w:val="000000"/>
                <w:kern w:val="0"/>
                <w:sz w:val="22"/>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0"/>
                <w:szCs w:val="20"/>
              </w:rPr>
            </w:pPr>
            <w:r>
              <w:rPr>
                <w:rFonts w:hint="eastAsia" w:ascii="宋体" w:hAnsi="宋体"/>
                <w:color w:val="000000"/>
                <w:kern w:val="0"/>
                <w:sz w:val="22"/>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0"/>
                <w:szCs w:val="20"/>
              </w:rPr>
            </w:pPr>
            <w:r>
              <w:rPr>
                <w:rFonts w:hint="eastAsia" w:ascii="宋体" w:hAnsi="宋体"/>
                <w:color w:val="000000"/>
                <w:kern w:val="0"/>
                <w:sz w:val="22"/>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0"/>
                <w:szCs w:val="20"/>
              </w:rPr>
            </w:pPr>
            <w:r>
              <w:rPr>
                <w:rFonts w:hint="eastAsia" w:ascii="宋体" w:hAnsi="宋体"/>
                <w:color w:val="000000"/>
                <w:kern w:val="0"/>
                <w:sz w:val="22"/>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0"/>
                <w:szCs w:val="20"/>
              </w:rPr>
            </w:pPr>
            <w:r>
              <w:rPr>
                <w:rFonts w:hint="eastAsia" w:ascii="宋体" w:hAnsi="宋体"/>
                <w:color w:val="000000"/>
                <w:kern w:val="0"/>
                <w:sz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b/>
                <w:bCs/>
                <w:kern w:val="0"/>
                <w:sz w:val="22"/>
              </w:rPr>
            </w:pPr>
            <w:r>
              <w:rPr>
                <w:rFonts w:hint="eastAsia" w:ascii="宋体" w:hAnsi="宋体"/>
                <w:color w:val="000000"/>
                <w:kern w:val="0"/>
                <w:sz w:val="22"/>
              </w:rPr>
              <w:t>283.00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0"/>
                <w:szCs w:val="20"/>
              </w:rPr>
            </w:pPr>
            <w:r>
              <w:rPr>
                <w:rFonts w:hint="eastAsia" w:ascii="宋体" w:hAnsi="宋体"/>
                <w:color w:val="000000"/>
                <w:kern w:val="0"/>
                <w:sz w:val="22"/>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0"/>
                <w:szCs w:val="20"/>
              </w:rPr>
            </w:pPr>
            <w:r>
              <w:rPr>
                <w:rFonts w:hint="eastAsia" w:ascii="宋体" w:hAnsi="宋体"/>
                <w:color w:val="000000"/>
                <w:kern w:val="0"/>
                <w:sz w:val="22"/>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0"/>
                <w:szCs w:val="20"/>
              </w:rPr>
            </w:pPr>
            <w:r>
              <w:rPr>
                <w:rFonts w:hint="eastAsia" w:ascii="宋体" w:hAnsi="宋体"/>
                <w:color w:val="000000"/>
                <w:kern w:val="0"/>
                <w:sz w:val="22"/>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0"/>
                <w:szCs w:val="20"/>
              </w:rPr>
            </w:pPr>
            <w:r>
              <w:rPr>
                <w:rFonts w:hint="eastAsia" w:ascii="宋体" w:hAnsi="宋体"/>
                <w:color w:val="000000"/>
                <w:kern w:val="0"/>
                <w:sz w:val="22"/>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b/>
                <w:bCs/>
                <w:kern w:val="0"/>
                <w:sz w:val="22"/>
              </w:rPr>
            </w:pPr>
            <w:r>
              <w:rPr>
                <w:rFonts w:hint="eastAsia" w:ascii="宋体" w:hAnsi="宋体"/>
                <w:color w:val="000000"/>
                <w:kern w:val="0"/>
                <w:sz w:val="22"/>
              </w:rPr>
              <w:t>11.00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0"/>
                <w:szCs w:val="20"/>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0"/>
                <w:szCs w:val="20"/>
              </w:rPr>
            </w:pPr>
            <w:r>
              <w:rPr>
                <w:rFonts w:hint="eastAsia" w:ascii="宋体" w:hAnsi="宋体"/>
                <w:color w:val="000000"/>
                <w:kern w:val="0"/>
                <w:sz w:val="22"/>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0"/>
                <w:szCs w:val="20"/>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0"/>
                <w:szCs w:val="20"/>
              </w:rPr>
            </w:pPr>
            <w:r>
              <w:rPr>
                <w:rFonts w:hint="eastAsia" w:ascii="宋体" w:hAnsi="宋体"/>
                <w:color w:val="000000"/>
                <w:kern w:val="0"/>
                <w:sz w:val="22"/>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0"/>
                <w:szCs w:val="20"/>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0"/>
                <w:szCs w:val="20"/>
              </w:rPr>
            </w:pPr>
            <w:r>
              <w:rPr>
                <w:rFonts w:hint="eastAsia" w:ascii="宋体" w:hAnsi="宋体"/>
                <w:color w:val="000000"/>
                <w:kern w:val="0"/>
                <w:sz w:val="22"/>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0"/>
                <w:szCs w:val="20"/>
              </w:rPr>
            </w:pPr>
            <w:r>
              <w:rPr>
                <w:rFonts w:hint="eastAsia" w:ascii="宋体" w:hAnsi="宋体"/>
                <w:b/>
                <w:bCs/>
                <w:color w:val="000000"/>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2,962.78</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0"/>
                <w:szCs w:val="20"/>
              </w:rPr>
            </w:pPr>
            <w:r>
              <w:rPr>
                <w:rFonts w:hint="eastAsia" w:ascii="宋体" w:hAnsi="宋体"/>
                <w:b/>
                <w:bCs/>
                <w:color w:val="000000"/>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b/>
                <w:bCs/>
                <w:kern w:val="0"/>
                <w:sz w:val="22"/>
              </w:rPr>
            </w:pPr>
            <w:r>
              <w:rPr>
                <w:rFonts w:hint="eastAsia" w:ascii="宋体" w:hAnsi="宋体"/>
                <w:color w:val="000000"/>
                <w:kern w:val="0"/>
                <w:sz w:val="22"/>
              </w:rPr>
              <w:t>2,962.78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b/>
                <w:bCs/>
                <w:kern w:val="0"/>
                <w:sz w:val="22"/>
              </w:rPr>
            </w:pPr>
            <w:r>
              <w:rPr>
                <w:rFonts w:hint="eastAsia" w:ascii="宋体" w:hAnsi="宋体"/>
                <w:color w:val="000000"/>
                <w:kern w:val="0"/>
                <w:sz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b/>
                <w:bCs/>
                <w:kern w:val="0"/>
                <w:sz w:val="22"/>
              </w:rPr>
            </w:pPr>
            <w:r>
              <w:rPr>
                <w:rFonts w:hint="eastAsia" w:ascii="宋体" w:hAnsi="宋体"/>
                <w:color w:val="000000"/>
                <w:kern w:val="0"/>
                <w:sz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b/>
                <w:bCs/>
                <w:kern w:val="0"/>
                <w:sz w:val="22"/>
              </w:rPr>
            </w:pPr>
            <w:r>
              <w:rPr>
                <w:rFonts w:hint="eastAsia" w:ascii="宋体" w:hAnsi="宋体"/>
                <w:b/>
                <w:bCs/>
                <w:color w:val="000000"/>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2,962.78</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b/>
                <w:bCs/>
                <w:kern w:val="0"/>
                <w:sz w:val="22"/>
              </w:rPr>
            </w:pPr>
            <w:r>
              <w:rPr>
                <w:rFonts w:hint="eastAsia" w:ascii="宋体" w:hAnsi="宋体"/>
                <w:b/>
                <w:bCs/>
                <w:color w:val="000000"/>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b/>
                <w:bCs/>
                <w:kern w:val="0"/>
                <w:sz w:val="22"/>
              </w:rPr>
            </w:pPr>
            <w:r>
              <w:rPr>
                <w:rFonts w:hint="eastAsia" w:ascii="宋体" w:hAnsi="宋体"/>
                <w:color w:val="000000"/>
                <w:kern w:val="0"/>
                <w:sz w:val="22"/>
              </w:rPr>
              <w:t>2,962.78</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注：1.本表反映部门本年度的总收支和年末结转结余情况。</w:t>
            </w:r>
          </w:p>
          <w:p>
            <w:pPr>
              <w:widowControl/>
              <w:jc w:val="left"/>
              <w:rPr>
                <w:rFonts w:ascii="宋体" w:hAnsi="宋体"/>
                <w:kern w:val="0"/>
                <w:sz w:val="24"/>
                <w:szCs w:val="24"/>
              </w:rPr>
            </w:pPr>
            <w:r>
              <w:rPr>
                <w:rFonts w:hint="eastAsia" w:ascii="宋体" w:hAnsi="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9"/>
        <w:tblW w:w="13900" w:type="dxa"/>
        <w:tblInd w:w="0" w:type="dxa"/>
        <w:tblLayout w:type="autofit"/>
        <w:tblCellMar>
          <w:top w:w="0" w:type="dxa"/>
          <w:left w:w="0" w:type="dxa"/>
          <w:bottom w:w="0" w:type="dxa"/>
          <w:right w:w="0" w:type="dxa"/>
        </w:tblCellMar>
      </w:tblPr>
      <w:tblGrid>
        <w:gridCol w:w="1301"/>
        <w:gridCol w:w="1090"/>
        <w:gridCol w:w="832"/>
        <w:gridCol w:w="1644"/>
        <w:gridCol w:w="1644"/>
        <w:gridCol w:w="1644"/>
        <w:gridCol w:w="1644"/>
        <w:gridCol w:w="1644"/>
        <w:gridCol w:w="1645"/>
        <w:gridCol w:w="2340"/>
      </w:tblGrid>
      <w:tr>
        <w:tblPrEx>
          <w:tblCellMar>
            <w:top w:w="0" w:type="dxa"/>
            <w:left w:w="0" w:type="dxa"/>
            <w:bottom w:w="0" w:type="dxa"/>
            <w:right w:w="0" w:type="dxa"/>
          </w:tblCellMar>
        </w:tblPrEx>
        <w:trPr>
          <w:trHeight w:val="435" w:hRule="atLeast"/>
        </w:trPr>
        <w:tc>
          <w:tcPr>
            <w:tcW w:w="1390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color w:val="000000"/>
                <w:sz w:val="20"/>
                <w:szCs w:val="20"/>
              </w:rPr>
            </w:pPr>
            <w:r>
              <w:rPr>
                <w:rFonts w:hint="eastAsia"/>
                <w:color w:val="000000"/>
                <w:sz w:val="20"/>
                <w:szCs w:val="20"/>
              </w:rPr>
              <w:t>部门：道县寿雁镇人民政府</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42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sz w:val="24"/>
                <w:szCs w:val="24"/>
              </w:rPr>
            </w:pPr>
            <w:r>
              <w:rPr>
                <w:rFonts w:hint="eastAsia"/>
              </w:rPr>
              <w:t>财政拨款收入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sz w:val="24"/>
                <w:szCs w:val="24"/>
              </w:rPr>
            </w:pPr>
            <w:r>
              <w:rPr>
                <w:rFonts w:hint="eastAsia"/>
              </w:rPr>
              <w:t>上级补助收入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sz w:val="24"/>
                <w:szCs w:val="24"/>
              </w:rPr>
            </w:pPr>
            <w:r>
              <w:rPr>
                <w:rFonts w:hint="eastAsia"/>
              </w:rPr>
              <w:t>事业收入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sz w:val="24"/>
                <w:szCs w:val="24"/>
              </w:rPr>
            </w:pPr>
            <w:r>
              <w:rPr>
                <w:rFonts w:hint="eastAsia"/>
              </w:rPr>
              <w:t>经营收入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2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sz w:val="24"/>
                <w:szCs w:val="24"/>
              </w:rPr>
            </w:pPr>
            <w:r>
              <w:rPr>
                <w:rFonts w:hint="eastAsia"/>
              </w:rPr>
              <w:t>功能分类科目编码</w:t>
            </w:r>
          </w:p>
        </w:tc>
        <w:tc>
          <w:tcPr>
            <w:tcW w:w="130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r>
      <w:tr>
        <w:tblPrEx>
          <w:tblCellMar>
            <w:top w:w="0" w:type="dxa"/>
            <w:left w:w="0" w:type="dxa"/>
            <w:bottom w:w="0" w:type="dxa"/>
            <w:right w:w="0" w:type="dxa"/>
          </w:tblCellMar>
        </w:tblPrEx>
        <w:trPr>
          <w:trHeight w:val="450" w:hRule="atLeast"/>
        </w:trPr>
        <w:tc>
          <w:tcPr>
            <w:tcW w:w="19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color w:val="000000"/>
                <w:kern w:val="0"/>
                <w:sz w:val="22"/>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color w:val="000000"/>
                <w:kern w:val="0"/>
                <w:sz w:val="22"/>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color w:val="000000"/>
                <w:kern w:val="0"/>
                <w:sz w:val="22"/>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color w:val="000000"/>
                <w:kern w:val="0"/>
                <w:sz w:val="22"/>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color w:val="000000"/>
                <w:kern w:val="0"/>
                <w:sz w:val="22"/>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color w:val="000000"/>
                <w:kern w:val="0"/>
                <w:sz w:val="22"/>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color w:val="000000"/>
                <w:kern w:val="0"/>
                <w:sz w:val="22"/>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color w:val="000000"/>
                <w:kern w:val="0"/>
                <w:sz w:val="22"/>
              </w:rPr>
              <w:t>7</w:t>
            </w:r>
          </w:p>
        </w:tc>
      </w:tr>
      <w:tr>
        <w:tblPrEx>
          <w:tblCellMar>
            <w:top w:w="0" w:type="dxa"/>
            <w:left w:w="0" w:type="dxa"/>
            <w:bottom w:w="0" w:type="dxa"/>
            <w:right w:w="0" w:type="dxa"/>
          </w:tblCellMar>
        </w:tblPrEx>
        <w:trPr>
          <w:trHeight w:val="450" w:hRule="atLeast"/>
        </w:trPr>
        <w:tc>
          <w:tcPr>
            <w:tcW w:w="199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sz w:val="24"/>
                <w:szCs w:val="24"/>
              </w:rPr>
            </w:pPr>
            <w:r>
              <w:rPr>
                <w:rFonts w:hint="eastAsia" w:ascii="宋体" w:hAnsi="宋体"/>
                <w:color w:val="000000"/>
                <w:kern w:val="0"/>
                <w:sz w:val="22"/>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sz w:val="24"/>
                <w:szCs w:val="24"/>
              </w:rPr>
            </w:pPr>
            <w:r>
              <w:rPr>
                <w:rFonts w:hint="eastAsia" w:ascii="宋体" w:hAnsi="宋体"/>
                <w:b/>
                <w:bCs/>
                <w:color w:val="000000"/>
                <w:kern w:val="0"/>
                <w:sz w:val="22"/>
              </w:rPr>
              <w:t>2,962.78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sz w:val="24"/>
                <w:szCs w:val="24"/>
              </w:rPr>
            </w:pPr>
            <w:r>
              <w:rPr>
                <w:rFonts w:hint="eastAsia" w:ascii="宋体" w:hAnsi="宋体"/>
                <w:b/>
                <w:bCs/>
                <w:color w:val="000000"/>
                <w:kern w:val="0"/>
                <w:sz w:val="22"/>
              </w:rPr>
              <w:t>2,962.78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sz w:val="24"/>
                <w:szCs w:val="24"/>
              </w:rPr>
            </w:pPr>
            <w:r>
              <w:rPr>
                <w:rFonts w:hint="eastAsia" w:ascii="宋体" w:hAnsi="宋体"/>
                <w:color w:val="000000"/>
                <w:kern w:val="0"/>
                <w:sz w:val="22"/>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sz w:val="24"/>
                <w:szCs w:val="24"/>
              </w:rPr>
            </w:pPr>
            <w:r>
              <w:rPr>
                <w:rFonts w:hint="eastAsia" w:ascii="宋体" w:hAnsi="宋体"/>
                <w:color w:val="000000"/>
                <w:kern w:val="0"/>
                <w:sz w:val="22"/>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sz w:val="24"/>
                <w:szCs w:val="24"/>
              </w:rPr>
            </w:pPr>
            <w:r>
              <w:rPr>
                <w:rFonts w:hint="eastAsia" w:ascii="宋体" w:hAnsi="宋体"/>
                <w:color w:val="000000"/>
                <w:kern w:val="0"/>
                <w:sz w:val="22"/>
              </w:rPr>
              <w:t>94.29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sz w:val="24"/>
                <w:szCs w:val="24"/>
              </w:rPr>
            </w:pPr>
            <w:r>
              <w:rPr>
                <w:rFonts w:hint="eastAsia" w:ascii="宋体" w:hAnsi="宋体"/>
                <w:color w:val="000000"/>
                <w:kern w:val="0"/>
                <w:sz w:val="22"/>
              </w:rPr>
              <w:t>94.29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sz w:val="24"/>
                <w:szCs w:val="24"/>
              </w:rPr>
            </w:pPr>
            <w:r>
              <w:rPr>
                <w:rFonts w:hint="eastAsia" w:ascii="宋体" w:hAnsi="宋体"/>
                <w:color w:val="000000"/>
                <w:kern w:val="0"/>
                <w:sz w:val="22"/>
              </w:rPr>
              <w:t>20101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sz w:val="24"/>
                <w:szCs w:val="24"/>
              </w:rPr>
            </w:pPr>
            <w:r>
              <w:rPr>
                <w:rFonts w:hint="eastAsia" w:ascii="宋体" w:hAnsi="宋体"/>
                <w:color w:val="000000"/>
                <w:kern w:val="0"/>
                <w:sz w:val="22"/>
              </w:rPr>
              <w:t>人大事务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sz w:val="24"/>
                <w:szCs w:val="24"/>
              </w:rPr>
            </w:pPr>
            <w:r>
              <w:rPr>
                <w:rFonts w:hint="eastAsia" w:ascii="宋体" w:hAnsi="宋体"/>
                <w:color w:val="000000"/>
                <w:kern w:val="0"/>
                <w:sz w:val="22"/>
              </w:rPr>
              <w:t>18.99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sz w:val="24"/>
                <w:szCs w:val="24"/>
              </w:rPr>
            </w:pPr>
            <w:r>
              <w:rPr>
                <w:rFonts w:hint="eastAsia" w:ascii="宋体" w:hAnsi="宋体"/>
                <w:color w:val="000000"/>
                <w:kern w:val="0"/>
                <w:sz w:val="22"/>
              </w:rPr>
              <w:t>18.99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2010101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15.61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15.61</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2010199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 xml:space="preserve">  其他人大事务支出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3.38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3.38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20102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政协事务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7.65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7.65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2010201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7.65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7.65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20106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财政事务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42.25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42.25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2010601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42.25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42.25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其他一般公共服务支出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25.40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25.40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2019999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 xml:space="preserve">  其他一般公共服务支出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25.40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25.40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148.77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148.77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105.24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105.24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105.24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105.24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20808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43.54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43.54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2080801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 xml:space="preserve">  死亡抚恤</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43.54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43.54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73.85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73.85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21004</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公共卫生</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2100410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 xml:space="preserve">  突发公共卫生事件应急处理</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69.85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69.85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2101101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 xml:space="preserve">  行政单位医疗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62.13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62.13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2101102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 xml:space="preserve">  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7.72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7.72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212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城乡社区支出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307.15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307.15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21205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城乡社区环境卫生</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2120501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 xml:space="preserve">  城乡社区环境卫生</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21208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国有土地使用权出让收入安排的支出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304.15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304.15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2120899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 xml:space="preserve">  其他国有土地使用权出让收入安排的支出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304.15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304.15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213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农林水支出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2,044.72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2,044.72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21305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扶贫</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1,347.48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1,347.48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2130599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 xml:space="preserve">  其他扶贫支出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1,347.48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1,347.48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21307</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农村综合改革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697.24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697.24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2130701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 xml:space="preserve">  对村级公益事业建设的补助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48.45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48.45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2130705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 xml:space="preserve">  对村民委员会和村党支部的补助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648.79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648.79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221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住房保障支出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283.00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283.00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22101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color w:val="000000"/>
                <w:kern w:val="0"/>
                <w:sz w:val="22"/>
              </w:rPr>
              <w:t>保障性安居工程支出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color w:val="000000"/>
                <w:kern w:val="0"/>
                <w:sz w:val="22"/>
              </w:rPr>
              <w:t>283.00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color w:val="000000"/>
                <w:kern w:val="0"/>
                <w:sz w:val="22"/>
              </w:rPr>
              <w:t>283.00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sz w:val="24"/>
                <w:szCs w:val="24"/>
              </w:rPr>
            </w:pPr>
            <w:r>
              <w:rPr>
                <w:rFonts w:hint="eastAsia" w:ascii="宋体" w:hAnsi="宋体"/>
                <w:color w:val="000000"/>
                <w:kern w:val="0"/>
                <w:sz w:val="22"/>
              </w:rPr>
              <w:t>2210103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sz w:val="24"/>
                <w:szCs w:val="24"/>
              </w:rPr>
            </w:pPr>
            <w:r>
              <w:rPr>
                <w:rFonts w:hint="eastAsia" w:ascii="宋体" w:hAnsi="宋体"/>
                <w:color w:val="000000"/>
                <w:kern w:val="0"/>
                <w:sz w:val="22"/>
              </w:rPr>
              <w:t xml:space="preserve">  棚户区改造</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sz w:val="24"/>
                <w:szCs w:val="24"/>
              </w:rPr>
            </w:pPr>
            <w:r>
              <w:rPr>
                <w:rFonts w:hint="eastAsia" w:ascii="宋体" w:hAnsi="宋体"/>
                <w:color w:val="000000"/>
                <w:kern w:val="0"/>
                <w:sz w:val="22"/>
              </w:rPr>
              <w:t>283.00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sz w:val="24"/>
                <w:szCs w:val="24"/>
              </w:rPr>
            </w:pPr>
            <w:r>
              <w:rPr>
                <w:rFonts w:hint="eastAsia" w:ascii="宋体" w:hAnsi="宋体"/>
                <w:color w:val="000000"/>
                <w:kern w:val="0"/>
                <w:sz w:val="22"/>
              </w:rPr>
              <w:t>283.00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sz w:val="24"/>
                <w:szCs w:val="24"/>
              </w:rPr>
            </w:pPr>
            <w:r>
              <w:rPr>
                <w:rFonts w:hint="eastAsia" w:ascii="宋体" w:hAnsi="宋体"/>
                <w:color w:val="000000"/>
                <w:kern w:val="0"/>
                <w:sz w:val="22"/>
              </w:rPr>
              <w:t>229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sz w:val="24"/>
                <w:szCs w:val="24"/>
              </w:rPr>
            </w:pPr>
            <w:r>
              <w:rPr>
                <w:rFonts w:hint="eastAsia" w:ascii="宋体" w:hAnsi="宋体"/>
                <w:color w:val="000000"/>
                <w:kern w:val="0"/>
                <w:sz w:val="22"/>
              </w:rPr>
              <w:t>其他支出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sz w:val="24"/>
                <w:szCs w:val="24"/>
              </w:rPr>
            </w:pPr>
            <w:r>
              <w:rPr>
                <w:rFonts w:hint="eastAsia" w:ascii="宋体" w:hAnsi="宋体"/>
                <w:color w:val="000000"/>
                <w:kern w:val="0"/>
                <w:sz w:val="22"/>
              </w:rPr>
              <w:t>11.00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sz w:val="24"/>
                <w:szCs w:val="24"/>
              </w:rPr>
            </w:pPr>
            <w:r>
              <w:rPr>
                <w:rFonts w:hint="eastAsia" w:ascii="宋体" w:hAnsi="宋体"/>
                <w:color w:val="000000"/>
                <w:kern w:val="0"/>
                <w:sz w:val="22"/>
              </w:rPr>
              <w:t>11.00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sz w:val="24"/>
                <w:szCs w:val="24"/>
              </w:rPr>
            </w:pPr>
            <w:r>
              <w:rPr>
                <w:rFonts w:hint="eastAsia" w:ascii="宋体" w:hAnsi="宋体"/>
                <w:color w:val="000000"/>
                <w:kern w:val="0"/>
                <w:sz w:val="22"/>
              </w:rPr>
              <w:t>22960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sz w:val="24"/>
                <w:szCs w:val="24"/>
              </w:rPr>
            </w:pPr>
            <w:r>
              <w:rPr>
                <w:rFonts w:hint="eastAsia" w:ascii="宋体" w:hAnsi="宋体"/>
                <w:color w:val="000000"/>
                <w:kern w:val="0"/>
                <w:sz w:val="22"/>
              </w:rPr>
              <w:t>彩票公益金安排的支出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sz w:val="24"/>
                <w:szCs w:val="24"/>
              </w:rPr>
            </w:pPr>
            <w:r>
              <w:rPr>
                <w:rFonts w:hint="eastAsia" w:ascii="宋体" w:hAnsi="宋体"/>
                <w:color w:val="000000"/>
                <w:kern w:val="0"/>
                <w:sz w:val="22"/>
              </w:rPr>
              <w:t>11.00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sz w:val="24"/>
                <w:szCs w:val="24"/>
              </w:rPr>
            </w:pPr>
            <w:r>
              <w:rPr>
                <w:rFonts w:hint="eastAsia" w:ascii="宋体" w:hAnsi="宋体"/>
                <w:color w:val="000000"/>
                <w:kern w:val="0"/>
                <w:sz w:val="22"/>
              </w:rPr>
              <w:t>11.00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r>
      <w:tr>
        <w:tblPrEx>
          <w:tblCellMar>
            <w:top w:w="0" w:type="dxa"/>
            <w:left w:w="0" w:type="dxa"/>
            <w:bottom w:w="0" w:type="dxa"/>
            <w:right w:w="0" w:type="dxa"/>
          </w:tblCellMar>
        </w:tblPrEx>
        <w:trPr>
          <w:trHeight w:val="450" w:hRule="atLeast"/>
        </w:trPr>
        <w:tc>
          <w:tcPr>
            <w:tcW w:w="4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sz w:val="24"/>
                <w:szCs w:val="24"/>
              </w:rPr>
            </w:pPr>
            <w:r>
              <w:rPr>
                <w:rFonts w:hint="eastAsia" w:ascii="宋体" w:hAnsi="宋体"/>
                <w:color w:val="000000"/>
                <w:kern w:val="0"/>
                <w:sz w:val="22"/>
              </w:rPr>
              <w:t>2296099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sz w:val="24"/>
                <w:szCs w:val="24"/>
              </w:rPr>
            </w:pPr>
            <w:r>
              <w:rPr>
                <w:rFonts w:hint="eastAsia" w:ascii="宋体" w:hAnsi="宋体"/>
                <w:color w:val="000000"/>
                <w:kern w:val="0"/>
                <w:sz w:val="22"/>
              </w:rPr>
              <w:t xml:space="preserve">  用于其他社会公益事业的彩票公益金支出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sz w:val="24"/>
                <w:szCs w:val="24"/>
              </w:rPr>
            </w:pPr>
            <w:r>
              <w:rPr>
                <w:rFonts w:hint="eastAsia" w:ascii="宋体" w:hAnsi="宋体"/>
                <w:color w:val="000000"/>
                <w:kern w:val="0"/>
                <w:sz w:val="22"/>
              </w:rPr>
              <w:t>11.00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sz w:val="24"/>
                <w:szCs w:val="24"/>
              </w:rPr>
            </w:pPr>
            <w:r>
              <w:rPr>
                <w:rFonts w:hint="eastAsia" w:ascii="宋体" w:hAnsi="宋体"/>
                <w:color w:val="000000"/>
                <w:kern w:val="0"/>
                <w:sz w:val="22"/>
              </w:rPr>
              <w:t>11.00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24"/>
                <w:szCs w:val="24"/>
              </w:rPr>
            </w:pPr>
          </w:p>
        </w:tc>
      </w:tr>
      <w:tr>
        <w:tblPrEx>
          <w:tblCellMar>
            <w:top w:w="0" w:type="dxa"/>
            <w:left w:w="0" w:type="dxa"/>
            <w:bottom w:w="0" w:type="dxa"/>
            <w:right w:w="0" w:type="dxa"/>
          </w:tblCellMar>
        </w:tblPrEx>
        <w:trPr>
          <w:trHeight w:val="615" w:hRule="atLeast"/>
        </w:trPr>
        <w:tc>
          <w:tcPr>
            <w:tcW w:w="1390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9"/>
        <w:tblW w:w="1302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302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olor w:val="000000"/>
                <w:kern w:val="0"/>
                <w:sz w:val="32"/>
                <w:szCs w:val="32"/>
              </w:rPr>
            </w:pPr>
            <w:r>
              <w:rPr>
                <w:rFonts w:hint="eastAsia" w:ascii="华文中宋" w:hAnsi="华文中宋" w:eastAsia="华文中宋"/>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gridSpan w:val="2"/>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60"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color w:val="000000"/>
                <w:kern w:val="0"/>
                <w:sz w:val="20"/>
                <w:szCs w:val="20"/>
              </w:rPr>
            </w:pPr>
            <w:r>
              <w:rPr>
                <w:rFonts w:hint="eastAsia" w:ascii="宋体" w:hAnsi="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gridSpan w:val="2"/>
            <w:tcBorders>
              <w:top w:val="nil"/>
              <w:left w:val="nil"/>
              <w:bottom w:val="nil"/>
              <w:right w:val="nil"/>
            </w:tcBorders>
            <w:shd w:val="clear" w:color="000000" w:fill="FFFFFF"/>
            <w:noWrap/>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部门：道县寿雁镇人民政府</w:t>
            </w:r>
          </w:p>
        </w:tc>
        <w:tc>
          <w:tcPr>
            <w:tcW w:w="60"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1249"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color w:val="000000"/>
                <w:kern w:val="0"/>
                <w:sz w:val="20"/>
                <w:szCs w:val="20"/>
              </w:rPr>
            </w:pPr>
            <w:r>
              <w:rPr>
                <w:rFonts w:hint="eastAsia" w:ascii="宋体" w:hAnsi="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color w:val="000000"/>
                <w:kern w:val="0"/>
                <w:sz w:val="20"/>
                <w:szCs w:val="20"/>
              </w:rPr>
            </w:pPr>
            <w:r>
              <w:rPr>
                <w:rFonts w:hint="eastAsia" w:ascii="宋体" w:hAnsi="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235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r>
              <w:rPr>
                <w:rFonts w:hint="eastAsia" w:ascii="宋体" w:hAnsi="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r>
              <w:rPr>
                <w:rFonts w:hint="eastAsia" w:ascii="宋体" w:hAnsi="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r>
              <w:rPr>
                <w:rFonts w:hint="eastAsia" w:ascii="宋体" w:hAnsi="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r>
              <w:rPr>
                <w:rFonts w:hint="eastAsia" w:ascii="宋体" w:hAnsi="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r>
              <w:rPr>
                <w:rFonts w:hint="eastAsia" w:ascii="宋体" w:hAnsi="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r>
              <w:rPr>
                <w:rFonts w:hint="eastAsia" w:ascii="宋体" w:hAnsi="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r>
              <w:rPr>
                <w:rFonts w:hint="eastAsia" w:ascii="宋体" w:hAnsi="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10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r>
              <w:rPr>
                <w:rFonts w:hint="eastAsia" w:ascii="宋体" w:hAnsi="宋体"/>
                <w:kern w:val="0"/>
                <w:sz w:val="24"/>
                <w:szCs w:val="24"/>
              </w:rPr>
              <w:t>功能分类科目编码</w:t>
            </w:r>
          </w:p>
        </w:tc>
        <w:tc>
          <w:tcPr>
            <w:tcW w:w="124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24"/>
                <w:szCs w:val="24"/>
              </w:rPr>
            </w:pPr>
            <w:r>
              <w:rPr>
                <w:rFonts w:hint="eastAsia" w:ascii="宋体" w:hAnsi="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110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szCs w:val="24"/>
              </w:rPr>
            </w:pPr>
          </w:p>
        </w:tc>
        <w:tc>
          <w:tcPr>
            <w:tcW w:w="12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235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4"/>
                <w:szCs w:val="24"/>
              </w:rPr>
            </w:pPr>
            <w:r>
              <w:rPr>
                <w:rFonts w:hint="eastAsia" w:ascii="宋体" w:hAnsi="宋体"/>
                <w:color w:val="000000"/>
                <w:kern w:val="0"/>
                <w:sz w:val="22"/>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4"/>
                <w:szCs w:val="24"/>
              </w:rPr>
            </w:pPr>
            <w:r>
              <w:rPr>
                <w:rFonts w:hint="eastAsia" w:ascii="宋体" w:hAnsi="宋体"/>
                <w:color w:val="000000"/>
                <w:kern w:val="0"/>
                <w:sz w:val="22"/>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4"/>
                <w:szCs w:val="24"/>
              </w:rPr>
            </w:pPr>
            <w:r>
              <w:rPr>
                <w:rFonts w:hint="eastAsia" w:ascii="宋体" w:hAnsi="宋体"/>
                <w:color w:val="000000"/>
                <w:kern w:val="0"/>
                <w:sz w:val="22"/>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4"/>
                <w:szCs w:val="24"/>
              </w:rPr>
            </w:pPr>
            <w:r>
              <w:rPr>
                <w:rFonts w:hint="eastAsia" w:ascii="宋体" w:hAnsi="宋体"/>
                <w:color w:val="000000"/>
                <w:kern w:val="0"/>
                <w:sz w:val="22"/>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4"/>
                <w:szCs w:val="24"/>
              </w:rPr>
            </w:pPr>
            <w:r>
              <w:rPr>
                <w:rFonts w:hint="eastAsia" w:ascii="宋体" w:hAnsi="宋体"/>
                <w:color w:val="000000"/>
                <w:kern w:val="0"/>
                <w:sz w:val="22"/>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4"/>
                <w:szCs w:val="24"/>
              </w:rPr>
            </w:pPr>
            <w:r>
              <w:rPr>
                <w:rFonts w:hint="eastAsia" w:ascii="宋体" w:hAnsi="宋体"/>
                <w:color w:val="000000"/>
                <w:kern w:val="0"/>
                <w:sz w:val="22"/>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4"/>
                <w:szCs w:val="24"/>
              </w:rPr>
            </w:pPr>
            <w:r>
              <w:rPr>
                <w:rFonts w:hint="eastAsia" w:ascii="宋体" w:hAnsi="宋体"/>
                <w:color w:val="000000"/>
                <w:kern w:val="0"/>
                <w:sz w:val="22"/>
              </w:rPr>
              <w:t>6</w:t>
            </w:r>
          </w:p>
        </w:tc>
      </w:tr>
      <w:tr>
        <w:tblPrEx>
          <w:tblCellMar>
            <w:top w:w="0" w:type="dxa"/>
            <w:left w:w="108" w:type="dxa"/>
            <w:bottom w:w="0" w:type="dxa"/>
            <w:right w:w="108" w:type="dxa"/>
          </w:tblCellMar>
        </w:tblPrEx>
        <w:trPr>
          <w:trHeight w:val="450" w:hRule="atLeast"/>
        </w:trPr>
        <w:tc>
          <w:tcPr>
            <w:tcW w:w="235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4"/>
                <w:szCs w:val="24"/>
              </w:rPr>
            </w:pPr>
            <w:r>
              <w:rPr>
                <w:rFonts w:hint="eastAsia" w:ascii="宋体" w:hAnsi="宋体"/>
                <w:color w:val="000000"/>
                <w:kern w:val="0"/>
                <w:sz w:val="22"/>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b/>
                <w:bCs/>
                <w:color w:val="000000"/>
                <w:kern w:val="0"/>
                <w:sz w:val="22"/>
              </w:rPr>
              <w:t>2,962.78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b/>
                <w:bCs/>
                <w:color w:val="000000"/>
                <w:kern w:val="0"/>
                <w:sz w:val="22"/>
              </w:rPr>
              <w:t>2,962.78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94.29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94.29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人大事务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18.99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18.99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2010101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15.61</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15.61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2010199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 xml:space="preserve">  其他人大事务支出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3.38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3.38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20102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政协事务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7.65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7.65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2010201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7.65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7.65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20106</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财政事务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42.25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42.25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2010601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42.25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42.25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其他一般公共服务支出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25.40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25.40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2019999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 xml:space="preserve">  其他一般公共服务支出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25.40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25.40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148.77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148.77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105.24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105.24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105.24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105.24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43.54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43.54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43.54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43.54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73.85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73.85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21004</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公共卫生</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4.00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2100410</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 xml:space="preserve">  突发公共卫生事件应急处理</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4.00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69.85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69.85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62.13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62.13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2101102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 xml:space="preserve">  事业单位医疗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7.72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7.72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212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307.15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307.15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21205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城乡社区环境卫生</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3.00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2120501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 xml:space="preserve">  城乡社区环境卫生</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3.00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21208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304.15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304.15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2120899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 xml:space="preserve">  其他国有土地使用权出让收入安排的支出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304.15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304.15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213</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农林水支出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2,044.72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2,044.72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21305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扶贫</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1,347.48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1,347.48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2130599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 xml:space="preserve">  其他扶贫支出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1,347.48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1,347.48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21307</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农村综合改革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697.24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697.24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2130701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 xml:space="preserve">  对村级公益事业建设的补助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48.45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48.45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2130705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 xml:space="preserve">  对村民委员会和村党支部的补助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648.79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648.79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221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住房保障支出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283.00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283.00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22101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保障性安居工程支出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283.00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283.00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2210103</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 xml:space="preserve">  棚户区改造</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283.00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283.00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229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其他支出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11.00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11.00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22960</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彩票公益金安排的支出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11.00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11.00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450" w:hRule="atLeast"/>
        </w:trPr>
        <w:tc>
          <w:tcPr>
            <w:tcW w:w="58"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2296099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 xml:space="preserve">  用于其他社会公益事业的彩票公益金支出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11.00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4"/>
                <w:szCs w:val="24"/>
              </w:rPr>
            </w:pPr>
            <w:r>
              <w:rPr>
                <w:rFonts w:hint="eastAsia" w:ascii="宋体" w:hAnsi="宋体"/>
                <w:color w:val="000000"/>
                <w:kern w:val="0"/>
                <w:sz w:val="22"/>
              </w:rPr>
              <w:t>11.00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4"/>
                <w:szCs w:val="24"/>
              </w:rPr>
            </w:pPr>
          </w:p>
        </w:tc>
      </w:tr>
      <w:tr>
        <w:tblPrEx>
          <w:tblCellMar>
            <w:top w:w="0" w:type="dxa"/>
            <w:left w:w="108" w:type="dxa"/>
            <w:bottom w:w="0" w:type="dxa"/>
            <w:right w:w="108" w:type="dxa"/>
          </w:tblCellMar>
        </w:tblPrEx>
        <w:trPr>
          <w:trHeight w:val="630" w:hRule="atLeast"/>
        </w:trPr>
        <w:tc>
          <w:tcPr>
            <w:tcW w:w="13021" w:type="dxa"/>
            <w:gridSpan w:val="10"/>
            <w:tcBorders>
              <w:top w:val="nil"/>
              <w:left w:val="nil"/>
              <w:bottom w:val="nil"/>
              <w:right w:val="nil"/>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9"/>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kern w:val="0"/>
                <w:sz w:val="24"/>
                <w:szCs w:val="24"/>
              </w:rPr>
            </w:pPr>
            <w:bookmarkStart w:id="2" w:name="RANGE!A1:I22"/>
            <w:bookmarkEnd w:id="2"/>
            <w:bookmarkStart w:id="3" w:name="RANGE!A1:F16"/>
          </w:p>
        </w:tc>
        <w:tc>
          <w:tcPr>
            <w:tcW w:w="436" w:type="dxa"/>
            <w:tcBorders>
              <w:top w:val="nil"/>
              <w:left w:val="nil"/>
              <w:bottom w:val="nil"/>
              <w:right w:val="nil"/>
            </w:tcBorders>
            <w:shd w:val="clear" w:color="auto" w:fill="auto"/>
            <w:noWrap/>
            <w:vAlign w:val="center"/>
          </w:tcPr>
          <w:p>
            <w:pPr>
              <w:widowControl/>
              <w:jc w:val="right"/>
              <w:rPr>
                <w:rFonts w:ascii="宋体" w:hAnsi="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olor w:val="000000"/>
                <w:kern w:val="0"/>
                <w:sz w:val="32"/>
                <w:szCs w:val="32"/>
              </w:rPr>
            </w:pPr>
            <w:r>
              <w:rPr>
                <w:rFonts w:hint="eastAsia" w:ascii="华文中宋" w:hAnsi="华文中宋" w:eastAsia="华文中宋"/>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color w:val="000000"/>
                <w:kern w:val="0"/>
                <w:sz w:val="20"/>
                <w:szCs w:val="20"/>
              </w:rPr>
            </w:pPr>
            <w:r>
              <w:rPr>
                <w:rFonts w:hint="eastAsia" w:ascii="宋体" w:hAnsi="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部门：道县寿雁镇人民政府</w:t>
            </w:r>
          </w:p>
        </w:tc>
        <w:tc>
          <w:tcPr>
            <w:tcW w:w="436"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kern w:val="0"/>
                <w:sz w:val="24"/>
                <w:szCs w:val="24"/>
              </w:rPr>
            </w:pPr>
            <w:r>
              <w:rPr>
                <w:rFonts w:hint="eastAsia" w:ascii="宋体" w:hAnsi="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color w:val="000000"/>
                <w:kern w:val="0"/>
                <w:sz w:val="20"/>
                <w:szCs w:val="20"/>
              </w:rPr>
            </w:pPr>
            <w:r>
              <w:rPr>
                <w:rFonts w:hint="eastAsia" w:ascii="宋体" w:hAnsi="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kern w:val="0"/>
                <w:sz w:val="24"/>
                <w:szCs w:val="24"/>
              </w:rPr>
            </w:pPr>
            <w:r>
              <w:rPr>
                <w:rFonts w:hint="eastAsia" w:ascii="宋体" w:hAnsi="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kern w:val="0"/>
                <w:sz w:val="24"/>
                <w:szCs w:val="24"/>
              </w:rPr>
            </w:pPr>
            <w:r>
              <w:rPr>
                <w:rFonts w:hint="eastAsia" w:ascii="宋体" w:hAnsi="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 w:val="24"/>
                <w:szCs w:val="24"/>
              </w:rPr>
            </w:pPr>
            <w:r>
              <w:rPr>
                <w:rFonts w:hint="eastAsia" w:ascii="宋体" w:hAnsi="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20"/>
                <w:szCs w:val="20"/>
              </w:rPr>
            </w:pPr>
            <w:r>
              <w:rPr>
                <w:rFonts w:hint="eastAsia" w:ascii="宋体" w:hAnsi="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24"/>
                <w:szCs w:val="24"/>
              </w:rPr>
            </w:pPr>
            <w:r>
              <w:rPr>
                <w:rFonts w:hint="eastAsia" w:ascii="宋体" w:hAnsi="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24"/>
                <w:szCs w:val="24"/>
              </w:rPr>
            </w:pPr>
            <w:r>
              <w:rPr>
                <w:rFonts w:hint="eastAsia" w:ascii="宋体" w:hAnsi="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20"/>
                <w:szCs w:val="20"/>
              </w:rPr>
            </w:pPr>
            <w:r>
              <w:rPr>
                <w:rFonts w:hint="eastAsia" w:ascii="宋体" w:hAnsi="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24"/>
                <w:szCs w:val="24"/>
              </w:rPr>
            </w:pPr>
            <w:r>
              <w:rPr>
                <w:rFonts w:hint="eastAsia" w:ascii="宋体" w:hAnsi="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4"/>
                <w:szCs w:val="24"/>
              </w:rPr>
            </w:pPr>
            <w:r>
              <w:rPr>
                <w:rFonts w:hint="eastAsia" w:ascii="宋体" w:hAnsi="宋体"/>
                <w:color w:val="000000"/>
                <w:kern w:val="0"/>
                <w:sz w:val="22"/>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4"/>
                <w:szCs w:val="24"/>
              </w:rPr>
            </w:pPr>
            <w:r>
              <w:rPr>
                <w:rFonts w:hint="eastAsia" w:ascii="宋体" w:hAnsi="宋体"/>
                <w:color w:val="000000"/>
                <w:kern w:val="0"/>
                <w:sz w:val="22"/>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4"/>
                <w:szCs w:val="24"/>
              </w:rPr>
            </w:pPr>
            <w:r>
              <w:rPr>
                <w:rFonts w:hint="eastAsia" w:ascii="宋体" w:hAnsi="宋体"/>
                <w:color w:val="000000"/>
                <w:kern w:val="0"/>
                <w:sz w:val="22"/>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4"/>
                <w:szCs w:val="24"/>
              </w:rPr>
            </w:pPr>
            <w:r>
              <w:rPr>
                <w:rFonts w:hint="eastAsia" w:ascii="宋体" w:hAnsi="宋体"/>
                <w:color w:val="000000"/>
                <w:kern w:val="0"/>
                <w:sz w:val="22"/>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4"/>
                <w:szCs w:val="24"/>
              </w:rPr>
            </w:pPr>
            <w:r>
              <w:rPr>
                <w:rFonts w:hint="eastAsia" w:ascii="宋体" w:hAnsi="宋体"/>
                <w:color w:val="000000"/>
                <w:kern w:val="0"/>
                <w:sz w:val="22"/>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4"/>
                <w:szCs w:val="24"/>
              </w:rPr>
            </w:pPr>
            <w:r>
              <w:rPr>
                <w:rFonts w:hint="eastAsia" w:ascii="宋体" w:hAnsi="宋体"/>
                <w:color w:val="000000"/>
                <w:kern w:val="0"/>
                <w:sz w:val="22"/>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4"/>
                <w:szCs w:val="24"/>
              </w:rPr>
            </w:pPr>
            <w:r>
              <w:rPr>
                <w:rFonts w:hint="eastAsia" w:ascii="宋体" w:hAnsi="宋体"/>
                <w:color w:val="000000"/>
                <w:kern w:val="0"/>
                <w:sz w:val="22"/>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2,647.63</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33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94.29</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94.29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315.15</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4"/>
                <w:szCs w:val="24"/>
              </w:rPr>
            </w:pPr>
            <w:r>
              <w:rPr>
                <w:rFonts w:hint="eastAsia" w:ascii="宋体" w:hAnsi="宋体"/>
                <w:color w:val="000000"/>
                <w:kern w:val="0"/>
                <w:sz w:val="22"/>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40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148.77</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148.77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41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73.85</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73.85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43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307.15</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3.00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304.15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44</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2,044.72</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2,044.72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51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283.00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283.00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55</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11.00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11.00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b/>
                <w:bCs/>
                <w:kern w:val="0"/>
                <w:sz w:val="22"/>
              </w:rPr>
            </w:pPr>
            <w:r>
              <w:rPr>
                <w:rFonts w:hint="eastAsia" w:ascii="宋体" w:hAnsi="宋体"/>
                <w:b/>
                <w:bCs/>
                <w:color w:val="000000"/>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2,962.78</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b/>
                <w:bCs/>
                <w:kern w:val="0"/>
                <w:sz w:val="22"/>
              </w:rPr>
            </w:pPr>
            <w:r>
              <w:rPr>
                <w:rFonts w:hint="eastAsia" w:ascii="宋体" w:hAnsi="宋体"/>
                <w:b/>
                <w:bCs/>
                <w:color w:val="000000"/>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59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2,962.78</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2,647.63</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315.15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kern w:val="0"/>
                <w:sz w:val="22"/>
              </w:rPr>
            </w:pPr>
            <w:r>
              <w:rPr>
                <w:rFonts w:hint="eastAsia" w:ascii="宋体" w:hAnsi="宋体"/>
                <w:color w:val="000000"/>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kern w:val="0"/>
                <w:sz w:val="22"/>
              </w:rPr>
            </w:pPr>
            <w:r>
              <w:rPr>
                <w:rFonts w:hint="eastAsia" w:ascii="宋体" w:hAnsi="宋体"/>
                <w:color w:val="000000"/>
                <w:kern w:val="0"/>
                <w:sz w:val="22"/>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b/>
                <w:bCs/>
                <w:kern w:val="0"/>
                <w:sz w:val="22"/>
              </w:rPr>
            </w:pPr>
            <w:r>
              <w:rPr>
                <w:rFonts w:hint="eastAsia" w:ascii="宋体" w:hAnsi="宋体"/>
                <w:b/>
                <w:bCs/>
                <w:color w:val="000000"/>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kern w:val="0"/>
                <w:sz w:val="22"/>
              </w:rPr>
            </w:pPr>
            <w:r>
              <w:rPr>
                <w:rFonts w:hint="eastAsia" w:ascii="宋体" w:hAnsi="宋体"/>
                <w:color w:val="000000"/>
                <w:kern w:val="0"/>
                <w:sz w:val="22"/>
              </w:rPr>
              <w:t>2,962.78</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b/>
                <w:bCs/>
                <w:kern w:val="0"/>
                <w:sz w:val="22"/>
              </w:rPr>
            </w:pPr>
            <w:r>
              <w:rPr>
                <w:rFonts w:hint="eastAsia" w:ascii="宋体" w:hAnsi="宋体"/>
                <w:b/>
                <w:bCs/>
                <w:color w:val="000000"/>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kern w:val="0"/>
                <w:sz w:val="22"/>
              </w:rPr>
            </w:pPr>
            <w:r>
              <w:rPr>
                <w:rFonts w:hint="eastAsia" w:ascii="宋体" w:hAnsi="宋体"/>
                <w:color w:val="000000"/>
                <w:kern w:val="0"/>
                <w:sz w:val="22"/>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kern w:val="0"/>
                <w:sz w:val="22"/>
              </w:rPr>
            </w:pPr>
            <w:r>
              <w:rPr>
                <w:rFonts w:hint="eastAsia" w:ascii="宋体" w:hAnsi="宋体"/>
                <w:color w:val="000000"/>
                <w:kern w:val="0"/>
                <w:sz w:val="22"/>
              </w:rPr>
              <w:t>2,962.78</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kern w:val="0"/>
                <w:sz w:val="22"/>
              </w:rPr>
            </w:pPr>
            <w:r>
              <w:rPr>
                <w:rFonts w:hint="eastAsia" w:ascii="宋体" w:hAnsi="宋体"/>
                <w:color w:val="000000"/>
                <w:kern w:val="0"/>
                <w:sz w:val="22"/>
              </w:rPr>
              <w:t>2,647.63</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b/>
                <w:bCs/>
                <w:kern w:val="0"/>
                <w:sz w:val="22"/>
              </w:rPr>
            </w:pPr>
            <w:r>
              <w:rPr>
                <w:rFonts w:hint="eastAsia" w:ascii="宋体" w:hAnsi="宋体"/>
                <w:color w:val="000000"/>
                <w:kern w:val="0"/>
                <w:sz w:val="22"/>
              </w:rPr>
              <w:t>315.15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3"/>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道县寿雁镇人民政府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986"/>
        <w:gridCol w:w="1004"/>
        <w:gridCol w:w="3281"/>
        <w:gridCol w:w="2849"/>
        <w:gridCol w:w="3302"/>
        <w:gridCol w:w="2797"/>
      </w:tblGrid>
      <w:tr>
        <w:tblPrEx>
          <w:tblCellMar>
            <w:top w:w="0" w:type="dxa"/>
            <w:left w:w="108" w:type="dxa"/>
            <w:bottom w:w="0" w:type="dxa"/>
            <w:right w:w="108" w:type="dxa"/>
          </w:tblCellMar>
        </w:tblPrEx>
        <w:trPr>
          <w:trHeight w:val="405" w:hRule="atLeast"/>
          <w:jc w:val="center"/>
        </w:trPr>
        <w:tc>
          <w:tcPr>
            <w:tcW w:w="5271"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8"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30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797"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97"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9"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797"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color w:val="000000"/>
                <w:kern w:val="0"/>
                <w:sz w:val="22"/>
              </w:rPr>
              <w:t>栏次</w:t>
            </w:r>
          </w:p>
        </w:tc>
        <w:tc>
          <w:tcPr>
            <w:tcW w:w="2849"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color w:val="000000"/>
                <w:kern w:val="0"/>
                <w:sz w:val="22"/>
              </w:rPr>
              <w:t>1</w:t>
            </w:r>
          </w:p>
        </w:tc>
        <w:tc>
          <w:tcPr>
            <w:tcW w:w="330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color w:val="000000"/>
                <w:kern w:val="0"/>
                <w:sz w:val="22"/>
              </w:rPr>
              <w:t>2</w:t>
            </w:r>
          </w:p>
        </w:tc>
        <w:tc>
          <w:tcPr>
            <w:tcW w:w="2797" w:type="dxa"/>
            <w:tcBorders>
              <w:top w:val="nil"/>
              <w:left w:val="nil"/>
              <w:bottom w:val="single" w:color="auto" w:sz="4" w:space="0"/>
              <w:right w:val="single" w:color="auto" w:sz="8"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color w:val="000000"/>
                <w:kern w:val="0"/>
                <w:sz w:val="22"/>
              </w:rPr>
              <w:t>3</w:t>
            </w:r>
          </w:p>
        </w:tc>
      </w:tr>
      <w:tr>
        <w:tblPrEx>
          <w:tblCellMar>
            <w:top w:w="0" w:type="dxa"/>
            <w:left w:w="108" w:type="dxa"/>
            <w:bottom w:w="0" w:type="dxa"/>
            <w:right w:w="108" w:type="dxa"/>
          </w:tblCellMar>
        </w:tblPrEx>
        <w:trPr>
          <w:trHeight w:val="450" w:hRule="atLeast"/>
          <w:jc w:val="center"/>
        </w:trPr>
        <w:tc>
          <w:tcPr>
            <w:tcW w:w="5271"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color w:val="000000"/>
                <w:kern w:val="0"/>
                <w:sz w:val="22"/>
              </w:rPr>
              <w:t>合计</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b/>
                <w:bCs/>
                <w:color w:val="000000"/>
                <w:kern w:val="0"/>
                <w:sz w:val="22"/>
              </w:rPr>
              <w:t>2,647.63</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b/>
                <w:bCs/>
                <w:color w:val="000000"/>
                <w:kern w:val="0"/>
                <w:sz w:val="22"/>
              </w:rPr>
              <w:t>2,647.63</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201</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一般公共服务支出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94.29</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94.29</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20101</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人大事务</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18.99</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18.99</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2010101</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 xml:space="preserve">  行政运行</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15.61</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15.61</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2010199</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 xml:space="preserve">  其他人大事务支出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3.38</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3.38</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20102</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政协事务</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7.65</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7.65</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2010201</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 xml:space="preserve">  行政运行</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7.65</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7.65</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20106</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财政事务</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42.25</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42.25</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2010601</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 xml:space="preserve">  行政运行</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42.25</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42.25</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20199</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其他一般公共服务支出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25.40</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25.40</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2019999</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 xml:space="preserve">  其他一般公共服务支出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25.40</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25.40</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208</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社会保障和就业支出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148.77</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148.77</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20805</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行政事业单位养老支出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105.24</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105.24</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2080505</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 xml:space="preserve">  机关事业单位基本养老保险缴费支出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105.24</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105.24</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20808</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抚恤</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43.54</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43.54</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2080801</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 xml:space="preserve">  死亡抚恤</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43.54</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43.54</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210</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卫生健康支出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73.85</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73.85</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21004</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公共卫生</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4.00</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4.00</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2100410</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 xml:space="preserve">  突发公共卫生事件应急处理</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4.00</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4.00</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21011</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行政事业单位医疗</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69.85</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69.85</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2101101</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 xml:space="preserve">  行政单位医疗</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62.13</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62.13</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2101102</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 xml:space="preserve">  事业单位医疗</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7.72</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7.72</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212</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城乡社区支出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3.00</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3.00</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21205</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城乡社区环境卫生</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3.00</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3.00</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2120501</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 xml:space="preserve">  城乡社区环境卫生</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3.00</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3.00</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213</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农林水支出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2,044.72</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2,044.72</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21305</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扶贫</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1,347.48</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1,347.48</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2130599</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 xml:space="preserve">  其他扶贫支出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1,347.48</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1,347.48</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21307</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农村综合改革</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697.24</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697.24</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2130701</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 xml:space="preserve">  对村级公益事业建设的补助</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48.45</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48.45</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2130705</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 xml:space="preserve">  对村民委员会和村党支部的补助</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648.79</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648.79</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221</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住房保障支出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283.00</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283.00</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22101</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保障性安居工程支出</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283.00</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283.00</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2210103</w:t>
            </w:r>
          </w:p>
        </w:tc>
        <w:tc>
          <w:tcPr>
            <w:tcW w:w="4285"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 xml:space="preserve">  棚户区改造</w:t>
            </w:r>
          </w:p>
        </w:tc>
        <w:tc>
          <w:tcPr>
            <w:tcW w:w="284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283.00</w:t>
            </w:r>
          </w:p>
        </w:tc>
        <w:tc>
          <w:tcPr>
            <w:tcW w:w="330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283.00</w:t>
            </w:r>
          </w:p>
        </w:tc>
        <w:tc>
          <w:tcPr>
            <w:tcW w:w="2797"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0" w:type="auto"/>
        <w:tblInd w:w="0" w:type="dxa"/>
        <w:tblLayout w:type="autofit"/>
        <w:tblCellMar>
          <w:top w:w="0" w:type="dxa"/>
          <w:left w:w="108" w:type="dxa"/>
          <w:bottom w:w="0" w:type="dxa"/>
          <w:right w:w="108" w:type="dxa"/>
        </w:tblCellMar>
      </w:tblPr>
      <w:tblGrid>
        <w:gridCol w:w="1270"/>
        <w:gridCol w:w="3161"/>
        <w:gridCol w:w="1046"/>
        <w:gridCol w:w="1163"/>
        <w:gridCol w:w="2183"/>
        <w:gridCol w:w="841"/>
        <w:gridCol w:w="1164"/>
        <w:gridCol w:w="3945"/>
        <w:gridCol w:w="841"/>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olor w:val="000000"/>
                <w:kern w:val="0"/>
                <w:szCs w:val="32"/>
              </w:rPr>
            </w:pPr>
            <w:bookmarkStart w:id="4" w:name="RANGE!A1:I34"/>
            <w:r>
              <w:rPr>
                <w:rFonts w:hint="eastAsia" w:ascii="华文中宋" w:hAnsi="华文中宋" w:eastAsia="华文中宋"/>
                <w:color w:val="000000"/>
                <w:kern w:val="0"/>
                <w:szCs w:val="32"/>
              </w:rPr>
              <w:t>一般公共预算财政拨款基本支出决算明细表</w:t>
            </w:r>
            <w:bookmarkEnd w:id="4"/>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道县寿雁镇人民政府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Cs w:val="20"/>
              </w:rPr>
            </w:pPr>
            <w:r>
              <w:rPr>
                <w:rFonts w:hint="eastAsia" w:ascii="宋体" w:hAnsi="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0"/>
              </w:rPr>
            </w:pPr>
            <w:r>
              <w:rPr>
                <w:rFonts w:hint="eastAsia" w:ascii="宋体" w:hAnsi="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0"/>
              </w:rPr>
            </w:pPr>
            <w:r>
              <w:rPr>
                <w:rFonts w:hint="eastAsia" w:ascii="宋体" w:hAnsi="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0"/>
              </w:rPr>
            </w:pPr>
            <w:r>
              <w:rPr>
                <w:rFonts w:hint="eastAsia" w:ascii="宋体" w:hAnsi="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0"/>
              </w:rPr>
            </w:pPr>
            <w:r>
              <w:rPr>
                <w:rFonts w:hint="eastAsia" w:ascii="宋体" w:hAnsi="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0"/>
              </w:rPr>
            </w:pPr>
            <w:r>
              <w:rPr>
                <w:rFonts w:hint="eastAsia" w:ascii="宋体" w:hAnsi="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0"/>
              </w:rPr>
            </w:pPr>
            <w:r>
              <w:rPr>
                <w:rFonts w:hint="eastAsia" w:ascii="宋体" w:hAnsi="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0"/>
              </w:rPr>
            </w:pPr>
            <w:r>
              <w:rPr>
                <w:rFonts w:hint="eastAsia" w:ascii="宋体" w:hAnsi="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Cs w:val="20"/>
              </w:rPr>
            </w:pPr>
            <w:r>
              <w:rPr>
                <w:rFonts w:hint="eastAsia" w:ascii="宋体" w:hAnsi="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942.96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565.55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365.79</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25.00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30701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205.97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27.80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30702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26.14</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资本性支出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374.80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1.50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31001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109.69</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6.00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31002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105.24</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17.00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31003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283.00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3.70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31005</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69.85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2.40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31006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6.00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31007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16.24</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31008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31009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58.80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31010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60.28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6.70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31011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764.33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20.23</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31012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6.10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31013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19.50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31019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31021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43.54</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31022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648.79</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31099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91.80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130.45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10.00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10.00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39906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40.80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39907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38.00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39908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4.00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39999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108.89</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62.00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13.05</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color w:val="000000"/>
                <w:kern w:val="0"/>
                <w:szCs w:val="20"/>
              </w:rPr>
            </w:pPr>
            <w:r>
              <w:rPr>
                <w:rFonts w:hint="eastAsia" w:ascii="宋体" w:hAnsi="宋体"/>
                <w:color w:val="000000"/>
                <w:kern w:val="0"/>
                <w:sz w:val="22"/>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3.38</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olor w:val="000000"/>
                <w:kern w:val="0"/>
                <w:szCs w:val="20"/>
              </w:rPr>
            </w:pPr>
            <w:r>
              <w:rPr>
                <w:rFonts w:hint="eastAsia" w:ascii="宋体" w:hAnsi="宋体"/>
                <w:color w:val="000000"/>
                <w:kern w:val="0"/>
                <w:sz w:val="22"/>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20"/>
              </w:rPr>
            </w:pPr>
            <w:r>
              <w:rPr>
                <w:rFonts w:hint="eastAsia" w:ascii="宋体" w:hAnsi="宋体"/>
                <w:color w:val="000000"/>
                <w:kern w:val="0"/>
                <w:sz w:val="22"/>
              </w:rPr>
              <w:t>1,707.28</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olor w:val="000000"/>
                <w:kern w:val="0"/>
                <w:szCs w:val="20"/>
              </w:rPr>
            </w:pPr>
            <w:r>
              <w:rPr>
                <w:rFonts w:hint="eastAsia" w:ascii="宋体" w:hAnsi="宋体"/>
                <w:color w:val="000000"/>
                <w:kern w:val="0"/>
                <w:sz w:val="22"/>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color w:val="000000"/>
                <w:kern w:val="0"/>
                <w:szCs w:val="18"/>
              </w:rPr>
            </w:pPr>
            <w:r>
              <w:rPr>
                <w:rFonts w:hint="eastAsia" w:ascii="宋体" w:hAnsi="宋体"/>
                <w:color w:val="000000"/>
                <w:kern w:val="0"/>
                <w:sz w:val="22"/>
              </w:rPr>
              <w:t>940.35</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color w:val="000000"/>
                <w:kern w:val="0"/>
                <w:szCs w:val="24"/>
              </w:rPr>
            </w:pPr>
            <w:r>
              <w:rPr>
                <w:rFonts w:hint="eastAsia" w:ascii="宋体" w:hAnsi="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：道县寿雁镇人民政府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24.00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4.00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4.00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20.00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23.50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4.00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4.00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19.50</w:t>
            </w:r>
          </w:p>
        </w:tc>
      </w:tr>
    </w:tbl>
    <w:p>
      <w:pPr>
        <w:widowControl/>
        <w:jc w:val="left"/>
        <w:rPr>
          <w:rFonts w:ascii="宋体"/>
          <w:kern w:val="0"/>
          <w:sz w:val="24"/>
          <w:szCs w:val="24"/>
        </w:rPr>
      </w:pPr>
      <w:r>
        <w:rPr>
          <w:rFonts w:hint="eastAsia" w:ascii="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kern w:val="0"/>
          <w:sz w:val="24"/>
          <w:szCs w:val="24"/>
        </w:rPr>
        <w:br w:type="page"/>
      </w:r>
    </w:p>
    <w:p>
      <w:pPr>
        <w:autoSpaceDE w:val="0"/>
        <w:autoSpaceDN w:val="0"/>
        <w:adjustRightInd w:val="0"/>
        <w:ind w:left="315" w:leftChars="150"/>
        <w:jc w:val="left"/>
        <w:rPr>
          <w:rFonts w:ascii="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寿雁镇人民政府</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9"/>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66"/>
        <w:gridCol w:w="1237"/>
        <w:gridCol w:w="1854"/>
        <w:gridCol w:w="1896"/>
        <w:gridCol w:w="1896"/>
        <w:gridCol w:w="1896"/>
        <w:gridCol w:w="1854"/>
        <w:gridCol w:w="18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gridSpan w:val="2"/>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gridSpan w:val="2"/>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3"/>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color w:val="000000"/>
                <w:kern w:val="0"/>
                <w:sz w:val="22"/>
              </w:rPr>
              <w:t>栏次</w:t>
            </w:r>
          </w:p>
        </w:tc>
        <w:tc>
          <w:tcPr>
            <w:tcW w:w="2000"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color w:val="000000"/>
                <w:kern w:val="0"/>
                <w:sz w:val="22"/>
              </w:rPr>
              <w:t>1</w:t>
            </w:r>
          </w:p>
        </w:tc>
        <w:tc>
          <w:tcPr>
            <w:tcW w:w="2000"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color w:val="000000"/>
                <w:kern w:val="0"/>
                <w:sz w:val="22"/>
              </w:rPr>
              <w:t>2</w:t>
            </w:r>
          </w:p>
        </w:tc>
        <w:tc>
          <w:tcPr>
            <w:tcW w:w="2000"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color w:val="000000"/>
                <w:kern w:val="0"/>
                <w:sz w:val="22"/>
              </w:rPr>
              <w:t>3</w:t>
            </w:r>
          </w:p>
        </w:tc>
        <w:tc>
          <w:tcPr>
            <w:tcW w:w="2000"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color w:val="000000"/>
                <w:kern w:val="0"/>
                <w:sz w:val="22"/>
              </w:rPr>
              <w:t>4</w:t>
            </w:r>
          </w:p>
        </w:tc>
        <w:tc>
          <w:tcPr>
            <w:tcW w:w="2000"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color w:val="000000"/>
                <w:kern w:val="0"/>
                <w:sz w:val="22"/>
              </w:rPr>
              <w:t>5</w:t>
            </w:r>
          </w:p>
        </w:tc>
        <w:tc>
          <w:tcPr>
            <w:tcW w:w="2000"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color w:val="000000"/>
                <w:kern w:val="0"/>
                <w:sz w:val="22"/>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3"/>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color w:val="000000"/>
                <w:kern w:val="0"/>
                <w:sz w:val="22"/>
              </w:rPr>
              <w:t>合计</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b/>
                <w:bCs/>
                <w:color w:val="000000"/>
                <w:kern w:val="0"/>
                <w:sz w:val="22"/>
              </w:rPr>
              <w:t>315.15</w:t>
            </w:r>
          </w:p>
        </w:tc>
        <w:tc>
          <w:tcPr>
            <w:tcW w:w="2000"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b/>
                <w:bCs/>
                <w:color w:val="000000"/>
                <w:kern w:val="0"/>
                <w:sz w:val="22"/>
              </w:rPr>
              <w:t>315.15</w:t>
            </w:r>
          </w:p>
        </w:tc>
        <w:tc>
          <w:tcPr>
            <w:tcW w:w="2000"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b/>
                <w:bCs/>
                <w:color w:val="000000"/>
                <w:kern w:val="0"/>
                <w:sz w:val="22"/>
              </w:rPr>
              <w:t>315.15</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212</w:t>
            </w:r>
          </w:p>
        </w:tc>
        <w:tc>
          <w:tcPr>
            <w:tcW w:w="2384"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城乡社区支出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304.15</w:t>
            </w:r>
          </w:p>
        </w:tc>
        <w:tc>
          <w:tcPr>
            <w:tcW w:w="2000"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304.15</w:t>
            </w:r>
          </w:p>
        </w:tc>
        <w:tc>
          <w:tcPr>
            <w:tcW w:w="2000"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304.15</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21208</w:t>
            </w:r>
          </w:p>
        </w:tc>
        <w:tc>
          <w:tcPr>
            <w:tcW w:w="2384"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国有土地使用权出让收入安排的支出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304.15</w:t>
            </w:r>
          </w:p>
        </w:tc>
        <w:tc>
          <w:tcPr>
            <w:tcW w:w="2000"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304.15</w:t>
            </w:r>
          </w:p>
        </w:tc>
        <w:tc>
          <w:tcPr>
            <w:tcW w:w="2000"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304.15</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2120899</w:t>
            </w:r>
          </w:p>
        </w:tc>
        <w:tc>
          <w:tcPr>
            <w:tcW w:w="2384"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 xml:space="preserve">  其他国有土地使用权出让收入安排的支出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304.15</w:t>
            </w:r>
          </w:p>
        </w:tc>
        <w:tc>
          <w:tcPr>
            <w:tcW w:w="2000"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304.15</w:t>
            </w:r>
          </w:p>
        </w:tc>
        <w:tc>
          <w:tcPr>
            <w:tcW w:w="2000"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304.15</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229</w:t>
            </w:r>
          </w:p>
        </w:tc>
        <w:tc>
          <w:tcPr>
            <w:tcW w:w="2384"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其他支出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11.00</w:t>
            </w:r>
          </w:p>
        </w:tc>
        <w:tc>
          <w:tcPr>
            <w:tcW w:w="2000"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11.00</w:t>
            </w:r>
          </w:p>
        </w:tc>
        <w:tc>
          <w:tcPr>
            <w:tcW w:w="2000"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11.00</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22960</w:t>
            </w:r>
          </w:p>
        </w:tc>
        <w:tc>
          <w:tcPr>
            <w:tcW w:w="2384"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彩票公益金安排的支出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11.00</w:t>
            </w:r>
          </w:p>
        </w:tc>
        <w:tc>
          <w:tcPr>
            <w:tcW w:w="2000"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11.00</w:t>
            </w:r>
          </w:p>
        </w:tc>
        <w:tc>
          <w:tcPr>
            <w:tcW w:w="2000"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11.00</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2296099</w:t>
            </w:r>
          </w:p>
        </w:tc>
        <w:tc>
          <w:tcPr>
            <w:tcW w:w="2384"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color w:val="000000"/>
                <w:kern w:val="0"/>
                <w:sz w:val="22"/>
              </w:rPr>
              <w:t xml:space="preserve">  用于其他社会公益事业的彩票公益金支出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11.00</w:t>
            </w:r>
          </w:p>
        </w:tc>
        <w:tc>
          <w:tcPr>
            <w:tcW w:w="2000"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11.00</w:t>
            </w:r>
          </w:p>
        </w:tc>
        <w:tc>
          <w:tcPr>
            <w:tcW w:w="2000"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color w:val="000000"/>
                <w:kern w:val="0"/>
                <w:sz w:val="22"/>
              </w:rPr>
              <w:t>11.00</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9"/>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kern w:val="0"/>
                <w:sz w:val="32"/>
                <w:szCs w:val="32"/>
              </w:rPr>
            </w:pPr>
            <w:r>
              <w:rPr>
                <w:rFonts w:hint="eastAsia" w:ascii="华文中宋" w:hAnsi="华文中宋" w:eastAsia="华文中宋"/>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kern w:val="0"/>
                <w:sz w:val="20"/>
                <w:szCs w:val="20"/>
              </w:rPr>
            </w:pPr>
            <w:r>
              <w:rPr>
                <w:rFonts w:hint="eastAsia" w:ascii="宋体" w:hAnsi="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kern w:val="0"/>
                <w:sz w:val="20"/>
                <w:szCs w:val="20"/>
              </w:rPr>
            </w:pPr>
            <w:r>
              <w:rPr>
                <w:rFonts w:hint="eastAsia" w:ascii="宋体" w:hAnsi="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kern w:val="0"/>
                <w:sz w:val="20"/>
                <w:szCs w:val="20"/>
              </w:rPr>
            </w:pPr>
            <w:r>
              <w:rPr>
                <w:rFonts w:hint="eastAsia" w:ascii="宋体" w:hAnsi="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color w:val="000000"/>
                <w:kern w:val="0"/>
                <w:sz w:val="20"/>
                <w:szCs w:val="20"/>
              </w:rPr>
            </w:pPr>
            <w:r>
              <w:rPr>
                <w:rFonts w:hint="eastAsia" w:ascii="宋体" w:hAnsi="宋体"/>
                <w:color w:val="000000"/>
                <w:kern w:val="0"/>
                <w:sz w:val="20"/>
                <w:szCs w:val="20"/>
              </w:rPr>
              <w:t>公开09表</w:t>
            </w:r>
          </w:p>
        </w:tc>
      </w:tr>
      <w:tr>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color w:val="000000"/>
                <w:kern w:val="0"/>
                <w:sz w:val="20"/>
                <w:szCs w:val="20"/>
              </w:rPr>
            </w:pPr>
            <w:r>
              <w:rPr>
                <w:rFonts w:hint="eastAsia" w:ascii="宋体" w:hAnsi="宋体"/>
                <w:color w:val="000000"/>
                <w:kern w:val="0"/>
                <w:sz w:val="20"/>
                <w:szCs w:val="20"/>
              </w:rPr>
              <w:t>部门：寿雁镇人民政府</w:t>
            </w:r>
          </w:p>
        </w:tc>
        <w:tc>
          <w:tcPr>
            <w:tcW w:w="560" w:type="dxa"/>
            <w:tcBorders>
              <w:top w:val="nil"/>
              <w:left w:val="nil"/>
              <w:bottom w:val="nil"/>
              <w:right w:val="nil"/>
            </w:tcBorders>
            <w:shd w:val="clear" w:color="000000" w:fill="FFFFFF"/>
            <w:vAlign w:val="center"/>
          </w:tcPr>
          <w:p>
            <w:pPr>
              <w:widowControl/>
              <w:jc w:val="center"/>
              <w:rPr>
                <w:rFonts w:ascii="宋体" w:hAnsi="宋体"/>
                <w:kern w:val="0"/>
                <w:sz w:val="20"/>
                <w:szCs w:val="20"/>
              </w:rPr>
            </w:pPr>
            <w:r>
              <w:rPr>
                <w:rFonts w:hint="eastAsia" w:ascii="宋体" w:hAnsi="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kern w:val="0"/>
                <w:sz w:val="20"/>
                <w:szCs w:val="20"/>
              </w:rPr>
            </w:pPr>
            <w:r>
              <w:rPr>
                <w:rFonts w:hint="eastAsia" w:ascii="宋体" w:hAnsi="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kern w:val="0"/>
                <w:sz w:val="20"/>
                <w:szCs w:val="20"/>
              </w:rPr>
            </w:pPr>
            <w:r>
              <w:rPr>
                <w:rFonts w:hint="eastAsia" w:ascii="宋体" w:hAnsi="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color w:val="000000"/>
                <w:kern w:val="0"/>
                <w:sz w:val="20"/>
                <w:szCs w:val="20"/>
              </w:rPr>
            </w:pPr>
            <w:r>
              <w:rPr>
                <w:rFonts w:hint="eastAsia" w:ascii="宋体" w:hAnsi="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 xml:space="preserve">项 </w:t>
            </w:r>
            <w:r>
              <w:rPr>
                <w:rFonts w:hint="eastAsia" w:ascii="宋体" w:hAnsi="宋体"/>
                <w:color w:val="000000"/>
                <w:kern w:val="0"/>
                <w:sz w:val="22"/>
              </w:rPr>
              <w:t xml:space="preserve">   </w:t>
            </w:r>
            <w:r>
              <w:rPr>
                <w:rFonts w:hint="eastAsia" w:ascii="宋体" w:hAnsi="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hint="eastAsia" w:ascii="宋体" w:hAnsi="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0"/>
                <w:szCs w:val="20"/>
              </w:rPr>
            </w:pPr>
            <w:r>
              <w:rPr>
                <w:rFonts w:hint="eastAsia" w:ascii="宋体" w:hAnsi="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kern w:val="0"/>
                <w:sz w:val="24"/>
                <w:szCs w:val="24"/>
              </w:rPr>
            </w:pPr>
            <w:r>
              <w:rPr>
                <w:rFonts w:hint="eastAsia" w:ascii="宋体" w:hAnsi="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kern w:val="0"/>
                <w:sz w:val="24"/>
                <w:szCs w:val="24"/>
              </w:rPr>
            </w:pPr>
            <w:r>
              <w:rPr>
                <w:rFonts w:hint="eastAsia" w:ascii="宋体" w:hAnsi="宋体"/>
                <w:kern w:val="0"/>
                <w:sz w:val="24"/>
                <w:szCs w:val="24"/>
              </w:rPr>
              <w:t>注：本表反映部门本年度国有资本经营预算财政拨款支出情况。</w:t>
            </w:r>
          </w:p>
          <w:p>
            <w:pPr>
              <w:pStyle w:val="2"/>
              <w:rPr>
                <w:rFonts w:hint="eastAsia"/>
                <w:lang w:val="en-US" w:bidi="ar-SA"/>
              </w:rPr>
            </w:pPr>
            <w:r>
              <w:rPr>
                <w:rFonts w:hint="eastAsia"/>
                <w:sz w:val="30"/>
                <w:szCs w:val="30"/>
              </w:rPr>
              <w:t>寿雁镇人民政府部门无国有资本经营预算财政拨款收入，也没有安排</w:t>
            </w:r>
            <w:r>
              <w:rPr>
                <w:rFonts w:hint="eastAsia"/>
                <w:sz w:val="30"/>
                <w:szCs w:val="30"/>
                <w:lang w:val="en-US"/>
              </w:rPr>
              <w:t>国有资本经营财政</w:t>
            </w:r>
            <w:r>
              <w:rPr>
                <w:rFonts w:hint="eastAsia"/>
                <w:sz w:val="30"/>
                <w:szCs w:val="30"/>
              </w:rPr>
              <w:t>支出，故本表格无数据。</w:t>
            </w:r>
          </w:p>
        </w:tc>
      </w:tr>
    </w:tbl>
    <w:p>
      <w:pPr>
        <w:pStyle w:val="13"/>
        <w:rPr>
          <w:sz w:val="72"/>
          <w:szCs w:val="72"/>
        </w:rPr>
        <w:sectPr>
          <w:pgSz w:w="16838" w:h="11906" w:orient="landscape"/>
          <w:pgMar w:top="720" w:right="720" w:bottom="720" w:left="720" w:header="851" w:footer="992" w:gutter="0"/>
          <w:cols w:space="425" w:num="1"/>
          <w:docGrid w:type="lines" w:linePitch="312" w:charSpace="0"/>
        </w:sectPr>
      </w:pP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第三部分</w:t>
      </w:r>
    </w:p>
    <w:p>
      <w:pPr>
        <w:pStyle w:val="13"/>
        <w:jc w:val="center"/>
        <w:rPr>
          <w:sz w:val="70"/>
          <w:szCs w:val="70"/>
        </w:rPr>
      </w:pPr>
    </w:p>
    <w:p>
      <w:pPr>
        <w:pStyle w:val="13"/>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3"/>
        <w:rPr>
          <w:rFonts w:ascii="宋体" w:hAnsi="宋体" w:eastAsia="宋体"/>
          <w:sz w:val="32"/>
          <w:szCs w:val="32"/>
        </w:rPr>
      </w:pPr>
    </w:p>
    <w:p>
      <w:pPr>
        <w:pStyle w:val="13"/>
        <w:rPr>
          <w:rFonts w:hAnsi="黑体"/>
          <w:b/>
          <w:sz w:val="32"/>
          <w:szCs w:val="32"/>
        </w:rPr>
      </w:pPr>
      <w:r>
        <w:rPr>
          <w:rFonts w:hint="eastAsia" w:hAnsi="黑体"/>
          <w:b/>
          <w:sz w:val="32"/>
          <w:szCs w:val="32"/>
        </w:rPr>
        <w:t>一、收入支出决算总体情况说明</w:t>
      </w:r>
    </w:p>
    <w:p>
      <w:pPr>
        <w:pStyle w:val="13"/>
        <w:ind w:firstLine="640" w:firstLineChars="200"/>
        <w:rPr>
          <w:rFonts w:ascii="宋体" w:hAnsi="宋体" w:eastAsia="宋体"/>
          <w:sz w:val="32"/>
          <w:szCs w:val="32"/>
        </w:rPr>
      </w:pPr>
      <w:r>
        <w:rPr>
          <w:rFonts w:hint="eastAsia" w:ascii="宋体" w:hAnsi="宋体" w:eastAsia="宋体"/>
          <w:sz w:val="32"/>
          <w:szCs w:val="32"/>
        </w:rPr>
        <w:t>2021年度收、支总计2962.78万元。比2020年2693.9万元增加了268.88万元，增加了9.98%，主要是增加了项目资金拨款。</w:t>
      </w:r>
    </w:p>
    <w:p>
      <w:pPr>
        <w:pStyle w:val="13"/>
        <w:rPr>
          <w:rFonts w:ascii="宋体" w:hAnsi="宋体" w:eastAsia="宋体"/>
          <w:sz w:val="32"/>
          <w:szCs w:val="32"/>
        </w:rPr>
      </w:pPr>
      <w:r>
        <w:rPr>
          <w:rFonts w:hint="eastAsia" w:hAnsi="黑体"/>
          <w:b/>
          <w:sz w:val="32"/>
          <w:szCs w:val="32"/>
        </w:rPr>
        <w:t>二、收入决算情况说明</w:t>
      </w:r>
    </w:p>
    <w:p>
      <w:pPr>
        <w:pStyle w:val="13"/>
        <w:ind w:firstLine="640" w:firstLineChars="200"/>
        <w:rPr>
          <w:rFonts w:ascii="宋体" w:hAnsi="宋体" w:eastAsia="宋体"/>
          <w:sz w:val="32"/>
          <w:szCs w:val="32"/>
        </w:rPr>
      </w:pPr>
      <w:r>
        <w:rPr>
          <w:rFonts w:hint="eastAsia" w:ascii="宋体" w:hAnsi="宋体" w:eastAsia="宋体"/>
          <w:sz w:val="32"/>
          <w:szCs w:val="32"/>
        </w:rPr>
        <w:t>2021年度收入合计2962.78万元，其中：财政拨款收入2962.78万元，占100%；上级补助收入0万元，占0%；事业收入0万元，占0%；经营收入0万元，占0%；附属单位上缴0万元，占0%；其他收入0万元，占0%。</w:t>
      </w:r>
    </w:p>
    <w:p>
      <w:pPr>
        <w:pStyle w:val="13"/>
        <w:rPr>
          <w:rFonts w:hAnsi="黑体"/>
          <w:b/>
          <w:sz w:val="32"/>
          <w:szCs w:val="32"/>
        </w:rPr>
      </w:pPr>
      <w:r>
        <w:rPr>
          <w:rFonts w:hint="eastAsia" w:hAnsi="黑体"/>
          <w:b/>
          <w:sz w:val="32"/>
          <w:szCs w:val="32"/>
        </w:rPr>
        <w:t>三、支出决算情况说明</w:t>
      </w:r>
    </w:p>
    <w:p>
      <w:pPr>
        <w:pStyle w:val="13"/>
        <w:ind w:firstLine="640" w:firstLineChars="200"/>
        <w:rPr>
          <w:rFonts w:ascii="宋体" w:hAnsi="宋体" w:eastAsia="宋体"/>
          <w:sz w:val="32"/>
          <w:szCs w:val="32"/>
        </w:rPr>
      </w:pPr>
      <w:r>
        <w:rPr>
          <w:rFonts w:hint="eastAsia" w:ascii="宋体" w:hAnsi="宋体" w:eastAsia="宋体"/>
          <w:sz w:val="32"/>
          <w:szCs w:val="32"/>
        </w:rPr>
        <w:t>2021年度支出合计2962.78万元，其中：基本支出2962.78万元，占100%；项目支出0万元，占0%；上缴上级支出0万元，占0X%；经营支出0万元，占0%；对附属单位补助支出0万元，占0%。</w:t>
      </w:r>
    </w:p>
    <w:p>
      <w:pPr>
        <w:pStyle w:val="13"/>
        <w:rPr>
          <w:rFonts w:hAnsi="黑体"/>
          <w:b/>
          <w:sz w:val="32"/>
          <w:szCs w:val="32"/>
        </w:rPr>
      </w:pPr>
      <w:r>
        <w:rPr>
          <w:rFonts w:hint="eastAsia" w:hAnsi="黑体"/>
          <w:b/>
          <w:sz w:val="32"/>
          <w:szCs w:val="32"/>
        </w:rPr>
        <w:t>四、财政拨款收入支出决算总体情况说明</w:t>
      </w:r>
    </w:p>
    <w:p>
      <w:pPr>
        <w:pStyle w:val="13"/>
        <w:ind w:firstLine="640"/>
        <w:rPr>
          <w:rFonts w:ascii="宋体" w:hAnsi="宋体" w:eastAsia="宋体"/>
          <w:sz w:val="32"/>
          <w:szCs w:val="32"/>
        </w:rPr>
      </w:pPr>
      <w:r>
        <w:rPr>
          <w:rFonts w:hint="eastAsia" w:ascii="宋体" w:hAnsi="宋体" w:eastAsia="宋体"/>
          <w:sz w:val="32"/>
          <w:szCs w:val="32"/>
        </w:rPr>
        <w:t>2021年度财政拨款收、支总计2692.78万元，与上年相比，增加268.88万元,增加了9.98%，主要是增加了项目资金拨款</w:t>
      </w:r>
    </w:p>
    <w:p>
      <w:pPr>
        <w:pStyle w:val="13"/>
        <w:rPr>
          <w:rFonts w:hAnsi="黑体"/>
          <w:b/>
          <w:sz w:val="32"/>
          <w:szCs w:val="32"/>
        </w:rPr>
      </w:pPr>
      <w:r>
        <w:rPr>
          <w:rFonts w:hint="eastAsia" w:hAnsi="黑体"/>
          <w:b/>
          <w:sz w:val="32"/>
          <w:szCs w:val="32"/>
        </w:rPr>
        <w:t>五、一般公共预算财政拨款支出决算情况说明</w:t>
      </w:r>
    </w:p>
    <w:p>
      <w:pPr>
        <w:pStyle w:val="13"/>
        <w:ind w:firstLine="640" w:firstLineChars="200"/>
        <w:rPr>
          <w:rFonts w:ascii="宋体" w:hAnsi="宋体" w:eastAsia="宋体"/>
          <w:b/>
          <w:sz w:val="32"/>
          <w:szCs w:val="32"/>
        </w:rPr>
      </w:pPr>
      <w:r>
        <w:rPr>
          <w:rFonts w:hint="eastAsia" w:ascii="宋体" w:hAnsi="宋体" w:eastAsia="宋体"/>
          <w:b/>
          <w:sz w:val="32"/>
          <w:szCs w:val="32"/>
        </w:rPr>
        <w:t>（一）财政拨款支出决算总体情况</w:t>
      </w:r>
    </w:p>
    <w:p>
      <w:pPr>
        <w:pStyle w:val="13"/>
        <w:ind w:firstLine="640"/>
        <w:rPr>
          <w:rFonts w:ascii="宋体" w:hAnsi="宋体" w:eastAsia="宋体"/>
          <w:sz w:val="32"/>
          <w:szCs w:val="32"/>
        </w:rPr>
      </w:pPr>
      <w:r>
        <w:rPr>
          <w:rFonts w:hint="eastAsia" w:ascii="宋体" w:hAnsi="宋体" w:eastAsia="宋体"/>
          <w:sz w:val="32"/>
          <w:szCs w:val="32"/>
        </w:rPr>
        <w:t>2021年度财政拨款支出2692.78万元，占本年支出合计的100%，与上年相比，财政拨款支出增加268.88万元,增加了9.98%，主要是增加了项目资金拨款</w:t>
      </w:r>
    </w:p>
    <w:p>
      <w:pPr>
        <w:pStyle w:val="13"/>
        <w:rPr>
          <w:rFonts w:ascii="宋体" w:hAnsi="宋体" w:eastAsia="宋体"/>
          <w:b/>
          <w:sz w:val="32"/>
          <w:szCs w:val="32"/>
        </w:rPr>
      </w:pPr>
      <w:r>
        <w:rPr>
          <w:rFonts w:hint="eastAsia" w:ascii="宋体" w:hAnsi="宋体" w:eastAsia="宋体"/>
          <w:b/>
          <w:sz w:val="32"/>
          <w:szCs w:val="32"/>
        </w:rPr>
        <w:t>（二）财政拨款支出决算结构情况</w:t>
      </w:r>
    </w:p>
    <w:p>
      <w:pPr>
        <w:pStyle w:val="13"/>
        <w:ind w:firstLine="640" w:firstLineChars="200"/>
        <w:rPr>
          <w:rFonts w:ascii="宋体" w:hAnsi="宋体" w:eastAsia="宋体"/>
          <w:sz w:val="32"/>
          <w:szCs w:val="32"/>
        </w:rPr>
      </w:pPr>
      <w:r>
        <w:rPr>
          <w:rFonts w:hint="eastAsia" w:ascii="宋体" w:hAnsi="宋体" w:eastAsia="宋体"/>
          <w:sz w:val="32"/>
          <w:szCs w:val="32"/>
        </w:rPr>
        <w:t>2021年度财政拨款支出2692.78万元，主要用于以下方面：一般公共服务（类）支出92.29万元，占3.5%；社会保障和就业支出148.77万元，占5.52%;卫生健康支出73.85万元，占2.74%；城乡社区支出307.15万元，占11.41%;农林水支出2044.72万元，占75.93%；住房保障支出238万元，占10.51%。</w:t>
      </w:r>
    </w:p>
    <w:p>
      <w:pPr>
        <w:pStyle w:val="13"/>
        <w:ind w:firstLine="800" w:firstLineChars="250"/>
        <w:rPr>
          <w:rFonts w:ascii="宋体" w:hAnsi="宋体" w:eastAsia="宋体"/>
          <w:b/>
          <w:sz w:val="32"/>
          <w:szCs w:val="32"/>
        </w:rPr>
      </w:pPr>
      <w:r>
        <w:rPr>
          <w:rFonts w:hint="eastAsia" w:ascii="宋体" w:hAnsi="宋体" w:eastAsia="宋体"/>
          <w:b/>
          <w:sz w:val="32"/>
          <w:szCs w:val="32"/>
        </w:rPr>
        <w:t>（三）财政拨款支出决算具体情况</w:t>
      </w:r>
    </w:p>
    <w:p>
      <w:pPr>
        <w:pStyle w:val="13"/>
        <w:ind w:firstLine="800" w:firstLineChars="250"/>
        <w:rPr>
          <w:rFonts w:ascii="宋体" w:hAnsi="宋体" w:eastAsia="宋体"/>
          <w:sz w:val="32"/>
          <w:szCs w:val="32"/>
        </w:rPr>
      </w:pPr>
      <w:r>
        <w:rPr>
          <w:rFonts w:hint="eastAsia" w:ascii="宋体" w:hAnsi="宋体" w:eastAsia="宋体"/>
          <w:sz w:val="32"/>
          <w:szCs w:val="32"/>
        </w:rPr>
        <w:t>2021年度财政拨款支出年初预算数为2962.78万元，支出决算数为2692.78万元，完成年初预算的90.89%，</w:t>
      </w:r>
    </w:p>
    <w:p>
      <w:pPr>
        <w:pStyle w:val="13"/>
        <w:ind w:firstLine="800" w:firstLineChars="250"/>
        <w:rPr>
          <w:rFonts w:ascii="宋体" w:hAnsi="宋体" w:eastAsia="宋体"/>
          <w:sz w:val="32"/>
          <w:szCs w:val="32"/>
        </w:rPr>
      </w:pPr>
      <w:r>
        <w:rPr>
          <w:rFonts w:hint="eastAsia" w:ascii="宋体" w:hAnsi="宋体" w:eastAsia="宋体"/>
          <w:sz w:val="32"/>
          <w:szCs w:val="32"/>
        </w:rPr>
        <w:t>1、一般公共服务支出年初预算为1284.97万元，支出决算为94.29万元，完成年初预算的7.33%，决算数小于年初预算数的主要原因是：部分预算资金调整到其他科目；压缩了部分办公经费、会议费、培训费等开支。</w:t>
      </w:r>
    </w:p>
    <w:p>
      <w:pPr>
        <w:pStyle w:val="13"/>
        <w:ind w:firstLine="800" w:firstLineChars="250"/>
        <w:rPr>
          <w:rFonts w:ascii="宋体" w:hAnsi="宋体" w:eastAsia="宋体"/>
          <w:sz w:val="32"/>
          <w:szCs w:val="32"/>
        </w:rPr>
      </w:pPr>
      <w:r>
        <w:rPr>
          <w:rFonts w:hint="eastAsia" w:ascii="宋体" w:hAnsi="宋体" w:eastAsia="宋体"/>
          <w:sz w:val="32"/>
          <w:szCs w:val="32"/>
        </w:rPr>
        <w:t>2、社会保障和就业支出年初预算为148.77万元，支出决算为148.77万元，完成年初预算的100%。</w:t>
      </w:r>
    </w:p>
    <w:p>
      <w:pPr>
        <w:pStyle w:val="13"/>
        <w:rPr>
          <w:rFonts w:hAnsi="黑体"/>
          <w:b/>
          <w:sz w:val="32"/>
          <w:szCs w:val="32"/>
        </w:rPr>
      </w:pPr>
      <w:r>
        <w:rPr>
          <w:rFonts w:hint="eastAsia" w:hAnsi="黑体"/>
          <w:b/>
          <w:sz w:val="32"/>
          <w:szCs w:val="32"/>
        </w:rPr>
        <w:t>六、一般公共预算财政拨款基本支出决算情况说明</w:t>
      </w:r>
    </w:p>
    <w:p>
      <w:pPr>
        <w:pStyle w:val="13"/>
        <w:ind w:firstLine="640" w:firstLineChars="200"/>
        <w:rPr>
          <w:rFonts w:ascii="宋体" w:hAnsi="宋体" w:eastAsia="宋体"/>
          <w:i/>
          <w:color w:val="FF0000"/>
          <w:sz w:val="32"/>
          <w:szCs w:val="32"/>
        </w:rPr>
      </w:pPr>
      <w:r>
        <w:rPr>
          <w:rFonts w:hint="eastAsia" w:ascii="宋体" w:hAnsi="宋体" w:eastAsia="宋体"/>
          <w:sz w:val="32"/>
          <w:szCs w:val="32"/>
        </w:rPr>
        <w:t>2021年度财政拨款基本支出2962.78万元，其中：人员经费1707.28万元，占基本支出的57.62%,主要包括基本工资、津贴补贴、奖金、伙食补助费</w:t>
      </w:r>
      <w:r>
        <w:rPr>
          <w:rFonts w:ascii="宋体" w:hAnsi="宋体" w:eastAsia="宋体"/>
          <w:sz w:val="32"/>
          <w:szCs w:val="32"/>
        </w:rPr>
        <w:t>……</w:t>
      </w:r>
      <w:r>
        <w:rPr>
          <w:rFonts w:hint="eastAsia" w:ascii="宋体" w:hAnsi="宋体" w:eastAsia="宋体"/>
          <w:sz w:val="32"/>
          <w:szCs w:val="32"/>
        </w:rPr>
        <w:t>；公用经费1255.5万元，占基本支出的42.38%，主要包括办公费、印刷费、会议费、培训费、电费等。</w:t>
      </w:r>
    </w:p>
    <w:p>
      <w:pPr>
        <w:pStyle w:val="13"/>
        <w:rPr>
          <w:rFonts w:hAnsi="黑体"/>
          <w:b/>
          <w:sz w:val="32"/>
          <w:szCs w:val="32"/>
        </w:rPr>
      </w:pPr>
      <w:r>
        <w:rPr>
          <w:rFonts w:hint="eastAsia" w:hAnsi="黑体"/>
          <w:b/>
          <w:sz w:val="32"/>
          <w:szCs w:val="32"/>
        </w:rPr>
        <w:t>七、一般公共预算财政拨款“三公”经费支出决算情况说明</w:t>
      </w:r>
    </w:p>
    <w:p>
      <w:pPr>
        <w:pStyle w:val="13"/>
        <w:rPr>
          <w:rFonts w:ascii="宋体" w:hAnsi="宋体" w:eastAsia="宋体"/>
          <w:b/>
          <w:sz w:val="32"/>
          <w:szCs w:val="32"/>
        </w:rPr>
      </w:pPr>
      <w:r>
        <w:rPr>
          <w:rFonts w:hint="eastAsia" w:ascii="宋体" w:hAnsi="宋体" w:eastAsia="宋体"/>
          <w:b/>
          <w:sz w:val="32"/>
          <w:szCs w:val="32"/>
        </w:rPr>
        <w:t>（一）“三公”经费财政拨款支出决算总体情况说明</w:t>
      </w:r>
    </w:p>
    <w:p>
      <w:pPr>
        <w:pStyle w:val="13"/>
        <w:ind w:firstLine="800" w:firstLineChars="250"/>
        <w:rPr>
          <w:rFonts w:ascii="宋体" w:hAnsi="宋体" w:eastAsia="宋体"/>
          <w:sz w:val="32"/>
          <w:szCs w:val="32"/>
        </w:rPr>
      </w:pPr>
      <w:r>
        <w:rPr>
          <w:rFonts w:hint="eastAsia" w:ascii="宋体" w:hAnsi="宋体" w:eastAsia="宋体"/>
          <w:sz w:val="32"/>
          <w:szCs w:val="32"/>
        </w:rPr>
        <w:t>2021年度“三公”经费财政拨款支出预算为23.5万元，支出决算为23.5万元，完成预算的100%，其中：</w:t>
      </w:r>
    </w:p>
    <w:p>
      <w:pPr>
        <w:pStyle w:val="13"/>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3"/>
        <w:ind w:firstLine="800" w:firstLineChars="250"/>
        <w:rPr>
          <w:rFonts w:hint="eastAsia" w:ascii="宋体" w:hAnsi="宋体" w:eastAsia="宋体"/>
          <w:sz w:val="32"/>
          <w:szCs w:val="32"/>
          <w:lang w:eastAsia="zh-CN"/>
        </w:rPr>
      </w:pPr>
      <w:r>
        <w:rPr>
          <w:rFonts w:hint="eastAsia" w:ascii="宋体" w:hAnsi="宋体" w:eastAsia="宋体"/>
          <w:sz w:val="32"/>
          <w:szCs w:val="32"/>
        </w:rPr>
        <w:t>公务接待费支出预算为19.5万元，支出决算为19.5万元，完成预算的100%。</w:t>
      </w:r>
      <w:bookmarkStart w:id="5" w:name="_Hlk146529598"/>
      <w:r>
        <w:rPr>
          <w:rFonts w:hint="eastAsia" w:ascii="宋体" w:hAnsi="宋体" w:eastAsia="宋体"/>
          <w:sz w:val="32"/>
          <w:szCs w:val="32"/>
        </w:rPr>
        <w:t>与上年相比减少0</w:t>
      </w:r>
      <w:r>
        <w:rPr>
          <w:rFonts w:ascii="宋体" w:hAnsi="宋体" w:eastAsia="宋体"/>
          <w:sz w:val="32"/>
          <w:szCs w:val="32"/>
        </w:rPr>
        <w:t>.5</w:t>
      </w:r>
      <w:r>
        <w:rPr>
          <w:rFonts w:hint="eastAsia" w:ascii="宋体" w:hAnsi="宋体" w:eastAsia="宋体"/>
          <w:sz w:val="32"/>
          <w:szCs w:val="32"/>
        </w:rPr>
        <w:t>万元，减少了2</w:t>
      </w:r>
      <w:r>
        <w:rPr>
          <w:rFonts w:ascii="宋体" w:hAnsi="宋体" w:eastAsia="宋体"/>
          <w:sz w:val="32"/>
          <w:szCs w:val="32"/>
        </w:rPr>
        <w:t>.1%</w:t>
      </w:r>
      <w:bookmarkEnd w:id="5"/>
      <w:r>
        <w:rPr>
          <w:rFonts w:hint="eastAsia" w:ascii="宋体" w:hAnsi="宋体" w:eastAsia="宋体"/>
          <w:sz w:val="32"/>
          <w:szCs w:val="32"/>
          <w:lang w:eastAsia="zh-CN"/>
        </w:rPr>
        <w:t>，中央八项固定以来，我单位厉行节约，接待费用减少。</w:t>
      </w:r>
    </w:p>
    <w:p>
      <w:pPr>
        <w:pStyle w:val="13"/>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13"/>
        <w:ind w:firstLine="640" w:firstLineChars="200"/>
        <w:rPr>
          <w:rFonts w:ascii="宋体" w:hAnsi="宋体" w:eastAsia="宋体"/>
          <w:sz w:val="32"/>
          <w:szCs w:val="32"/>
        </w:rPr>
      </w:pPr>
      <w:bookmarkStart w:id="6" w:name="_GoBack"/>
      <w:bookmarkEnd w:id="6"/>
      <w:r>
        <w:rPr>
          <w:rFonts w:hint="eastAsia" w:ascii="宋体" w:hAnsi="宋体" w:eastAsia="宋体"/>
          <w:sz w:val="32"/>
          <w:szCs w:val="32"/>
        </w:rPr>
        <w:t>公务用车运行维护费支出预算为4万元，支出决算为4万元，完成预算的100%。与上年持平。</w:t>
      </w:r>
    </w:p>
    <w:p>
      <w:pPr>
        <w:pStyle w:val="13"/>
        <w:rPr>
          <w:rFonts w:ascii="宋体" w:hAnsi="宋体" w:eastAsia="宋体"/>
          <w:b/>
          <w:sz w:val="32"/>
          <w:szCs w:val="32"/>
        </w:rPr>
      </w:pPr>
      <w:r>
        <w:rPr>
          <w:rFonts w:hint="eastAsia" w:ascii="宋体" w:hAnsi="宋体" w:eastAsia="宋体"/>
          <w:b/>
          <w:sz w:val="32"/>
          <w:szCs w:val="32"/>
        </w:rPr>
        <w:t>（二）“三公”经费财政拨款支出决算具体情况说明</w:t>
      </w:r>
    </w:p>
    <w:p>
      <w:pPr>
        <w:pStyle w:val="13"/>
        <w:ind w:firstLine="640" w:firstLineChars="200"/>
        <w:rPr>
          <w:rFonts w:ascii="宋体" w:hAnsi="宋体" w:eastAsia="宋体"/>
          <w:sz w:val="32"/>
          <w:szCs w:val="32"/>
        </w:rPr>
      </w:pPr>
      <w:r>
        <w:rPr>
          <w:rFonts w:hint="eastAsia" w:ascii="宋体" w:hAnsi="宋体" w:eastAsia="宋体"/>
          <w:sz w:val="32"/>
          <w:szCs w:val="32"/>
        </w:rPr>
        <w:t>2021年度“三公”经费财政拨款支出决算中，公务接待费支出决算19.5万元，占82.98%,因公出国（境）费支出决算0万元，占0%,公务用车购置费及运行维护费支出决算4万元，占17.02%。其中：</w:t>
      </w:r>
    </w:p>
    <w:p>
      <w:pPr>
        <w:pStyle w:val="13"/>
        <w:ind w:firstLine="640" w:firstLineChars="200"/>
        <w:rPr>
          <w:rFonts w:ascii="宋体" w:hAnsi="宋体" w:eastAsia="宋体"/>
          <w:sz w:val="32"/>
          <w:szCs w:val="32"/>
        </w:rPr>
      </w:pPr>
      <w:r>
        <w:rPr>
          <w:rFonts w:hint="eastAsia" w:ascii="宋体" w:hAnsi="宋体" w:eastAsia="宋体"/>
          <w:sz w:val="32"/>
          <w:szCs w:val="32"/>
        </w:rPr>
        <w:t>1、因公出国（境）费支出决算为0万元，全年安排因公出国（境）团组0个，累计0人次。</w:t>
      </w:r>
    </w:p>
    <w:p>
      <w:pPr>
        <w:pStyle w:val="13"/>
        <w:ind w:firstLine="800" w:firstLineChars="250"/>
        <w:rPr>
          <w:rFonts w:ascii="宋体" w:hAnsi="宋体" w:eastAsia="宋体"/>
          <w:sz w:val="32"/>
          <w:szCs w:val="32"/>
        </w:rPr>
      </w:pPr>
      <w:r>
        <w:rPr>
          <w:rFonts w:hint="eastAsia" w:ascii="宋体" w:hAnsi="宋体" w:eastAsia="宋体"/>
          <w:sz w:val="32"/>
          <w:szCs w:val="32"/>
        </w:rPr>
        <w:t>2、公务接待费支出决算为19.5万元，全年共接待来访团组289个、来宾2957人次，主要是上级单位指导、检查各项工作发生的接待支出。</w:t>
      </w:r>
    </w:p>
    <w:p>
      <w:pPr>
        <w:ind w:firstLine="800" w:firstLineChars="250"/>
        <w:rPr>
          <w:rFonts w:ascii="宋体" w:hAnsi="宋体" w:cs="黑体"/>
          <w:color w:val="000000"/>
          <w:kern w:val="0"/>
          <w:sz w:val="32"/>
          <w:szCs w:val="32"/>
        </w:rPr>
      </w:pPr>
      <w:r>
        <w:rPr>
          <w:rFonts w:hint="eastAsia" w:ascii="宋体" w:hAnsi="宋体"/>
          <w:sz w:val="32"/>
          <w:szCs w:val="32"/>
        </w:rPr>
        <w:t>3、公务用车购置费及运行维护费支出决算为4万元，其中：公务用车购置费0万元</w:t>
      </w:r>
      <w:r>
        <w:rPr>
          <w:rFonts w:hint="eastAsia" w:ascii="宋体" w:hAnsi="宋体"/>
          <w:color w:val="000000"/>
          <w:sz w:val="32"/>
          <w:szCs w:val="32"/>
        </w:rPr>
        <w:t>。</w:t>
      </w:r>
      <w:r>
        <w:rPr>
          <w:rFonts w:hint="eastAsia" w:ascii="宋体" w:hAnsi="宋体"/>
          <w:sz w:val="32"/>
          <w:szCs w:val="32"/>
        </w:rPr>
        <w:t>公务用车购置0辆。公务用车运行维护费4万元，主要是燃油费、维修费、保险费等支出，截止2021年12月31日，我单位开支财政拨款的公务用车保有量为1辆。</w:t>
      </w:r>
    </w:p>
    <w:p>
      <w:pPr>
        <w:pStyle w:val="13"/>
        <w:rPr>
          <w:rFonts w:hAnsi="黑体"/>
          <w:b/>
          <w:sz w:val="32"/>
          <w:szCs w:val="32"/>
        </w:rPr>
      </w:pPr>
      <w:r>
        <w:rPr>
          <w:rFonts w:hint="eastAsia" w:hAnsi="黑体"/>
          <w:b/>
          <w:sz w:val="32"/>
          <w:szCs w:val="32"/>
        </w:rPr>
        <w:t>八、政府性基金预算收入支出决算情况</w:t>
      </w:r>
    </w:p>
    <w:p>
      <w:pPr>
        <w:pStyle w:val="13"/>
        <w:ind w:firstLine="800" w:firstLineChars="250"/>
        <w:rPr>
          <w:rFonts w:ascii="宋体" w:hAnsi="宋体" w:eastAsia="宋体"/>
          <w:sz w:val="32"/>
          <w:szCs w:val="32"/>
        </w:rPr>
      </w:pPr>
      <w:r>
        <w:rPr>
          <w:rFonts w:hint="eastAsia" w:ascii="宋体" w:hAnsi="宋体" w:eastAsia="宋体"/>
          <w:sz w:val="32"/>
          <w:szCs w:val="32"/>
        </w:rPr>
        <w:t xml:space="preserve">     2021年度政府性基金预算财政拨款收入315.15万元；年初结转和结余0万元；支出315.15万元，其中基本支出315.15万元，项目支出0万元；年末结转和结余0万元。</w:t>
      </w:r>
    </w:p>
    <w:p>
      <w:pPr>
        <w:pStyle w:val="13"/>
        <w:rPr>
          <w:rFonts w:hAnsi="黑体"/>
          <w:b/>
          <w:sz w:val="32"/>
          <w:szCs w:val="32"/>
        </w:rPr>
      </w:pPr>
      <w:r>
        <w:rPr>
          <w:rFonts w:hint="eastAsia" w:hAnsi="黑体"/>
          <w:b/>
          <w:sz w:val="32"/>
          <w:szCs w:val="32"/>
        </w:rPr>
        <w:t>九、机关运行经费支出说明</w:t>
      </w:r>
    </w:p>
    <w:p>
      <w:pPr>
        <w:pStyle w:val="13"/>
        <w:ind w:firstLine="640" w:firstLineChars="200"/>
        <w:rPr>
          <w:rFonts w:ascii="宋体" w:hAnsi="宋体" w:eastAsia="宋体"/>
          <w:sz w:val="32"/>
          <w:szCs w:val="32"/>
        </w:rPr>
      </w:pPr>
      <w:r>
        <w:rPr>
          <w:rFonts w:hint="eastAsia" w:ascii="宋体" w:hAnsi="宋体" w:eastAsia="宋体"/>
          <w:sz w:val="32"/>
          <w:szCs w:val="32"/>
        </w:rPr>
        <w:t>本部门2021年度机关运行经费支出940.34万元，比年初预算数减少304.16 万元，降低24.44%。主要原因是：压缩了部分办公经费、会议费、培训费等开支；部分资金调整到其他科目核算。</w:t>
      </w:r>
    </w:p>
    <w:p>
      <w:pPr>
        <w:pStyle w:val="13"/>
        <w:rPr>
          <w:rFonts w:hAnsi="黑体"/>
          <w:b/>
          <w:sz w:val="32"/>
          <w:szCs w:val="32"/>
        </w:rPr>
      </w:pPr>
      <w:r>
        <w:rPr>
          <w:rFonts w:hint="eastAsia" w:hAnsi="黑体"/>
          <w:b/>
          <w:sz w:val="32"/>
          <w:szCs w:val="32"/>
        </w:rPr>
        <w:t>十、一般性支出情况说明</w:t>
      </w:r>
    </w:p>
    <w:p>
      <w:pPr>
        <w:pStyle w:val="13"/>
        <w:ind w:firstLine="640" w:firstLineChars="200"/>
        <w:rPr>
          <w:rFonts w:ascii="宋体" w:hAnsi="宋体" w:eastAsia="宋体"/>
          <w:sz w:val="32"/>
          <w:szCs w:val="32"/>
        </w:rPr>
      </w:pPr>
      <w:r>
        <w:rPr>
          <w:rFonts w:hint="eastAsia" w:ascii="宋体" w:hAnsi="宋体" w:eastAsia="宋体"/>
          <w:sz w:val="32"/>
          <w:szCs w:val="32"/>
        </w:rPr>
        <w:t>2021年本部门开支会议费20.23万元，用于召开重点工作安排会议等，人数5100人，内容为安排各项工作、成果兑现等；开支培训费6.1万元，用于开展业务培训、党建培训等，人数420人。</w:t>
      </w:r>
    </w:p>
    <w:p>
      <w:pPr>
        <w:pStyle w:val="13"/>
        <w:rPr>
          <w:rFonts w:hAnsi="黑体"/>
          <w:b/>
          <w:sz w:val="32"/>
          <w:szCs w:val="32"/>
        </w:rPr>
      </w:pPr>
      <w:r>
        <w:rPr>
          <w:rFonts w:hint="eastAsia" w:hAnsi="黑体"/>
          <w:b/>
          <w:sz w:val="32"/>
          <w:szCs w:val="32"/>
        </w:rPr>
        <w:t>十一、政府采购支出说明</w:t>
      </w:r>
    </w:p>
    <w:p>
      <w:pPr>
        <w:pStyle w:val="13"/>
        <w:ind w:firstLine="640" w:firstLineChars="200"/>
        <w:rPr>
          <w:rFonts w:ascii="宋体" w:hAnsi="宋体" w:eastAsia="宋体"/>
          <w:sz w:val="32"/>
          <w:szCs w:val="32"/>
        </w:rPr>
      </w:pPr>
      <w:r>
        <w:rPr>
          <w:rFonts w:hint="eastAsia" w:ascii="宋体" w:hAnsi="宋体" w:eastAsia="宋体"/>
          <w:sz w:val="32"/>
          <w:szCs w:val="32"/>
        </w:rPr>
        <w:t>本部门2021年度政府采购支出总额0万元，其中：政府采购货物支出0 万元、政府采购工程支出0万元、政府采购服务支出0万元。授予中小企业合同金额0万元。</w:t>
      </w:r>
      <w:r>
        <w:rPr>
          <w:rFonts w:ascii="宋体" w:hAnsi="宋体" w:eastAsia="宋体"/>
          <w:sz w:val="32"/>
          <w:szCs w:val="32"/>
        </w:rPr>
        <w:t xml:space="preserve"> </w:t>
      </w:r>
    </w:p>
    <w:p>
      <w:pPr>
        <w:pStyle w:val="13"/>
        <w:rPr>
          <w:rFonts w:hAnsi="黑体"/>
          <w:b/>
          <w:sz w:val="32"/>
          <w:szCs w:val="32"/>
        </w:rPr>
      </w:pPr>
      <w:r>
        <w:rPr>
          <w:rFonts w:hint="eastAsia" w:hAnsi="黑体"/>
          <w:b/>
          <w:sz w:val="32"/>
          <w:szCs w:val="32"/>
        </w:rPr>
        <w:t>十二、国有资产占用情况说明</w:t>
      </w:r>
    </w:p>
    <w:p>
      <w:pPr>
        <w:pStyle w:val="13"/>
        <w:ind w:firstLine="640" w:firstLineChars="200"/>
        <w:rPr>
          <w:rFonts w:ascii="宋体" w:hAnsi="宋体" w:eastAsia="宋体"/>
          <w:sz w:val="32"/>
          <w:szCs w:val="32"/>
        </w:rPr>
      </w:pPr>
      <w:r>
        <w:rPr>
          <w:rFonts w:hint="eastAsia" w:ascii="宋体" w:hAnsi="宋体" w:eastAsia="宋体"/>
          <w:sz w:val="32"/>
          <w:szCs w:val="32"/>
        </w:rPr>
        <w:t>截至2021年12月31日，本单位共有车辆1辆，均为一般公务用车；单位价值50万元以上通用设备0台（套）；单位价值100万元以上专用设备0台（套）。</w:t>
      </w:r>
    </w:p>
    <w:p>
      <w:pPr>
        <w:pStyle w:val="13"/>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（1）绩效管理评价工作开展情况</w:t>
      </w:r>
      <w:r>
        <w:rPr>
          <w:rFonts w:hint="eastAsia" w:ascii="宋体" w:hAnsi="宋体" w:cs="黑体"/>
          <w:color w:val="000000"/>
          <w:kern w:val="0"/>
          <w:sz w:val="32"/>
          <w:szCs w:val="32"/>
        </w:rPr>
        <w:t>。</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根据预算绩效管理要求，我部门组织对</w:t>
      </w:r>
      <w:r>
        <w:rPr>
          <w:rFonts w:ascii="宋体" w:hAnsi="宋体" w:cs="黑体"/>
          <w:color w:val="000000"/>
          <w:kern w:val="0"/>
          <w:sz w:val="32"/>
          <w:szCs w:val="32"/>
        </w:rPr>
        <w:t xml:space="preserve">2021 </w:t>
      </w:r>
      <w:r>
        <w:rPr>
          <w:rFonts w:hint="eastAsia" w:ascii="宋体" w:hAnsi="宋体" w:cs="黑体"/>
          <w:color w:val="000000"/>
          <w:kern w:val="0"/>
          <w:sz w:val="32"/>
          <w:szCs w:val="32"/>
        </w:rPr>
        <w:t>年度一般公共预算项目支出全面开展绩效自评，其中，一级项目0个，二级项目0个，共涉及资金0</w:t>
      </w:r>
      <w:r>
        <w:rPr>
          <w:rFonts w:ascii="宋体" w:hAnsi="宋体" w:cs="黑体"/>
          <w:color w:val="000000"/>
          <w:kern w:val="0"/>
          <w:sz w:val="32"/>
          <w:szCs w:val="32"/>
        </w:rPr>
        <w:t xml:space="preserve"> </w:t>
      </w:r>
      <w:r>
        <w:rPr>
          <w:rFonts w:hint="eastAsia" w:ascii="宋体" w:hAnsi="宋体" w:cs="黑体"/>
          <w:color w:val="000000"/>
          <w:kern w:val="0"/>
          <w:sz w:val="32"/>
          <w:szCs w:val="32"/>
        </w:rPr>
        <w:t>万元，占一般公共预算项目支出总额的0</w:t>
      </w:r>
      <w:r>
        <w:rPr>
          <w:rFonts w:ascii="宋体" w:hAnsi="宋体" w:cs="黑体"/>
          <w:color w:val="000000"/>
          <w:kern w:val="0"/>
          <w:sz w:val="32"/>
          <w:szCs w:val="32"/>
        </w:rPr>
        <w:t>%</w:t>
      </w:r>
      <w:r>
        <w:rPr>
          <w:rFonts w:hint="eastAsia" w:ascii="宋体" w:hAnsi="宋体" w:cs="黑体"/>
          <w:color w:val="000000"/>
          <w:kern w:val="0"/>
          <w:sz w:val="32"/>
          <w:szCs w:val="32"/>
        </w:rPr>
        <w:t>。</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b/>
          <w:color w:val="000000"/>
          <w:kern w:val="0"/>
          <w:sz w:val="32"/>
          <w:szCs w:val="32"/>
        </w:rPr>
        <w:t>（2）部门评价项目绩效评价结果。</w:t>
      </w:r>
    </w:p>
    <w:p>
      <w:pPr>
        <w:autoSpaceDE w:val="0"/>
        <w:autoSpaceDN w:val="0"/>
        <w:adjustRightInd w:val="0"/>
        <w:ind w:firstLine="640" w:firstLineChars="200"/>
        <w:jc w:val="left"/>
        <w:rPr>
          <w:rFonts w:ascii="宋体" w:hAnsi="宋体" w:cs="黑体"/>
          <w:color w:val="000000"/>
          <w:kern w:val="0"/>
          <w:sz w:val="32"/>
          <w:szCs w:val="32"/>
        </w:rPr>
      </w:pPr>
      <w:r>
        <w:rPr>
          <w:rFonts w:hint="eastAsia" w:ascii="宋体" w:hAnsi="宋体" w:cs="黑体"/>
          <w:color w:val="000000"/>
          <w:kern w:val="0"/>
          <w:sz w:val="32"/>
          <w:szCs w:val="32"/>
        </w:rPr>
        <w:t>部门评价项目数量</w:t>
      </w:r>
      <w:r>
        <w:rPr>
          <w:rFonts w:ascii="宋体" w:hAnsi="宋体" w:cs="黑体"/>
          <w:color w:val="000000"/>
          <w:kern w:val="0"/>
          <w:sz w:val="32"/>
          <w:szCs w:val="32"/>
        </w:rPr>
        <w:t>3</w:t>
      </w:r>
      <w:r>
        <w:rPr>
          <w:rFonts w:hint="eastAsia" w:ascii="宋体" w:hAnsi="宋体" w:cs="黑体"/>
          <w:color w:val="000000"/>
          <w:kern w:val="0"/>
          <w:sz w:val="32"/>
          <w:szCs w:val="32"/>
        </w:rPr>
        <w:t>个以内的，至少将</w:t>
      </w:r>
      <w:r>
        <w:rPr>
          <w:rFonts w:ascii="宋体" w:hAnsi="宋体" w:cs="黑体"/>
          <w:color w:val="000000"/>
          <w:kern w:val="0"/>
          <w:sz w:val="32"/>
          <w:szCs w:val="32"/>
        </w:rPr>
        <w:t xml:space="preserve">1 </w:t>
      </w:r>
      <w:r>
        <w:rPr>
          <w:rFonts w:hint="eastAsia" w:ascii="宋体" w:hAnsi="宋体" w:cs="黑体"/>
          <w:color w:val="000000"/>
          <w:kern w:val="0"/>
          <w:sz w:val="32"/>
          <w:szCs w:val="32"/>
        </w:rPr>
        <w:t>个部门评价报告向社会公开；部门评价项目数量大于</w:t>
      </w:r>
      <w:r>
        <w:rPr>
          <w:rFonts w:ascii="宋体" w:hAnsi="宋体" w:cs="黑体"/>
          <w:color w:val="000000"/>
          <w:kern w:val="0"/>
          <w:sz w:val="32"/>
          <w:szCs w:val="32"/>
        </w:rPr>
        <w:t xml:space="preserve">3 </w:t>
      </w:r>
      <w:r>
        <w:rPr>
          <w:rFonts w:hint="eastAsia" w:ascii="宋体" w:hAnsi="宋体" w:cs="黑体"/>
          <w:color w:val="000000"/>
          <w:kern w:val="0"/>
          <w:sz w:val="32"/>
          <w:szCs w:val="32"/>
        </w:rPr>
        <w:t>个的，至少将</w:t>
      </w:r>
      <w:r>
        <w:rPr>
          <w:rFonts w:ascii="宋体" w:hAnsi="宋体" w:cs="黑体"/>
          <w:color w:val="000000"/>
          <w:kern w:val="0"/>
          <w:sz w:val="32"/>
          <w:szCs w:val="32"/>
        </w:rPr>
        <w:t xml:space="preserve">2 </w:t>
      </w:r>
      <w:r>
        <w:rPr>
          <w:rFonts w:hint="eastAsia" w:ascii="宋体" w:hAnsi="宋体" w:cs="黑体"/>
          <w:color w:val="000000"/>
          <w:kern w:val="0"/>
          <w:sz w:val="32"/>
          <w:szCs w:val="32"/>
        </w:rPr>
        <w:t>个部门评价报告向社会公开。报告框架可参考《项目支出绩效评价办法》（财预〔</w:t>
      </w:r>
      <w:r>
        <w:rPr>
          <w:rFonts w:ascii="宋体" w:hAnsi="宋体" w:cs="黑体"/>
          <w:color w:val="000000"/>
          <w:kern w:val="0"/>
          <w:sz w:val="32"/>
          <w:szCs w:val="32"/>
        </w:rPr>
        <w:t>2020</w:t>
      </w:r>
      <w:r>
        <w:rPr>
          <w:rFonts w:hint="eastAsia" w:ascii="宋体" w:hAnsi="宋体" w:cs="黑体"/>
          <w:color w:val="000000"/>
          <w:kern w:val="0"/>
          <w:sz w:val="32"/>
          <w:szCs w:val="32"/>
        </w:rPr>
        <w:t>〕</w:t>
      </w:r>
      <w:r>
        <w:rPr>
          <w:rFonts w:ascii="宋体" w:hAnsi="宋体" w:cs="黑体"/>
          <w:color w:val="000000"/>
          <w:kern w:val="0"/>
          <w:sz w:val="32"/>
          <w:szCs w:val="32"/>
        </w:rPr>
        <w:t xml:space="preserve">10 </w:t>
      </w:r>
      <w:r>
        <w:rPr>
          <w:rFonts w:hint="eastAsia" w:ascii="宋体" w:hAnsi="宋体" w:cs="黑体"/>
          <w:color w:val="000000"/>
          <w:kern w:val="0"/>
          <w:sz w:val="32"/>
          <w:szCs w:val="32"/>
        </w:rPr>
        <w:t>号）中《项目支出绩效评价报告（参考提纲）》、《湖南省预算支出绩效评价管理办法》（湘财绩〔</w:t>
      </w:r>
      <w:r>
        <w:rPr>
          <w:rFonts w:ascii="宋体" w:hAnsi="宋体" w:cs="黑体"/>
          <w:color w:val="000000"/>
          <w:kern w:val="0"/>
          <w:sz w:val="32"/>
          <w:szCs w:val="32"/>
        </w:rPr>
        <w:t>2020</w:t>
      </w:r>
      <w:r>
        <w:rPr>
          <w:rFonts w:hint="eastAsia" w:ascii="宋体" w:hAnsi="宋体" w:cs="黑体"/>
          <w:color w:val="000000"/>
          <w:kern w:val="0"/>
          <w:sz w:val="32"/>
          <w:szCs w:val="32"/>
        </w:rPr>
        <w:t>〕7号）。</w:t>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ascii="宋体" w:hAnsi="宋体" w:cs="黑体"/>
          <w:color w:val="000000"/>
          <w:kern w:val="0"/>
          <w:sz w:val="32"/>
          <w:szCs w:val="32"/>
        </w:rPr>
      </w:pPr>
    </w:p>
    <w:p>
      <w:pPr>
        <w:pStyle w:val="13"/>
        <w:ind w:firstLine="640" w:firstLineChars="200"/>
        <w:rPr>
          <w:rFonts w:ascii="宋体" w:hAnsi="宋体" w:eastAsia="宋体"/>
          <w:sz w:val="32"/>
          <w:szCs w:val="32"/>
        </w:rPr>
      </w:pPr>
      <w:r>
        <w:rPr>
          <w:rFonts w:hint="eastAsia" w:ascii="宋体" w:hAnsi="宋体" w:eastAsia="宋体"/>
          <w:sz w:val="32"/>
          <w:szCs w:val="32"/>
        </w:rPr>
        <w:t>1．财政拨款收入：指单位本年度从同级财政部门取得的各类财政拨款。</w:t>
      </w:r>
    </w:p>
    <w:p>
      <w:pPr>
        <w:pStyle w:val="13"/>
        <w:ind w:firstLine="640" w:firstLineChars="200"/>
        <w:rPr>
          <w:rFonts w:ascii="宋体" w:hAnsi="宋体" w:eastAsia="宋体"/>
          <w:sz w:val="32"/>
          <w:szCs w:val="32"/>
        </w:rPr>
      </w:pPr>
      <w:r>
        <w:rPr>
          <w:rFonts w:hint="eastAsia" w:ascii="宋体" w:hAnsi="宋体" w:eastAsia="宋体"/>
          <w:sz w:val="32"/>
          <w:szCs w:val="32"/>
        </w:rPr>
        <w:t>2．上级补助收入：指事业单位从主管部门和上级单位取得的非财政补助收入。</w:t>
      </w:r>
    </w:p>
    <w:p>
      <w:pPr>
        <w:pStyle w:val="13"/>
        <w:ind w:firstLine="640" w:firstLineChars="200"/>
        <w:rPr>
          <w:rFonts w:ascii="宋体" w:hAnsi="宋体" w:eastAsia="宋体"/>
          <w:sz w:val="32"/>
          <w:szCs w:val="32"/>
        </w:rPr>
      </w:pPr>
      <w:r>
        <w:rPr>
          <w:rFonts w:hint="eastAsia" w:ascii="宋体" w:hAnsi="宋体" w:eastAsia="宋体"/>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13"/>
        <w:ind w:firstLine="640" w:firstLineChars="200"/>
        <w:rPr>
          <w:rFonts w:ascii="宋体" w:hAnsi="宋体" w:eastAsia="宋体"/>
          <w:sz w:val="32"/>
          <w:szCs w:val="32"/>
        </w:rPr>
      </w:pPr>
      <w:r>
        <w:rPr>
          <w:rFonts w:hint="eastAsia" w:ascii="宋体" w:hAnsi="宋体" w:eastAsia="宋体"/>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13"/>
        <w:ind w:firstLine="640" w:firstLineChars="200"/>
        <w:rPr>
          <w:rFonts w:ascii="宋体" w:hAnsi="宋体" w:eastAsia="宋体"/>
          <w:sz w:val="32"/>
          <w:szCs w:val="32"/>
        </w:rPr>
      </w:pPr>
      <w:r>
        <w:rPr>
          <w:rFonts w:hint="eastAsia" w:ascii="宋体" w:hAnsi="宋体" w:eastAsia="宋体"/>
          <w:sz w:val="32"/>
          <w:szCs w:val="32"/>
        </w:rPr>
        <w:t>5．对附属单位补助支出：指事业单位用财政拨款收入之外的收入对附属单位补助发生的支出。</w:t>
      </w:r>
    </w:p>
    <w:p>
      <w:pPr>
        <w:pStyle w:val="13"/>
        <w:ind w:firstLine="640" w:firstLineChars="200"/>
        <w:rPr>
          <w:rFonts w:ascii="宋体" w:hAnsi="宋体" w:eastAsia="宋体"/>
          <w:sz w:val="32"/>
          <w:szCs w:val="32"/>
        </w:rPr>
      </w:pPr>
      <w:r>
        <w:rPr>
          <w:rFonts w:hint="eastAsia" w:ascii="宋体" w:hAnsi="宋体" w:eastAsia="宋体"/>
          <w:sz w:val="32"/>
          <w:szCs w:val="32"/>
        </w:rPr>
        <w:t>6．经营支出：指事业单位在专业业务活动及其辅助活动之外开展非独立核算经营活动发生的支出。</w:t>
      </w:r>
    </w:p>
    <w:p>
      <w:pPr>
        <w:pStyle w:val="13"/>
        <w:ind w:firstLine="640" w:firstLineChars="200"/>
        <w:rPr>
          <w:rFonts w:ascii="宋体" w:hAnsi="宋体" w:eastAsia="宋体"/>
          <w:sz w:val="32"/>
          <w:szCs w:val="32"/>
        </w:rPr>
      </w:pPr>
      <w:r>
        <w:rPr>
          <w:rFonts w:hint="eastAsia" w:ascii="宋体" w:hAnsi="宋体" w:eastAsia="宋体"/>
          <w:sz w:val="32"/>
          <w:szCs w:val="32"/>
        </w:rPr>
        <w:t>7．上缴上级支出：指事业单位按照财政部门和主管部门的规定上缴上级单位的支出。</w:t>
      </w:r>
    </w:p>
    <w:p>
      <w:pPr>
        <w:pStyle w:val="13"/>
        <w:ind w:firstLine="640" w:firstLineChars="200"/>
        <w:rPr>
          <w:rFonts w:ascii="宋体" w:hAnsi="宋体" w:eastAsia="宋体"/>
          <w:sz w:val="32"/>
          <w:szCs w:val="32"/>
        </w:rPr>
      </w:pPr>
      <w:r>
        <w:rPr>
          <w:rFonts w:hint="eastAsia" w:ascii="宋体" w:hAnsi="宋体" w:eastAsia="宋体"/>
          <w:sz w:val="32"/>
          <w:szCs w:val="32"/>
        </w:rPr>
        <w:t>8．项目支出：指在为完成特定的工作任务和事业发展目标所发生的支出。</w:t>
      </w:r>
    </w:p>
    <w:p>
      <w:pPr>
        <w:pStyle w:val="13"/>
        <w:ind w:firstLine="640" w:firstLineChars="200"/>
        <w:rPr>
          <w:rFonts w:ascii="宋体" w:hAnsi="宋体" w:eastAsia="宋体"/>
          <w:sz w:val="32"/>
          <w:szCs w:val="32"/>
        </w:rPr>
      </w:pPr>
      <w:r>
        <w:rPr>
          <w:rFonts w:hint="eastAsia" w:ascii="宋体" w:hAnsi="宋体" w:eastAsia="宋体"/>
          <w:sz w:val="32"/>
          <w:szCs w:val="32"/>
        </w:rPr>
        <w:t>9．基本支出：指为保障机构正常运转、完成日常工作任务而发生的支出，包括人员经费和公用经费。</w:t>
      </w:r>
    </w:p>
    <w:p>
      <w:pPr>
        <w:pStyle w:val="13"/>
        <w:ind w:firstLine="640" w:firstLineChars="200"/>
        <w:rPr>
          <w:rFonts w:ascii="宋体" w:hAnsi="宋体" w:eastAsia="宋体"/>
          <w:sz w:val="32"/>
          <w:szCs w:val="32"/>
        </w:rPr>
      </w:pPr>
      <w:r>
        <w:rPr>
          <w:rFonts w:hint="eastAsia" w:ascii="宋体" w:hAnsi="宋体" w:eastAsia="宋体"/>
          <w:sz w:val="32"/>
          <w:szCs w:val="32"/>
        </w:rPr>
        <w:t>10．年末结转和结余资金：指本年度或以前年度预算安排、因客观条件发生变化无法按原计划实施，需要延迟到以后年度按有关规定继续使用的资金。</w:t>
      </w:r>
    </w:p>
    <w:p>
      <w:pPr>
        <w:pStyle w:val="13"/>
        <w:ind w:firstLine="640" w:firstLineChars="200"/>
        <w:rPr>
          <w:rFonts w:ascii="宋体" w:hAnsi="宋体" w:eastAsia="宋体"/>
          <w:sz w:val="32"/>
          <w:szCs w:val="32"/>
        </w:rPr>
      </w:pPr>
      <w:r>
        <w:rPr>
          <w:rFonts w:hint="eastAsia" w:ascii="宋体" w:hAnsi="宋体" w:eastAsia="宋体"/>
          <w:sz w:val="32"/>
          <w:szCs w:val="32"/>
        </w:rPr>
        <w:t>11．结余分配：指事业单位按规定对非财政拨款结余资金提取的专用基金、缴纳的所得税和转入非财政拨款结余等。</w:t>
      </w:r>
    </w:p>
    <w:p>
      <w:pPr>
        <w:pStyle w:val="13"/>
        <w:ind w:firstLine="640" w:firstLineChars="200"/>
        <w:rPr>
          <w:rFonts w:ascii="宋体" w:hAnsi="宋体" w:eastAsia="宋体"/>
          <w:sz w:val="32"/>
          <w:szCs w:val="32"/>
        </w:rPr>
      </w:pPr>
      <w:r>
        <w:rPr>
          <w:rFonts w:hint="eastAsia" w:ascii="宋体" w:hAnsi="宋体" w:eastAsia="宋体"/>
          <w:sz w:val="32"/>
          <w:szCs w:val="32"/>
        </w:rPr>
        <w:t>12．年初结转和结余：指单位上年结转本年使用的基本支出结转项目支出结转和结余和经营结余。</w:t>
      </w:r>
    </w:p>
    <w:p>
      <w:pPr>
        <w:pStyle w:val="13"/>
        <w:ind w:firstLine="640" w:firstLineChars="200"/>
        <w:rPr>
          <w:rFonts w:ascii="宋体" w:hAnsi="宋体" w:eastAsia="宋体"/>
          <w:sz w:val="32"/>
          <w:szCs w:val="32"/>
        </w:rPr>
      </w:pPr>
      <w:r>
        <w:rPr>
          <w:rFonts w:hint="eastAsia" w:ascii="宋体" w:hAnsi="宋体" w:eastAsia="宋体"/>
          <w:sz w:val="32"/>
          <w:szCs w:val="32"/>
        </w:rPr>
        <w:t>13．使用非财政拨款结余：指事业单位使用非财政拨款结余（原事业基金）弥补当年收支差额的数额。</w:t>
      </w:r>
    </w:p>
    <w:p>
      <w:pPr>
        <w:pStyle w:val="13"/>
        <w:ind w:firstLine="640" w:firstLineChars="200"/>
        <w:rPr>
          <w:rFonts w:ascii="宋体" w:hAnsi="宋体" w:eastAsia="宋体"/>
          <w:sz w:val="32"/>
          <w:szCs w:val="32"/>
        </w:rPr>
      </w:pPr>
      <w:r>
        <w:rPr>
          <w:rFonts w:hint="eastAsia" w:ascii="宋体" w:hAnsi="宋体" w:eastAsia="宋体"/>
          <w:sz w:val="32"/>
          <w:szCs w:val="32"/>
        </w:rPr>
        <w:t>14．其他收入：指单位取得的除上述“财政拨款收入”、“事业收入”、“经营收入”等以外的各项收入。</w:t>
      </w:r>
    </w:p>
    <w:p>
      <w:pPr>
        <w:pStyle w:val="13"/>
        <w:ind w:firstLine="640" w:firstLineChars="200"/>
        <w:rPr>
          <w:rFonts w:ascii="宋体" w:hAnsi="宋体" w:eastAsia="宋体"/>
          <w:sz w:val="32"/>
          <w:szCs w:val="32"/>
        </w:rPr>
      </w:pPr>
      <w:r>
        <w:rPr>
          <w:rFonts w:hint="eastAsia" w:ascii="宋体" w:hAnsi="宋体" w:eastAsia="宋体"/>
          <w:sz w:val="32"/>
          <w:szCs w:val="32"/>
        </w:rPr>
        <w:t>15．事业收入：指事业单位开展专业业务活动及其辅助活动取得的收入，事业单位收到的财政专户实际核拨的教育收费等资金在此反映。</w:t>
      </w:r>
    </w:p>
    <w:p>
      <w:pPr>
        <w:pStyle w:val="13"/>
        <w:ind w:firstLine="640" w:firstLineChars="200"/>
        <w:rPr>
          <w:rFonts w:ascii="宋体" w:hAnsi="宋体" w:eastAsia="宋体"/>
          <w:sz w:val="32"/>
          <w:szCs w:val="32"/>
        </w:rPr>
      </w:pPr>
      <w:r>
        <w:rPr>
          <w:rFonts w:hint="eastAsia" w:ascii="宋体" w:hAnsi="宋体" w:eastAsia="宋体"/>
          <w:sz w:val="32"/>
          <w:szCs w:val="32"/>
        </w:rPr>
        <w:t>16．经营收入：指事业单位在专业业务活动及其辅助活动之外开展非独立核算经营活动取得的收入。</w:t>
      </w:r>
    </w:p>
    <w:p>
      <w:pPr>
        <w:pStyle w:val="13"/>
        <w:ind w:firstLine="640" w:firstLineChars="200"/>
        <w:rPr>
          <w:rFonts w:ascii="宋体" w:hAnsi="宋体" w:eastAsia="宋体"/>
          <w:sz w:val="32"/>
          <w:szCs w:val="32"/>
        </w:rPr>
      </w:pPr>
      <w:r>
        <w:rPr>
          <w:rFonts w:hint="eastAsia" w:ascii="宋体" w:hAnsi="宋体" w:eastAsia="宋体"/>
          <w:sz w:val="32"/>
          <w:szCs w:val="32"/>
        </w:rPr>
        <w:t>17．附属单位上缴收入：指事业单位附属独立核算单位按照有关规定上缴的收入。</w:t>
      </w:r>
    </w:p>
    <w:p>
      <w:pPr>
        <w:pStyle w:val="13"/>
        <w:ind w:firstLine="640" w:firstLineChars="200"/>
        <w:rPr>
          <w:rFonts w:ascii="宋体" w:hAnsi="宋体" w:eastAsia="宋体"/>
          <w:sz w:val="32"/>
          <w:szCs w:val="32"/>
        </w:rPr>
      </w:pPr>
      <w:r>
        <w:rPr>
          <w:rFonts w:hint="eastAsia" w:ascii="宋体" w:hAnsi="宋体" w:eastAsia="宋体"/>
          <w:sz w:val="32"/>
          <w:szCs w:val="32"/>
        </w:rPr>
        <w:t>18．一般公共服务支出（类）人大事务（款）行政运行（项）：反映行政单位（包括实行公务员管理的事业单位）的基本支出。</w:t>
      </w:r>
    </w:p>
    <w:p>
      <w:pPr>
        <w:pStyle w:val="13"/>
        <w:ind w:firstLine="640" w:firstLineChars="200"/>
        <w:rPr>
          <w:rFonts w:ascii="宋体" w:hAnsi="宋体" w:eastAsia="宋体"/>
          <w:sz w:val="32"/>
          <w:szCs w:val="32"/>
        </w:rPr>
      </w:pPr>
      <w:r>
        <w:rPr>
          <w:rFonts w:hint="eastAsia" w:ascii="宋体" w:hAnsi="宋体" w:eastAsia="宋体"/>
          <w:sz w:val="32"/>
          <w:szCs w:val="32"/>
        </w:rPr>
        <w:t>19．一般公共服务支出（类）政协事务（款）行政运行（项）：反映行政单位（包括实行公务员管理的事业单位）的基本 支出。</w:t>
      </w:r>
    </w:p>
    <w:p>
      <w:pPr>
        <w:pStyle w:val="13"/>
        <w:ind w:firstLine="640" w:firstLineChars="200"/>
        <w:rPr>
          <w:rFonts w:ascii="宋体" w:hAnsi="宋体" w:eastAsia="宋体"/>
          <w:sz w:val="32"/>
          <w:szCs w:val="32"/>
        </w:rPr>
      </w:pPr>
      <w:r>
        <w:rPr>
          <w:rFonts w:hint="eastAsia" w:ascii="宋体" w:hAnsi="宋体" w:eastAsia="宋体"/>
          <w:sz w:val="32"/>
          <w:szCs w:val="32"/>
        </w:rPr>
        <w:t>20．一般公共服务支出（类）政府办公厅（室）及相关机构事务（款）行政运行（项）：反映行政单位（包括实行公务员管理的事业单位）的基本 支出。</w:t>
      </w:r>
    </w:p>
    <w:p>
      <w:pPr>
        <w:pStyle w:val="13"/>
        <w:ind w:firstLine="640" w:firstLineChars="200"/>
        <w:rPr>
          <w:rFonts w:ascii="宋体" w:hAnsi="宋体" w:eastAsia="宋体"/>
          <w:sz w:val="32"/>
          <w:szCs w:val="32"/>
        </w:rPr>
      </w:pPr>
      <w:r>
        <w:rPr>
          <w:rFonts w:hint="eastAsia" w:ascii="宋体" w:hAnsi="宋体" w:eastAsia="宋体"/>
          <w:sz w:val="32"/>
          <w:szCs w:val="32"/>
        </w:rPr>
        <w:t>21．一般公共服务支出（类）财政事务（款）行政运行（项）：反映行政单位（包括实行公务员管理的事业单位）的基本 支出。</w:t>
      </w:r>
    </w:p>
    <w:p>
      <w:pPr>
        <w:pStyle w:val="13"/>
        <w:ind w:firstLine="640" w:firstLineChars="200"/>
        <w:rPr>
          <w:rFonts w:ascii="宋体" w:hAnsi="宋体" w:eastAsia="宋体"/>
          <w:sz w:val="32"/>
          <w:szCs w:val="32"/>
        </w:rPr>
      </w:pPr>
      <w:r>
        <w:rPr>
          <w:rFonts w:hint="eastAsia" w:ascii="宋体" w:hAnsi="宋体" w:eastAsia="宋体"/>
          <w:sz w:val="32"/>
          <w:szCs w:val="32"/>
        </w:rPr>
        <w:t>22．一般公共服务支出（类）纪检监察事务（款）行政运行（项）：反映行政单位（包括实行公务员管理的事业单位）的基本 支出。</w:t>
      </w:r>
    </w:p>
    <w:p>
      <w:pPr>
        <w:pStyle w:val="13"/>
        <w:ind w:firstLine="640" w:firstLineChars="200"/>
        <w:rPr>
          <w:rFonts w:ascii="宋体" w:hAnsi="宋体" w:eastAsia="宋体"/>
          <w:sz w:val="32"/>
          <w:szCs w:val="32"/>
        </w:rPr>
      </w:pPr>
      <w:r>
        <w:rPr>
          <w:rFonts w:hint="eastAsia" w:ascii="宋体" w:hAnsi="宋体" w:eastAsia="宋体"/>
          <w:sz w:val="32"/>
          <w:szCs w:val="32"/>
        </w:rPr>
        <w:t>23．一般公共服务支出（类）群众团体事务（款）行政运行（项）：反映行政单位（包括实行公务员管理的事业单位）的基本 支出。</w:t>
      </w:r>
    </w:p>
    <w:p>
      <w:pPr>
        <w:pStyle w:val="13"/>
        <w:ind w:firstLine="640" w:firstLineChars="200"/>
        <w:rPr>
          <w:rFonts w:ascii="宋体" w:hAnsi="宋体" w:eastAsia="宋体"/>
          <w:sz w:val="32"/>
          <w:szCs w:val="32"/>
        </w:rPr>
      </w:pPr>
      <w:r>
        <w:rPr>
          <w:rFonts w:hint="eastAsia" w:ascii="宋体" w:hAnsi="宋体" w:eastAsia="宋体"/>
          <w:sz w:val="32"/>
          <w:szCs w:val="32"/>
        </w:rPr>
        <w:t>24．一般公共服务支出（类）党委办公厅（室）及相关机构事务（款）行政运行（项）：反映行政单位（包括实行公务员管理的事业单位）的基本 支出。</w:t>
      </w:r>
    </w:p>
    <w:p>
      <w:pPr>
        <w:pStyle w:val="13"/>
        <w:ind w:firstLine="640" w:firstLineChars="200"/>
        <w:rPr>
          <w:rFonts w:ascii="宋体" w:hAnsi="宋体" w:eastAsia="宋体"/>
          <w:sz w:val="32"/>
          <w:szCs w:val="32"/>
        </w:rPr>
      </w:pPr>
      <w:r>
        <w:rPr>
          <w:rFonts w:hint="eastAsia" w:ascii="宋体" w:hAnsi="宋体" w:eastAsia="宋体"/>
          <w:sz w:val="32"/>
          <w:szCs w:val="32"/>
        </w:rPr>
        <w:t>25．科学技术支出（类）其他科学技术支出（款）其他科学技术支出（项）：反映其他科学技术支出中除以上各项外用于科技方面的支出。</w:t>
      </w:r>
    </w:p>
    <w:p>
      <w:pPr>
        <w:pStyle w:val="13"/>
        <w:ind w:firstLine="640" w:firstLineChars="200"/>
        <w:rPr>
          <w:rFonts w:ascii="宋体" w:hAnsi="宋体" w:eastAsia="宋体"/>
          <w:sz w:val="32"/>
          <w:szCs w:val="32"/>
        </w:rPr>
      </w:pPr>
      <w:r>
        <w:rPr>
          <w:rFonts w:hint="eastAsia" w:ascii="宋体" w:hAnsi="宋体" w:eastAsia="宋体"/>
          <w:sz w:val="32"/>
          <w:szCs w:val="32"/>
        </w:rPr>
        <w:t>26．社会保障和就业支出（类）行政事业单位养老支出（款）机关事业单位基本养老保险缴费支出（项）：反映机关事业单位实施养老保险制度由单位缴纳的基本养老保险费支出。</w:t>
      </w:r>
    </w:p>
    <w:p>
      <w:pPr>
        <w:pStyle w:val="13"/>
        <w:ind w:firstLine="640" w:firstLineChars="200"/>
        <w:rPr>
          <w:rFonts w:ascii="宋体" w:hAnsi="宋体" w:eastAsia="宋体"/>
          <w:sz w:val="32"/>
          <w:szCs w:val="32"/>
        </w:rPr>
      </w:pPr>
      <w:r>
        <w:rPr>
          <w:rFonts w:hint="eastAsia" w:ascii="宋体" w:hAnsi="宋体" w:eastAsia="宋体"/>
          <w:sz w:val="32"/>
          <w:szCs w:val="32"/>
        </w:rPr>
        <w:t>27．社会保障和就业支出（类）抚恤（款）死亡抚恤（项）：反映按规定用于烈士和牺牲、病故人员家属的一次性和定期 抚恤金、丧葬补助费以及烈士褒扬金。</w:t>
      </w:r>
    </w:p>
    <w:p>
      <w:pPr>
        <w:pStyle w:val="13"/>
        <w:ind w:firstLine="640" w:firstLineChars="200"/>
        <w:rPr>
          <w:rFonts w:ascii="宋体" w:hAnsi="宋体" w:eastAsia="宋体"/>
          <w:sz w:val="32"/>
          <w:szCs w:val="32"/>
        </w:rPr>
      </w:pPr>
      <w:r>
        <w:rPr>
          <w:rFonts w:hint="eastAsia" w:ascii="宋体" w:hAnsi="宋体" w:eastAsia="宋体"/>
          <w:sz w:val="32"/>
          <w:szCs w:val="32"/>
        </w:rPr>
        <w:t>28．卫生健康支出（类）行政事业单位医疗（款）行政单位医疗（项）：反映财政部门安排的行政单位（包括实行公务员管理的事业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pPr>
        <w:pStyle w:val="13"/>
        <w:ind w:firstLine="640" w:firstLineChars="200"/>
        <w:rPr>
          <w:rFonts w:ascii="宋体" w:hAnsi="宋体" w:eastAsia="宋体"/>
          <w:sz w:val="32"/>
          <w:szCs w:val="32"/>
        </w:rPr>
      </w:pPr>
      <w:r>
        <w:rPr>
          <w:rFonts w:hint="eastAsia" w:ascii="宋体" w:hAnsi="宋体" w:eastAsia="宋体"/>
          <w:sz w:val="32"/>
          <w:szCs w:val="32"/>
        </w:rPr>
        <w:t>29．城乡社区支出（类）其他城乡社区支出（款）其他城乡社区支出（项）：反映除上述项目以外其他用于城乡社区方面的支出。</w:t>
      </w:r>
    </w:p>
    <w:p>
      <w:pPr>
        <w:pStyle w:val="13"/>
        <w:ind w:firstLine="640" w:firstLineChars="200"/>
        <w:rPr>
          <w:rFonts w:ascii="宋体" w:hAnsi="宋体" w:eastAsia="宋体"/>
          <w:sz w:val="32"/>
          <w:szCs w:val="32"/>
        </w:rPr>
      </w:pPr>
      <w:r>
        <w:rPr>
          <w:rFonts w:hint="eastAsia" w:ascii="宋体" w:hAnsi="宋体" w:eastAsia="宋体"/>
          <w:sz w:val="32"/>
          <w:szCs w:val="32"/>
        </w:rPr>
        <w:t>30．农林水支出（类）农村综合改革（款）对村民委员会和村党支部的补助（项）：反映各级财政对村民委员会和村党支部的补助支出，以及支持建立县级基本财力保障机制安排的村级组织运转奖补资金。</w:t>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ascii="宋体" w:hAnsi="宋体" w:cs="黑体"/>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FC494E"/>
    <w:rsid w:val="00053BE7"/>
    <w:rsid w:val="0006602A"/>
    <w:rsid w:val="003E7363"/>
    <w:rsid w:val="00FC494E"/>
    <w:rsid w:val="172309EF"/>
    <w:rsid w:val="26D512BE"/>
    <w:rsid w:val="2C900804"/>
    <w:rsid w:val="3F7A5F84"/>
    <w:rsid w:val="41187C9B"/>
    <w:rsid w:val="413837CA"/>
    <w:rsid w:val="6464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1"/>
    <w:pPr>
      <w:ind w:left="106"/>
    </w:pPr>
    <w:rPr>
      <w:rFonts w:ascii="仿宋_GB2312" w:hAnsi="仿宋_GB2312" w:eastAsia="仿宋_GB2312" w:cs="仿宋_GB2312"/>
      <w:sz w:val="32"/>
      <w:szCs w:val="32"/>
      <w:lang w:val="zh-CN" w:bidi="zh-CN"/>
    </w:rPr>
  </w:style>
  <w:style w:type="paragraph" w:styleId="3">
    <w:name w:val="Body Text First Indent"/>
    <w:basedOn w:val="2"/>
    <w:qFormat/>
    <w:uiPriority w:val="99"/>
    <w:pPr>
      <w:ind w:firstLine="420" w:firstLineChars="100"/>
    </w:pPr>
    <w:rPr>
      <w:rFonts w:ascii="Calibri" w:hAnsi="Calibri" w:eastAsia="微软雅黑" w:cs="Calibri"/>
    </w:rPr>
  </w:style>
  <w:style w:type="paragraph" w:styleId="4">
    <w:name w:val="Normal Indent"/>
    <w:basedOn w:val="1"/>
    <w:qFormat/>
    <w:uiPriority w:val="0"/>
    <w:pPr>
      <w:ind w:firstLine="420"/>
    </w:pPr>
    <w:rPr>
      <w:szCs w:val="20"/>
    </w:rPr>
  </w:style>
  <w:style w:type="paragraph" w:styleId="5">
    <w:name w:val="Balloon Text"/>
    <w:basedOn w:val="1"/>
    <w:link w:val="15"/>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szCs w:val="24"/>
    </w:r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字符"/>
    <w:basedOn w:val="10"/>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8873</Words>
  <Characters>11740</Characters>
  <Lines>142</Lines>
  <Paragraphs>40</Paragraphs>
  <TotalTime>0</TotalTime>
  <ScaleCrop>false</ScaleCrop>
  <LinksUpToDate>false</LinksUpToDate>
  <CharactersWithSpaces>12782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2023-09-28T06:02:22Z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9E87684458B94E4C92ED2E07FCAABD75_13</vt:lpwstr>
  </property>
</Properties>
</file>