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lang w:val="en-US" w:eastAsia="zh-CN"/>
        </w:rPr>
        <w:t>道县县委统战部</w:t>
      </w:r>
      <w:r>
        <w:rPr>
          <w:rFonts w:hint="eastAsia" w:asciiTheme="majorEastAsia" w:hAnsiTheme="majorEastAsia" w:eastAsiaTheme="majorEastAsia" w:cstheme="majorEastAsia"/>
          <w:sz w:val="40"/>
          <w:szCs w:val="40"/>
        </w:rPr>
        <w:t>20</w:t>
      </w:r>
      <w:r>
        <w:rPr>
          <w:rFonts w:hint="eastAsia" w:asciiTheme="majorEastAsia" w:hAnsiTheme="majorEastAsia" w:eastAsiaTheme="majorEastAsia" w:cstheme="majorEastAsia"/>
          <w:sz w:val="40"/>
          <w:szCs w:val="40"/>
          <w:lang w:val="en-US" w:eastAsia="zh-CN"/>
        </w:rPr>
        <w:t>21</w:t>
      </w:r>
      <w:r>
        <w:rPr>
          <w:rFonts w:hint="eastAsia" w:asciiTheme="majorEastAsia" w:hAnsiTheme="majorEastAsia" w:eastAsiaTheme="majorEastAsia" w:cstheme="majorEastAsia"/>
          <w:sz w:val="40"/>
          <w:szCs w:val="40"/>
        </w:rPr>
        <w:t>年度部门整体支出绩效</w:t>
      </w:r>
    </w:p>
    <w:p>
      <w:pPr>
        <w:adjustRightInd w:val="0"/>
        <w:spacing w:line="600" w:lineRule="exact"/>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rPr>
        <w:t>评</w:t>
      </w:r>
      <w:r>
        <w:rPr>
          <w:rFonts w:hint="eastAsia" w:asciiTheme="majorEastAsia" w:hAnsiTheme="majorEastAsia" w:eastAsiaTheme="majorEastAsia" w:cstheme="majorEastAsia"/>
          <w:sz w:val="40"/>
          <w:szCs w:val="40"/>
          <w:lang w:val="en-US" w:eastAsia="zh-CN"/>
        </w:rPr>
        <w:t xml:space="preserve"> </w:t>
      </w:r>
      <w:r>
        <w:rPr>
          <w:rFonts w:hint="eastAsia" w:asciiTheme="majorEastAsia" w:hAnsiTheme="majorEastAsia" w:eastAsiaTheme="majorEastAsia" w:cstheme="majorEastAsia"/>
          <w:sz w:val="40"/>
          <w:szCs w:val="40"/>
        </w:rPr>
        <w:t>价</w:t>
      </w:r>
      <w:r>
        <w:rPr>
          <w:rFonts w:hint="eastAsia" w:asciiTheme="majorEastAsia" w:hAnsiTheme="majorEastAsia" w:eastAsiaTheme="majorEastAsia" w:cstheme="majorEastAsia"/>
          <w:sz w:val="40"/>
          <w:szCs w:val="40"/>
          <w:lang w:val="en-US" w:eastAsia="zh-CN"/>
        </w:rPr>
        <w:t xml:space="preserve"> </w:t>
      </w:r>
      <w:r>
        <w:rPr>
          <w:rFonts w:hint="eastAsia" w:asciiTheme="majorEastAsia" w:hAnsiTheme="majorEastAsia" w:eastAsiaTheme="majorEastAsia" w:cstheme="majorEastAsia"/>
          <w:sz w:val="40"/>
          <w:szCs w:val="40"/>
        </w:rPr>
        <w:t>报</w:t>
      </w:r>
      <w:r>
        <w:rPr>
          <w:rFonts w:hint="eastAsia" w:asciiTheme="majorEastAsia" w:hAnsiTheme="majorEastAsia" w:eastAsiaTheme="majorEastAsia" w:cstheme="majorEastAsia"/>
          <w:sz w:val="40"/>
          <w:szCs w:val="40"/>
          <w:lang w:val="en-US" w:eastAsia="zh-CN"/>
        </w:rPr>
        <w:t xml:space="preserve"> </w:t>
      </w:r>
      <w:r>
        <w:rPr>
          <w:rFonts w:hint="eastAsia" w:asciiTheme="majorEastAsia" w:hAnsiTheme="majorEastAsia" w:eastAsiaTheme="majorEastAsia" w:cstheme="majorEastAsia"/>
          <w:sz w:val="40"/>
          <w:szCs w:val="40"/>
        </w:rPr>
        <w:t>告</w:t>
      </w:r>
    </w:p>
    <w:p>
      <w:pPr>
        <w:widowControl/>
        <w:ind w:firstLine="630" w:firstLineChars="196"/>
        <w:jc w:val="left"/>
        <w:rPr>
          <w:rFonts w:hint="eastAsia" w:ascii="仿宋_GB2312" w:eastAsia="仿宋_GB2312"/>
          <w:b/>
          <w:bCs/>
          <w:kern w:val="0"/>
          <w:sz w:val="32"/>
          <w:szCs w:val="32"/>
        </w:rPr>
      </w:pPr>
    </w:p>
    <w:p>
      <w:pPr>
        <w:keepNext w:val="0"/>
        <w:keepLines w:val="0"/>
        <w:pageBreakBefore w:val="0"/>
        <w:widowControl/>
        <w:numPr>
          <w:ilvl w:val="0"/>
          <w:numId w:val="1"/>
        </w:numPr>
        <w:kinsoku/>
        <w:wordWrap/>
        <w:overflowPunct/>
        <w:topLinePunct w:val="0"/>
        <w:autoSpaceDE/>
        <w:autoSpaceDN/>
        <w:bidi w:val="0"/>
        <w:ind w:firstLine="630" w:firstLineChars="196"/>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部门基本概况</w:t>
      </w:r>
    </w:p>
    <w:p>
      <w:pPr>
        <w:keepNext w:val="0"/>
        <w:keepLines w:val="0"/>
        <w:pageBreakBefore w:val="0"/>
        <w:widowControl/>
        <w:numPr>
          <w:ilvl w:val="0"/>
          <w:numId w:val="2"/>
        </w:numPr>
        <w:kinsoku/>
        <w:wordWrap/>
        <w:overflowPunct/>
        <w:topLinePunct w:val="0"/>
        <w:autoSpaceDE/>
        <w:autoSpaceDN/>
        <w:bidi w:val="0"/>
        <w:ind w:left="642" w:leftChars="0" w:firstLine="0" w:firstLineChars="0"/>
        <w:jc w:val="left"/>
        <w:rPr>
          <w:rFonts w:hint="eastAsia" w:ascii="仿宋" w:hAnsi="仿宋" w:eastAsia="仿宋" w:cs="仿宋"/>
          <w:b w:val="0"/>
          <w:bCs w:val="0"/>
          <w:sz w:val="32"/>
          <w:szCs w:val="32"/>
        </w:rPr>
      </w:pPr>
      <w:r>
        <w:rPr>
          <w:rFonts w:hint="eastAsia" w:ascii="仿宋" w:hAnsi="仿宋" w:eastAsia="仿宋" w:cs="仿宋"/>
          <w:b w:val="0"/>
          <w:bCs w:val="0"/>
          <w:kern w:val="0"/>
          <w:sz w:val="32"/>
          <w:szCs w:val="32"/>
          <w:lang w:val="en-US" w:eastAsia="zh-CN"/>
        </w:rPr>
        <w:t>单位基本情况</w:t>
      </w:r>
    </w:p>
    <w:p>
      <w:pPr>
        <w:widowControl/>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道县县委统战部是全额预算拨款的正科级单位，统战部机关内设</w:t>
      </w:r>
      <w:r>
        <w:rPr>
          <w:rFonts w:hint="eastAsia" w:ascii="仿宋" w:hAnsi="仿宋" w:eastAsia="仿宋" w:cs="仿宋"/>
          <w:sz w:val="32"/>
          <w:szCs w:val="32"/>
          <w:lang w:val="en-US" w:eastAsia="zh-CN"/>
        </w:rPr>
        <w:t>办公室、调研宣传综合信息室、经济联络室（非公有制经济工作室）、党外干部室（民主党派、无党派人士和党外知识分子工作室）、民族宗教办公室（对外加挂县民族宗教事务局）、侨务工作办（对外加挂县政府侨务办公室）、新社会阶层统战室六个职能股。</w:t>
      </w:r>
      <w:r>
        <w:rPr>
          <w:rFonts w:hint="eastAsia" w:ascii="仿宋" w:hAnsi="仿宋" w:eastAsia="仿宋" w:cs="仿宋"/>
          <w:sz w:val="32"/>
          <w:szCs w:val="32"/>
        </w:rPr>
        <w:t>行政编制5人，</w:t>
      </w:r>
      <w:r>
        <w:rPr>
          <w:rFonts w:hint="eastAsia" w:ascii="仿宋" w:hAnsi="仿宋" w:eastAsia="仿宋" w:cs="仿宋"/>
          <w:sz w:val="32"/>
          <w:szCs w:val="32"/>
          <w:lang w:eastAsia="zh-CN"/>
        </w:rPr>
        <w:t>事业编制</w:t>
      </w:r>
      <w:r>
        <w:rPr>
          <w:rFonts w:hint="eastAsia" w:ascii="仿宋" w:hAnsi="仿宋" w:eastAsia="仿宋" w:cs="仿宋"/>
          <w:sz w:val="32"/>
          <w:szCs w:val="32"/>
          <w:lang w:val="en-US" w:eastAsia="zh-CN"/>
        </w:rPr>
        <w:t>1人，</w:t>
      </w:r>
      <w:r>
        <w:rPr>
          <w:rFonts w:hint="eastAsia" w:ascii="仿宋" w:hAnsi="仿宋" w:eastAsia="仿宋" w:cs="仿宋"/>
          <w:sz w:val="32"/>
          <w:szCs w:val="32"/>
        </w:rPr>
        <w:t>实有在编人数13人</w:t>
      </w:r>
      <w:r>
        <w:rPr>
          <w:rFonts w:hint="eastAsia" w:ascii="仿宋" w:hAnsi="仿宋" w:eastAsia="仿宋" w:cs="仿宋"/>
          <w:sz w:val="32"/>
          <w:szCs w:val="32"/>
          <w:lang w:eastAsia="zh-CN"/>
        </w:rPr>
        <w:t>（含侨联）</w:t>
      </w:r>
      <w:r>
        <w:rPr>
          <w:rFonts w:hint="eastAsia" w:ascii="仿宋" w:hAnsi="仿宋" w:eastAsia="仿宋" w:cs="仿宋"/>
          <w:sz w:val="32"/>
          <w:szCs w:val="32"/>
        </w:rPr>
        <w:t>。</w:t>
      </w:r>
      <w:r>
        <w:rPr>
          <w:rFonts w:hint="eastAsia" w:ascii="仿宋" w:hAnsi="仿宋" w:eastAsia="仿宋" w:cs="仿宋"/>
          <w:sz w:val="32"/>
          <w:szCs w:val="32"/>
          <w:lang w:val="en-US" w:eastAsia="zh-CN"/>
        </w:rPr>
        <w:t>具体职能职责如下：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落实加强党对统一战线工作的集中统一领导。贯彻落实执行中央、省、市、县委统一战线的方针、政策，提出开展全县统战工作的意见和建议；检查统战政策、方针的执行情况；协调统一战线各方面的关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联系各民主党派和无党派代表人士。及时通报情况，反映他们的意见和建议；研究、贯彻党领导的多党合作和政治协商制度以及对民主党派的方针、政策；落实中央和省、市、县委关于发挥民主党派和无党派代表人士参政议政和民主监督作用的工作，为县委同民主党派进行政治协商做好组织联系工作；受县委委托，向民主党派、无党派代表人士通报县委、县政府重大事项；支持、帮助各民主党派加强自身建设，选拔培养新一代民主党派、无党派代表人士；协助有关部门帮助民主党派改善工作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发现、培养党外代表人士，负责党外人士的政治安排。会同有关部门做好培养、考察、选拔、推荐、安排党外人士担任政府和司法机关领导职务的工作；做好党外后备干部和新的代表人物队伍的建设工作；协助民主党派组织、县工商联做好有关人士的管理工作；协助县委组织部做好对统战系统各部门和单位领导班子的推荐考察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统一管理民族宗教工作。贯彻落实民族和宗教工作的重大方针、政策；依法管理宗教事务，保护合法宗教活动，抵制渗透；联系少数民族和宗教界的代表人物；协助有关部门做好少数民族干部的培养和举荐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5、统一管理侨务工作。贯彻落实方针、政策，维护归侨、侨眷和海外侨胞在我县的合法权益。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6、负责开展以祖国统一为重点的海外统战工作；联系香港、澳门和海外有关社团及代表人士；负责开展海内外统一战线的宣传工作。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7、调查研究并反映我县非公有制经济代表人士的情况，协调关系，提出政策建议；团结、帮助、引导、教育非公经济代表人士，积极开展思想政治工作。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8、调查研究党外知识分子的情况，反映意见，协调关系，提出政策建议；联系并培养党外知识分子代表人物。</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9、负责指导乡、镇、场委统战工作和统战部门负责人的培训工作，协调政府各有关部门的统战工作；领导县工商联和县侨联党组，指导县工商联、县侨联工作；领导和管理县海外联谊会、县黄埔军校同学会、促进会、县统战理论研究会等社会团体的工作。</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10、承办县委交办的其他事项</w:t>
      </w:r>
    </w:p>
    <w:p>
      <w:pPr>
        <w:keepNext w:val="0"/>
        <w:keepLines w:val="0"/>
        <w:pageBreakBefore w:val="0"/>
        <w:numPr>
          <w:ilvl w:val="0"/>
          <w:numId w:val="0"/>
        </w:numPr>
        <w:kinsoku/>
        <w:wordWrap/>
        <w:overflowPunct/>
        <w:topLinePunct w:val="0"/>
        <w:autoSpaceDE/>
        <w:autoSpaceDN/>
        <w:bidi w:val="0"/>
        <w:ind w:leftChars="0"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）部门（单位）年度整体支出绩效目标，省级专项资金绩效目标、其他项目支出（除省级专项资金以外）绩效目标</w:t>
      </w:r>
    </w:p>
    <w:p>
      <w:pPr>
        <w:keepNext w:val="0"/>
        <w:keepLines w:val="0"/>
        <w:pageBreakBefore w:val="0"/>
        <w:numPr>
          <w:ilvl w:val="0"/>
          <w:numId w:val="0"/>
        </w:numPr>
        <w:kinsoku/>
        <w:wordWrap/>
        <w:overflowPunct/>
        <w:topLinePunct w:val="0"/>
        <w:autoSpaceDE/>
        <w:autoSpaceDN/>
        <w:bidi w:val="0"/>
        <w:ind w:left="150" w:leftChars="0"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1、年度总体支出绩效目标：</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目标1：积极开展“双创双提升”活动</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目标2：组织开展统战部长“进党校、上讲台”活动，对200余名乡镇（街道）、村（社区）干部进行统战、宗教理论政策宣讲</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目标3：组织开展“不忘合作初心，继续携手前进”主题教育，组织党外代表人士、非公经济人士和新的社会阶层人士等开展暑期谈心活动</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目标4：组织开展非公经济人士的理想信念教育目标5　积极打造省、市级同心示范片区、同心美丽乡村</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目标6：积极开展县级领导联谊交友活动，开展“百企大走访”活动</w:t>
      </w:r>
    </w:p>
    <w:p>
      <w:pPr>
        <w:keepNext w:val="0"/>
        <w:keepLines w:val="0"/>
        <w:pageBreakBefore w:val="0"/>
        <w:numPr>
          <w:ilvl w:val="0"/>
          <w:numId w:val="0"/>
        </w:numPr>
        <w:kinsoku/>
        <w:wordWrap/>
        <w:overflowPunct/>
        <w:topLinePunct w:val="0"/>
        <w:autoSpaceDE/>
        <w:autoSpaceDN/>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_GB2312" w:hAnsi="仿宋" w:eastAsia="仿宋_GB2312"/>
          <w:b/>
          <w:bCs/>
          <w:sz w:val="32"/>
          <w:szCs w:val="32"/>
          <w:lang w:val="en-US" w:eastAsia="zh-CN"/>
        </w:rPr>
        <w:t>省级专项资金绩效目标</w:t>
      </w:r>
      <w:bookmarkStart w:id="0" w:name="_GoBack"/>
      <w:bookmarkEnd w:id="0"/>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目标1：特殊及统战事务工作取得进步；       </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目标2：开展侨联工作、宗教三自爱国会（社会团体、非公经济评价和统战之家工作；           </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目标3：开展宗教工作、宗教反渗透工作、民族工作、“四同创建”工作；                 </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目标4：发放起义投诚人员及归侨人士困难生活补助4.5万元；                                 </w:t>
      </w:r>
    </w:p>
    <w:p>
      <w:pPr>
        <w:keepNext w:val="0"/>
        <w:keepLines w:val="0"/>
        <w:pageBreakBefore w:val="0"/>
        <w:kinsoku/>
        <w:wordWrap/>
        <w:overflowPunct/>
        <w:topLinePunct w:val="0"/>
        <w:autoSpaceDE/>
        <w:autoSpaceDN/>
        <w:bidi w:val="0"/>
        <w:spacing w:line="600" w:lineRule="exact"/>
        <w:ind w:firstLine="640" w:firstLineChars="200"/>
        <w:rPr>
          <w:rFonts w:hint="default"/>
          <w:lang w:val="en-US" w:eastAsia="zh-CN"/>
        </w:rPr>
      </w:pPr>
      <w:r>
        <w:rPr>
          <w:rFonts w:hint="eastAsia" w:ascii="仿宋" w:hAnsi="仿宋" w:eastAsia="仿宋" w:cs="仿宋"/>
          <w:sz w:val="32"/>
          <w:szCs w:val="32"/>
          <w:lang w:val="en-US" w:eastAsia="zh-CN"/>
        </w:rPr>
        <w:t>目标5:完成湖南《瑶族通史》修订工作。</w:t>
      </w:r>
    </w:p>
    <w:p>
      <w:pPr>
        <w:keepNext w:val="0"/>
        <w:keepLines w:val="0"/>
        <w:pageBreakBefore w:val="0"/>
        <w:numPr>
          <w:ilvl w:val="0"/>
          <w:numId w:val="0"/>
        </w:numPr>
        <w:kinsoku/>
        <w:wordWrap/>
        <w:overflowPunct/>
        <w:topLinePunct w:val="0"/>
        <w:autoSpaceDE/>
        <w:autoSpaceDN/>
        <w:bidi w:val="0"/>
        <w:ind w:leftChars="0"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一般公共预算支出情况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1"/>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2021年县统战部整体支出237.16万元。一般公共预算财政拨款收入237.16万元。</w:t>
      </w:r>
    </w:p>
    <w:p>
      <w:pPr>
        <w:keepNext w:val="0"/>
        <w:keepLines w:val="0"/>
        <w:pageBreakBefore w:val="0"/>
        <w:numPr>
          <w:ilvl w:val="0"/>
          <w:numId w:val="0"/>
        </w:numPr>
        <w:kinsoku/>
        <w:wordWrap/>
        <w:overflowPunct/>
        <w:topLinePunct w:val="0"/>
        <w:autoSpaceDE/>
        <w:autoSpaceDN/>
        <w:bidi w:val="0"/>
        <w:ind w:firstLine="560" w:firstLineChars="200"/>
        <w:rPr>
          <w:rFonts w:hint="default" w:ascii="仿宋" w:hAnsi="仿宋" w:eastAsia="仿宋" w:cs="仿宋"/>
          <w:sz w:val="30"/>
          <w:szCs w:val="30"/>
          <w:lang w:val="en-US" w:eastAsia="zh-CN"/>
        </w:rPr>
      </w:pPr>
      <w:r>
        <w:rPr>
          <w:rFonts w:hint="eastAsia" w:ascii="仿宋" w:hAnsi="仿宋" w:eastAsia="仿宋" w:cs="仿宋"/>
          <w:sz w:val="28"/>
          <w:szCs w:val="28"/>
          <w:lang w:val="en-US" w:eastAsia="zh-CN"/>
        </w:rPr>
        <w:t>（一）基本支出情况：基本支出176.46万元，其中：</w:t>
      </w:r>
      <w:r>
        <w:rPr>
          <w:rFonts w:hint="eastAsia" w:ascii="仿宋" w:hAnsi="仿宋" w:eastAsia="仿宋" w:cs="仿宋"/>
          <w:b/>
          <w:bCs/>
          <w:sz w:val="28"/>
          <w:szCs w:val="28"/>
          <w:lang w:val="en-US" w:eastAsia="zh-CN"/>
        </w:rPr>
        <w:t>工资福利支出141.66万元</w:t>
      </w:r>
      <w:r>
        <w:rPr>
          <w:rFonts w:hint="eastAsia" w:ascii="仿宋" w:hAnsi="仿宋" w:eastAsia="仿宋" w:cs="仿宋"/>
          <w:sz w:val="28"/>
          <w:szCs w:val="28"/>
          <w:lang w:val="en-US" w:eastAsia="zh-CN"/>
        </w:rPr>
        <w:t>（包括</w:t>
      </w:r>
      <w:r>
        <w:rPr>
          <w:rFonts w:hint="eastAsia" w:ascii="仿宋" w:hAnsi="仿宋" w:eastAsia="仿宋" w:cs="仿宋"/>
          <w:sz w:val="30"/>
          <w:szCs w:val="30"/>
          <w:lang w:val="en-US" w:eastAsia="zh-CN"/>
        </w:rPr>
        <w:t>基本工资63.3万元，津补贴19万元，绩效工资15万元，年终绩效奖15.6万元</w:t>
      </w:r>
      <w:r>
        <w:rPr>
          <w:rFonts w:hint="eastAsia" w:ascii="仿宋" w:hAnsi="仿宋" w:eastAsia="仿宋" w:cs="仿宋"/>
          <w:sz w:val="30"/>
          <w:szCs w:val="30"/>
        </w:rPr>
        <w:t>，</w:t>
      </w:r>
      <w:r>
        <w:rPr>
          <w:rFonts w:hint="eastAsia" w:ascii="仿宋" w:hAnsi="仿宋" w:eastAsia="仿宋" w:cs="仿宋"/>
          <w:sz w:val="30"/>
          <w:szCs w:val="30"/>
          <w:lang w:val="en-US" w:eastAsia="zh-CN"/>
        </w:rPr>
        <w:t>养老保险21万元，医疗保险12万元，其他工资福利支出11.36万元</w:t>
      </w:r>
      <w:r>
        <w:rPr>
          <w:rFonts w:hint="eastAsia" w:ascii="仿宋" w:hAnsi="仿宋" w:eastAsia="仿宋" w:cs="仿宋"/>
          <w:sz w:val="28"/>
          <w:szCs w:val="28"/>
          <w:lang w:val="en-US" w:eastAsia="zh-CN"/>
        </w:rPr>
        <w:t>）</w:t>
      </w:r>
      <w:r>
        <w:rPr>
          <w:rFonts w:hint="eastAsia" w:ascii="仿宋" w:hAnsi="仿宋" w:eastAsia="仿宋" w:cs="仿宋"/>
          <w:sz w:val="30"/>
          <w:szCs w:val="30"/>
          <w:lang w:val="en-US" w:eastAsia="zh-CN"/>
        </w:rPr>
        <w:t>；</w:t>
      </w:r>
      <w:r>
        <w:rPr>
          <w:rFonts w:hint="eastAsia" w:ascii="仿宋" w:hAnsi="仿宋" w:eastAsia="仿宋" w:cs="仿宋"/>
          <w:b/>
          <w:bCs/>
          <w:sz w:val="30"/>
          <w:szCs w:val="30"/>
          <w:lang w:val="en-US" w:eastAsia="zh-CN"/>
        </w:rPr>
        <w:t>一般商品服务支出32.5万元</w:t>
      </w:r>
      <w:r>
        <w:rPr>
          <w:rFonts w:hint="eastAsia" w:ascii="仿宋" w:hAnsi="仿宋" w:eastAsia="仿宋" w:cs="仿宋"/>
          <w:sz w:val="30"/>
          <w:szCs w:val="30"/>
          <w:lang w:val="en-US" w:eastAsia="zh-CN"/>
        </w:rPr>
        <w:t>（包括印刷费3万元，</w:t>
      </w:r>
      <w:r>
        <w:rPr>
          <w:rFonts w:hint="eastAsia" w:ascii="仿宋" w:hAnsi="仿宋" w:eastAsia="仿宋" w:cs="仿宋"/>
          <w:sz w:val="30"/>
          <w:szCs w:val="30"/>
          <w:lang w:eastAsia="zh-CN"/>
        </w:rPr>
        <w:t>办公费</w:t>
      </w:r>
      <w:r>
        <w:rPr>
          <w:rFonts w:hint="eastAsia" w:ascii="仿宋" w:hAnsi="仿宋" w:eastAsia="仿宋" w:cs="仿宋"/>
          <w:sz w:val="30"/>
          <w:szCs w:val="30"/>
          <w:lang w:val="en-US" w:eastAsia="zh-CN"/>
        </w:rPr>
        <w:t>10万元，公务接待10.5万元，水费、电费、差旅费等3万元，会议费和培训费3万元，其他商品和服务支出3万元</w:t>
      </w:r>
      <w:r>
        <w:rPr>
          <w:rFonts w:hint="eastAsia" w:ascii="仿宋" w:hAnsi="仿宋" w:eastAsia="仿宋" w:cs="仿宋"/>
          <w:sz w:val="30"/>
          <w:szCs w:val="30"/>
          <w:u w:val="none"/>
          <w:lang w:val="en-US" w:eastAsia="zh-CN"/>
        </w:rPr>
        <w:t>）。</w:t>
      </w:r>
      <w:r>
        <w:rPr>
          <w:rFonts w:hint="eastAsia" w:ascii="仿宋" w:hAnsi="仿宋" w:eastAsia="仿宋" w:cs="仿宋"/>
          <w:b/>
          <w:bCs/>
          <w:sz w:val="30"/>
          <w:szCs w:val="30"/>
          <w:u w:val="none"/>
          <w:lang w:val="en-US" w:eastAsia="zh-CN"/>
        </w:rPr>
        <w:t>对个人和家庭的补助支出2.3万元</w:t>
      </w:r>
      <w:r>
        <w:rPr>
          <w:rFonts w:hint="eastAsia" w:ascii="仿宋" w:hAnsi="仿宋" w:eastAsia="仿宋" w:cs="仿宋"/>
          <w:sz w:val="30"/>
          <w:szCs w:val="30"/>
          <w:u w:val="none"/>
          <w:lang w:val="en-US" w:eastAsia="zh-CN"/>
        </w:rPr>
        <w:t>（抚恤金2.3万元）</w:t>
      </w:r>
    </w:p>
    <w:p>
      <w:pPr>
        <w:keepNext w:val="0"/>
        <w:keepLines w:val="0"/>
        <w:pageBreakBefore w:val="0"/>
        <w:numPr>
          <w:ilvl w:val="0"/>
          <w:numId w:val="0"/>
        </w:numPr>
        <w:kinsoku/>
        <w:wordWrap/>
        <w:overflowPunct/>
        <w:topLinePunct w:val="0"/>
        <w:autoSpaceDE/>
        <w:autoSpaceDN/>
        <w:bidi w:val="0"/>
        <w:ind w:firstLine="562" w:firstLineChars="200"/>
        <w:rPr>
          <w:rFonts w:hint="eastAsia" w:ascii="仿宋_GB2312" w:hAnsi="宋体" w:eastAsia="仿宋_GB2312" w:cs="仿宋_GB2312"/>
          <w:color w:val="000000"/>
          <w:kern w:val="0"/>
          <w:sz w:val="32"/>
          <w:szCs w:val="32"/>
        </w:rPr>
      </w:pPr>
      <w:r>
        <w:rPr>
          <w:rFonts w:hint="eastAsia" w:ascii="仿宋" w:hAnsi="仿宋" w:eastAsia="仿宋" w:cs="仿宋"/>
          <w:b/>
          <w:bCs/>
          <w:sz w:val="28"/>
          <w:szCs w:val="28"/>
          <w:u w:val="none"/>
          <w:lang w:val="en-US" w:eastAsia="zh-CN"/>
        </w:rPr>
        <w:t>（二）项目支出情况：</w:t>
      </w:r>
      <w:r>
        <w:rPr>
          <w:rFonts w:hint="eastAsia" w:ascii="仿宋" w:hAnsi="仿宋" w:eastAsia="仿宋" w:cs="仿宋"/>
          <w:sz w:val="28"/>
          <w:szCs w:val="28"/>
          <w:u w:val="none"/>
          <w:lang w:val="en-US" w:eastAsia="zh-CN"/>
        </w:rPr>
        <w:t>项目支出60.7万元。其中</w:t>
      </w:r>
      <w:r>
        <w:rPr>
          <w:rFonts w:hint="eastAsia" w:ascii="仿宋_GB2312" w:hAnsi="宋体" w:eastAsia="仿宋_GB2312" w:cs="仿宋_GB2312"/>
          <w:color w:val="000000"/>
          <w:kern w:val="0"/>
          <w:sz w:val="32"/>
          <w:szCs w:val="32"/>
        </w:rPr>
        <w:t>有关</w:t>
      </w:r>
      <w:r>
        <w:rPr>
          <w:rFonts w:hint="eastAsia" w:ascii="仿宋_GB2312" w:eastAsia="仿宋_GB2312" w:cs="仿宋_GB2312"/>
          <w:color w:val="000000"/>
          <w:kern w:val="0"/>
          <w:sz w:val="32"/>
          <w:szCs w:val="32"/>
          <w:lang w:val="en-US" w:eastAsia="zh-CN"/>
        </w:rPr>
        <w:t>侨联工作经费、特殊统战事务经费、宗教反渗透工作经费</w:t>
      </w:r>
      <w:r>
        <w:rPr>
          <w:rFonts w:hint="eastAsia" w:ascii="仿宋_GB2312" w:hAnsi="宋体" w:eastAsia="仿宋_GB2312" w:cs="仿宋_GB2312"/>
          <w:color w:val="000000"/>
          <w:kern w:val="0"/>
          <w:sz w:val="32"/>
          <w:szCs w:val="32"/>
        </w:rPr>
        <w:t>等，其中：</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四同”创建奖励及工作经费8.1万元，“统战之家”工作经费5万元，非公经济评价综合评价工作经费4.1万元，湖南《瑶族通史》修订编撰工作经费8万元，民族宗教工作经费7.2万元，起义投诚人员及归侨人士生活困难补助4.5万元，侨联工作经费4.8万元，特殊统战事务经费8.2万元，宗教反渗透工作经费4.5万元，宗教工作领导小组经费4.3万元，宗教三自爱国会（社会团体）工作经费2万元</w:t>
      </w:r>
      <w:r>
        <w:rPr>
          <w:rFonts w:hint="eastAsia" w:ascii="仿宋_GB2312" w:hAnsi="宋体" w:eastAsia="仿宋_GB2312" w:cs="仿宋_GB2312"/>
          <w:color w:val="000000"/>
          <w:kern w:val="0"/>
          <w:sz w:val="32"/>
          <w:szCs w:val="32"/>
        </w:rPr>
        <w:t>。</w:t>
      </w:r>
    </w:p>
    <w:p>
      <w:pPr>
        <w:keepNext w:val="0"/>
        <w:keepLines w:val="0"/>
        <w:pageBreakBefore w:val="0"/>
        <w:numPr>
          <w:ilvl w:val="0"/>
          <w:numId w:val="0"/>
        </w:numPr>
        <w:kinsoku/>
        <w:wordWrap/>
        <w:overflowPunct/>
        <w:topLinePunct w:val="0"/>
        <w:autoSpaceDE/>
        <w:autoSpaceDN/>
        <w:bidi w:val="0"/>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三、政府性基金预算支出情况</w:t>
      </w:r>
    </w:p>
    <w:p>
      <w:pPr>
        <w:keepNext w:val="0"/>
        <w:keepLines w:val="0"/>
        <w:pageBreakBefore w:val="0"/>
        <w:kinsoku/>
        <w:wordWrap/>
        <w:overflowPunct/>
        <w:topLinePunct w:val="0"/>
        <w:autoSpaceDE/>
        <w:autoSpaceDN/>
        <w:bidi w:val="0"/>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道县统战部2021年无政府性基金预算。</w:t>
      </w:r>
    </w:p>
    <w:p>
      <w:pPr>
        <w:keepNext w:val="0"/>
        <w:keepLines w:val="0"/>
        <w:pageBreakBefore w:val="0"/>
        <w:numPr>
          <w:ilvl w:val="0"/>
          <w:numId w:val="0"/>
        </w:numPr>
        <w:kinsoku/>
        <w:wordWrap/>
        <w:overflowPunct/>
        <w:topLinePunct w:val="0"/>
        <w:autoSpaceDE/>
        <w:autoSpaceDN/>
        <w:bidi w:val="0"/>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四、国有资本经营预算支出情况</w:t>
      </w:r>
    </w:p>
    <w:p>
      <w:pPr>
        <w:keepNext w:val="0"/>
        <w:keepLines w:val="0"/>
        <w:pageBreakBefore w:val="0"/>
        <w:kinsoku/>
        <w:wordWrap/>
        <w:overflowPunct/>
        <w:topLinePunct w:val="0"/>
        <w:autoSpaceDE/>
        <w:autoSpaceDN/>
        <w:bidi w:val="0"/>
        <w:spacing w:line="560" w:lineRule="exact"/>
        <w:ind w:firstLine="64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道县统战部2021年无国有资本经营预算支出。</w:t>
      </w:r>
    </w:p>
    <w:p>
      <w:pPr>
        <w:keepNext w:val="0"/>
        <w:keepLines w:val="0"/>
        <w:pageBreakBefore w:val="0"/>
        <w:numPr>
          <w:ilvl w:val="0"/>
          <w:numId w:val="0"/>
        </w:numPr>
        <w:kinsoku/>
        <w:wordWrap/>
        <w:overflowPunct/>
        <w:topLinePunct w:val="0"/>
        <w:autoSpaceDE/>
        <w:autoSpaceDN/>
        <w:bidi w:val="0"/>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五、社会保险基金预算支出情况</w:t>
      </w:r>
    </w:p>
    <w:p>
      <w:pPr>
        <w:keepNext w:val="0"/>
        <w:keepLines w:val="0"/>
        <w:pageBreakBefore w:val="0"/>
        <w:kinsoku/>
        <w:wordWrap/>
        <w:overflowPunct/>
        <w:topLinePunct w:val="0"/>
        <w:autoSpaceDE/>
        <w:autoSpaceDN/>
        <w:bidi w:val="0"/>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道县统战部2021年无社会保险基金预算支出。</w:t>
      </w:r>
    </w:p>
    <w:p>
      <w:pPr>
        <w:keepNext w:val="0"/>
        <w:keepLines w:val="0"/>
        <w:pageBreakBefore w:val="0"/>
        <w:kinsoku/>
        <w:wordWrap/>
        <w:overflowPunct/>
        <w:topLinePunct w:val="0"/>
        <w:autoSpaceDE/>
        <w:autoSpaceDN/>
        <w:bidi w:val="0"/>
        <w:spacing w:line="560" w:lineRule="exact"/>
        <w:ind w:firstLine="640"/>
        <w:rPr>
          <w:rFonts w:hint="eastAsia"/>
          <w:lang w:val="en-US" w:eastAsia="zh-CN"/>
        </w:rPr>
      </w:pPr>
      <w:r>
        <w:rPr>
          <w:rFonts w:hint="eastAsia" w:ascii="仿宋" w:hAnsi="仿宋" w:eastAsia="仿宋" w:cs="仿宋"/>
          <w:b/>
          <w:bCs w:val="0"/>
          <w:sz w:val="32"/>
          <w:szCs w:val="32"/>
          <w:lang w:val="en-US" w:eastAsia="zh-CN"/>
        </w:rPr>
        <w:t>六、</w:t>
      </w:r>
      <w:r>
        <w:rPr>
          <w:rFonts w:hint="eastAsia" w:ascii="仿宋" w:hAnsi="仿宋" w:eastAsia="仿宋" w:cs="仿宋"/>
          <w:b/>
          <w:bCs/>
          <w:sz w:val="30"/>
          <w:szCs w:val="30"/>
          <w:lang w:val="en-US" w:eastAsia="zh-CN"/>
        </w:rPr>
        <w:t>部门整体支出绩效情况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left="0" w:right="0" w:firstLine="42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道县县委</w:t>
      </w:r>
      <w:r>
        <w:rPr>
          <w:rFonts w:hint="eastAsia" w:ascii="仿宋" w:hAnsi="仿宋" w:eastAsia="仿宋" w:cs="仿宋"/>
          <w:b w:val="0"/>
          <w:bCs w:val="0"/>
          <w:sz w:val="32"/>
          <w:szCs w:val="32"/>
          <w:lang w:eastAsia="zh-CN"/>
        </w:rPr>
        <w:t>始终坚持扛牢统战工作主体责任，主动当担作为，认真贯彻落实中央、省委和市委决策部署。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left="0" w:right="0" w:firstLine="42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一是做到“四个纳入”。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left="0" w:right="0" w:firstLine="4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二是研究解决问题。</w:t>
      </w:r>
      <w:r>
        <w:rPr>
          <w:rFonts w:hint="eastAsia" w:ascii="仿宋" w:hAnsi="仿宋" w:eastAsia="仿宋" w:cs="仿宋"/>
          <w:b w:val="0"/>
          <w:bCs w:val="0"/>
          <w:sz w:val="32"/>
          <w:szCs w:val="32"/>
          <w:lang w:val="en-US" w:eastAsia="zh-CN"/>
        </w:rPr>
        <w:t xml:space="preserve">2021年，县委统战工作领导小组研究解决了基督教“复活山”以地换地历史遗留问题，解决征地款65万元。县委常委召开2次常委会专题听取统战工作汇报并研究解决问题，研究对港专项工作并解决工作经费6.5万元，安排部署了芒头寨省级同心美丽乡村示范片区创建工作并解决了工作经费8万元。专题研究审章塘瑶族自治乡30周年乡庆工作并协调解决相关建设资金1000余万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left="0" w:right="0" w:firstLine="42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三是加强督查督办。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left="0" w:right="0" w:firstLine="42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四是建立健全制度。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left="0" w:right="0" w:firstLine="420"/>
        <w:jc w:val="both"/>
        <w:rPr>
          <w:rFonts w:hint="eastAsia" w:ascii="仿宋" w:hAnsi="仿宋" w:eastAsia="仿宋" w:cs="仿宋"/>
          <w:b w:val="0"/>
          <w:bCs w:val="0"/>
          <w:i w:val="0"/>
          <w:caps w:val="0"/>
          <w:color w:val="000000"/>
          <w:spacing w:val="0"/>
          <w:w w:val="100"/>
          <w:sz w:val="32"/>
          <w:szCs w:val="32"/>
          <w:lang w:eastAsia="zh-CN"/>
        </w:rPr>
      </w:pPr>
      <w:r>
        <w:rPr>
          <w:rFonts w:hint="eastAsia" w:ascii="仿宋" w:hAnsi="仿宋" w:eastAsia="仿宋" w:cs="仿宋"/>
          <w:b w:val="0"/>
          <w:bCs w:val="0"/>
          <w:sz w:val="32"/>
          <w:szCs w:val="32"/>
          <w:lang w:eastAsia="zh-CN"/>
        </w:rPr>
        <w:t>五是落实政治安排。</w:t>
      </w:r>
      <w:r>
        <w:rPr>
          <w:rFonts w:hint="eastAsia" w:ascii="仿宋" w:hAnsi="仿宋" w:eastAsia="仿宋" w:cs="仿宋"/>
          <w:b w:val="0"/>
          <w:bCs w:val="0"/>
          <w:i w:val="0"/>
          <w:caps w:val="0"/>
          <w:color w:val="000000"/>
          <w:spacing w:val="0"/>
          <w:w w:val="100"/>
          <w:sz w:val="32"/>
          <w:szCs w:val="32"/>
          <w:lang w:val="en-US" w:eastAsia="zh-CN"/>
        </w:rPr>
        <w:t>道县县委高度重视，认真落实统战工作条例精神，我县人大、政府、政协、领导班子和司法机关（法检两院）</w:t>
      </w:r>
      <w:r>
        <w:rPr>
          <w:rFonts w:hint="eastAsia" w:ascii="仿宋" w:hAnsi="仿宋" w:eastAsia="仿宋" w:cs="仿宋"/>
          <w:b w:val="0"/>
          <w:bCs w:val="0"/>
          <w:i w:val="0"/>
          <w:caps w:val="0"/>
          <w:color w:val="000000"/>
          <w:spacing w:val="0"/>
          <w:w w:val="100"/>
          <w:sz w:val="32"/>
          <w:szCs w:val="32"/>
          <w:lang w:eastAsia="zh-CN"/>
        </w:rPr>
        <w:t>按要求配备党外干部；政府工作部门配备</w:t>
      </w:r>
      <w:r>
        <w:rPr>
          <w:rFonts w:hint="eastAsia" w:ascii="仿宋" w:hAnsi="仿宋" w:eastAsia="仿宋" w:cs="仿宋"/>
          <w:b w:val="0"/>
          <w:bCs w:val="0"/>
          <w:i w:val="0"/>
          <w:caps w:val="0"/>
          <w:color w:val="000000"/>
          <w:spacing w:val="0"/>
          <w:w w:val="100"/>
          <w:sz w:val="32"/>
          <w:szCs w:val="32"/>
          <w:lang w:val="en-US" w:eastAsia="zh-CN"/>
        </w:rPr>
        <w:t>3</w:t>
      </w:r>
      <w:r>
        <w:rPr>
          <w:rFonts w:hint="eastAsia" w:ascii="仿宋" w:hAnsi="仿宋" w:eastAsia="仿宋" w:cs="仿宋"/>
          <w:b w:val="0"/>
          <w:bCs w:val="0"/>
          <w:i w:val="0"/>
          <w:caps w:val="0"/>
          <w:color w:val="000000"/>
          <w:spacing w:val="0"/>
          <w:w w:val="100"/>
          <w:sz w:val="32"/>
          <w:szCs w:val="32"/>
          <w:lang w:eastAsia="zh-CN"/>
        </w:rPr>
        <w:t>名正职（</w:t>
      </w:r>
      <w:r>
        <w:rPr>
          <w:rFonts w:hint="eastAsia" w:ascii="仿宋" w:hAnsi="仿宋" w:eastAsia="仿宋" w:cs="仿宋"/>
          <w:b w:val="0"/>
          <w:bCs w:val="0"/>
          <w:i w:val="0"/>
          <w:caps w:val="0"/>
          <w:color w:val="000000"/>
          <w:spacing w:val="0"/>
          <w:w w:val="100"/>
          <w:sz w:val="32"/>
          <w:szCs w:val="32"/>
          <w:lang w:val="en-US" w:eastAsia="zh-CN"/>
        </w:rPr>
        <w:t>文旅广体局、发改局、行政审批局</w:t>
      </w:r>
      <w:r>
        <w:rPr>
          <w:rFonts w:hint="eastAsia" w:ascii="仿宋" w:hAnsi="仿宋" w:eastAsia="仿宋" w:cs="仿宋"/>
          <w:b w:val="0"/>
          <w:bCs w:val="0"/>
          <w:i w:val="0"/>
          <w:caps w:val="0"/>
          <w:color w:val="000000"/>
          <w:spacing w:val="0"/>
          <w:w w:val="100"/>
          <w:sz w:val="32"/>
          <w:szCs w:val="32"/>
          <w:lang w:eastAsia="zh-CN"/>
        </w:rPr>
        <w:t>）；人大</w:t>
      </w:r>
      <w:r>
        <w:rPr>
          <w:rFonts w:hint="eastAsia" w:ascii="仿宋" w:hAnsi="仿宋" w:eastAsia="仿宋" w:cs="仿宋"/>
          <w:b w:val="0"/>
          <w:bCs w:val="0"/>
          <w:i w:val="0"/>
          <w:caps w:val="0"/>
          <w:color w:val="000000"/>
          <w:spacing w:val="0"/>
          <w:w w:val="100"/>
          <w:sz w:val="32"/>
          <w:szCs w:val="32"/>
          <w:lang w:val="en-US" w:eastAsia="zh-CN"/>
        </w:rPr>
        <w:t>环境和资源保护委员会配备了党外正副主任，</w:t>
      </w:r>
      <w:r>
        <w:rPr>
          <w:rFonts w:hint="eastAsia" w:ascii="仿宋" w:hAnsi="仿宋" w:eastAsia="仿宋" w:cs="仿宋"/>
          <w:b w:val="0"/>
          <w:bCs w:val="0"/>
          <w:i w:val="0"/>
          <w:caps w:val="0"/>
          <w:color w:val="000000"/>
          <w:spacing w:val="0"/>
          <w:w w:val="100"/>
          <w:sz w:val="32"/>
          <w:szCs w:val="32"/>
          <w:lang w:eastAsia="zh-CN"/>
        </w:rPr>
        <w:t>政协</w:t>
      </w:r>
      <w:r>
        <w:rPr>
          <w:rFonts w:hint="eastAsia" w:ascii="仿宋" w:hAnsi="仿宋" w:eastAsia="仿宋" w:cs="仿宋"/>
          <w:b w:val="0"/>
          <w:bCs w:val="0"/>
          <w:i w:val="0"/>
          <w:caps w:val="0"/>
          <w:color w:val="000000"/>
          <w:spacing w:val="0"/>
          <w:w w:val="100"/>
          <w:sz w:val="32"/>
          <w:szCs w:val="32"/>
          <w:lang w:val="en-US" w:eastAsia="zh-CN"/>
        </w:rPr>
        <w:t>农业农村和人口资源环境委员会和学习联络委员会分别配备了两名正职和两名副职</w:t>
      </w:r>
      <w:r>
        <w:rPr>
          <w:rFonts w:hint="eastAsia" w:ascii="仿宋" w:hAnsi="仿宋" w:eastAsia="仿宋" w:cs="仿宋"/>
          <w:b w:val="0"/>
          <w:bCs w:val="0"/>
          <w:i w:val="0"/>
          <w:caps w:val="0"/>
          <w:color w:val="000000"/>
          <w:spacing w:val="0"/>
          <w:w w:val="100"/>
          <w:sz w:val="32"/>
          <w:szCs w:val="32"/>
          <w:lang w:eastAsia="zh-CN"/>
        </w:rPr>
        <w:t>；交流安排原人社局副局长蒋碧玉到人大</w:t>
      </w:r>
      <w:r>
        <w:rPr>
          <w:rFonts w:hint="eastAsia" w:ascii="仿宋" w:hAnsi="仿宋" w:eastAsia="仿宋" w:cs="仿宋"/>
          <w:b w:val="0"/>
          <w:bCs w:val="0"/>
          <w:i w:val="0"/>
          <w:caps w:val="0"/>
          <w:color w:val="000000"/>
          <w:spacing w:val="0"/>
          <w:w w:val="100"/>
          <w:sz w:val="32"/>
          <w:szCs w:val="32"/>
          <w:lang w:val="en-US" w:eastAsia="zh-CN"/>
        </w:rPr>
        <w:t>环境和资源保护委员会任主任、</w:t>
      </w:r>
      <w:r>
        <w:rPr>
          <w:rFonts w:hint="eastAsia" w:ascii="仿宋" w:hAnsi="仿宋" w:eastAsia="仿宋" w:cs="仿宋"/>
          <w:b w:val="0"/>
          <w:bCs w:val="0"/>
          <w:i w:val="0"/>
          <w:caps w:val="0"/>
          <w:color w:val="000000"/>
          <w:spacing w:val="0"/>
          <w:w w:val="100"/>
          <w:sz w:val="32"/>
          <w:szCs w:val="32"/>
          <w:lang w:eastAsia="zh-CN"/>
        </w:rPr>
        <w:t>何丽云到政协</w:t>
      </w:r>
      <w:r>
        <w:rPr>
          <w:rFonts w:hint="eastAsia" w:ascii="仿宋" w:hAnsi="仿宋" w:eastAsia="仿宋" w:cs="仿宋"/>
          <w:b w:val="0"/>
          <w:bCs w:val="0"/>
          <w:i w:val="0"/>
          <w:caps w:val="0"/>
          <w:color w:val="000000"/>
          <w:spacing w:val="0"/>
          <w:w w:val="100"/>
          <w:sz w:val="32"/>
          <w:szCs w:val="32"/>
          <w:lang w:val="en-US" w:eastAsia="zh-CN"/>
        </w:rPr>
        <w:t>学习联络委员会任主任；我县人大政协换届工作已经顺利完成，县</w:t>
      </w:r>
      <w:r>
        <w:rPr>
          <w:rFonts w:hint="eastAsia" w:ascii="仿宋" w:hAnsi="仿宋" w:eastAsia="仿宋" w:cs="仿宋"/>
          <w:b w:val="0"/>
          <w:bCs w:val="0"/>
          <w:i w:val="0"/>
          <w:caps w:val="0"/>
          <w:color w:val="000000"/>
          <w:spacing w:val="0"/>
          <w:w w:val="100"/>
          <w:sz w:val="32"/>
          <w:szCs w:val="32"/>
          <w:lang w:eastAsia="zh-CN"/>
        </w:rPr>
        <w:t>人大代表</w:t>
      </w:r>
      <w:r>
        <w:rPr>
          <w:rFonts w:hint="eastAsia" w:ascii="仿宋" w:hAnsi="仿宋" w:eastAsia="仿宋" w:cs="仿宋"/>
          <w:b w:val="0"/>
          <w:bCs w:val="0"/>
          <w:i w:val="0"/>
          <w:caps w:val="0"/>
          <w:color w:val="000000"/>
          <w:spacing w:val="0"/>
          <w:w w:val="100"/>
          <w:sz w:val="32"/>
          <w:szCs w:val="32"/>
          <w:lang w:val="en-US" w:eastAsia="zh-CN"/>
        </w:rPr>
        <w:t>300名，其中党外委员116名，占比38.6%，人大</w:t>
      </w:r>
      <w:r>
        <w:rPr>
          <w:rFonts w:hint="eastAsia" w:ascii="仿宋" w:hAnsi="仿宋" w:eastAsia="仿宋" w:cs="仿宋"/>
          <w:b w:val="0"/>
          <w:bCs w:val="0"/>
          <w:i w:val="0"/>
          <w:caps w:val="0"/>
          <w:color w:val="000000"/>
          <w:spacing w:val="0"/>
          <w:w w:val="100"/>
          <w:sz w:val="32"/>
          <w:szCs w:val="32"/>
          <w:lang w:eastAsia="zh-CN"/>
        </w:rPr>
        <w:t>常委会委员29</w:t>
      </w:r>
      <w:r>
        <w:rPr>
          <w:rFonts w:hint="eastAsia" w:ascii="仿宋" w:hAnsi="仿宋" w:eastAsia="仿宋" w:cs="仿宋"/>
          <w:b w:val="0"/>
          <w:bCs w:val="0"/>
          <w:i w:val="0"/>
          <w:caps w:val="0"/>
          <w:color w:val="000000"/>
          <w:spacing w:val="0"/>
          <w:w w:val="100"/>
          <w:sz w:val="32"/>
          <w:szCs w:val="32"/>
          <w:lang w:val="en-US" w:eastAsia="zh-CN"/>
        </w:rPr>
        <w:t>名</w:t>
      </w:r>
      <w:r>
        <w:rPr>
          <w:rFonts w:hint="eastAsia" w:ascii="仿宋" w:hAnsi="仿宋" w:eastAsia="仿宋" w:cs="仿宋"/>
          <w:b w:val="0"/>
          <w:bCs w:val="0"/>
          <w:i w:val="0"/>
          <w:caps w:val="0"/>
          <w:color w:val="000000"/>
          <w:spacing w:val="0"/>
          <w:w w:val="100"/>
          <w:sz w:val="32"/>
          <w:szCs w:val="32"/>
          <w:lang w:eastAsia="zh-CN"/>
        </w:rPr>
        <w:t>，</w:t>
      </w:r>
      <w:r>
        <w:rPr>
          <w:rFonts w:hint="eastAsia" w:ascii="仿宋" w:hAnsi="仿宋" w:eastAsia="仿宋" w:cs="仿宋"/>
          <w:b w:val="0"/>
          <w:bCs w:val="0"/>
          <w:i w:val="0"/>
          <w:caps w:val="0"/>
          <w:color w:val="000000"/>
          <w:spacing w:val="0"/>
          <w:w w:val="100"/>
          <w:sz w:val="32"/>
          <w:szCs w:val="32"/>
          <w:lang w:val="en-US" w:eastAsia="zh-CN"/>
        </w:rPr>
        <w:t>党外常委11名，占比31.4%；</w:t>
      </w:r>
      <w:r>
        <w:rPr>
          <w:rFonts w:hint="eastAsia" w:ascii="仿宋" w:hAnsi="仿宋" w:eastAsia="仿宋" w:cs="仿宋"/>
          <w:b w:val="0"/>
          <w:bCs w:val="0"/>
          <w:i w:val="0"/>
          <w:caps w:val="0"/>
          <w:color w:val="000000"/>
          <w:spacing w:val="0"/>
          <w:w w:val="100"/>
          <w:sz w:val="32"/>
          <w:szCs w:val="32"/>
          <w:lang w:eastAsia="zh-CN"/>
        </w:rPr>
        <w:t>政协委员</w:t>
      </w:r>
      <w:r>
        <w:rPr>
          <w:rFonts w:hint="eastAsia" w:ascii="仿宋" w:hAnsi="仿宋" w:eastAsia="仿宋" w:cs="仿宋"/>
          <w:b w:val="0"/>
          <w:bCs w:val="0"/>
          <w:i w:val="0"/>
          <w:caps w:val="0"/>
          <w:color w:val="000000"/>
          <w:spacing w:val="0"/>
          <w:w w:val="100"/>
          <w:sz w:val="32"/>
          <w:szCs w:val="32"/>
          <w:lang w:val="en-US" w:eastAsia="zh-CN"/>
        </w:rPr>
        <w:t>242名，其中党外委员146名（实际138名，预留8名），占比60.3%，政协</w:t>
      </w:r>
      <w:r>
        <w:rPr>
          <w:rFonts w:hint="eastAsia" w:ascii="仿宋" w:hAnsi="仿宋" w:eastAsia="仿宋" w:cs="仿宋"/>
          <w:b w:val="0"/>
          <w:bCs w:val="0"/>
          <w:i w:val="0"/>
          <w:caps w:val="0"/>
          <w:color w:val="000000"/>
          <w:spacing w:val="0"/>
          <w:w w:val="100"/>
          <w:sz w:val="32"/>
          <w:szCs w:val="32"/>
          <w:lang w:eastAsia="zh-CN"/>
        </w:rPr>
        <w:t>常委</w:t>
      </w:r>
      <w:r>
        <w:rPr>
          <w:rFonts w:hint="eastAsia" w:ascii="仿宋" w:hAnsi="仿宋" w:eastAsia="仿宋" w:cs="仿宋"/>
          <w:b w:val="0"/>
          <w:bCs w:val="0"/>
          <w:i w:val="0"/>
          <w:caps w:val="0"/>
          <w:color w:val="000000"/>
          <w:spacing w:val="0"/>
          <w:w w:val="100"/>
          <w:sz w:val="32"/>
          <w:szCs w:val="32"/>
          <w:lang w:val="en-US" w:eastAsia="zh-CN"/>
        </w:rPr>
        <w:t>组成人员45名，其中党外常委30名，占比66.7%</w:t>
      </w:r>
      <w:r>
        <w:rPr>
          <w:rFonts w:hint="eastAsia" w:ascii="仿宋" w:hAnsi="仿宋" w:eastAsia="仿宋" w:cs="仿宋"/>
          <w:b w:val="0"/>
          <w:bCs w:val="0"/>
          <w:i w:val="0"/>
          <w:caps w:val="0"/>
          <w:color w:val="000000"/>
          <w:spacing w:val="0"/>
          <w:w w:val="10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i w:val="0"/>
          <w:caps w:val="0"/>
          <w:color w:val="000000"/>
          <w:spacing w:val="0"/>
          <w:w w:val="100"/>
          <w:sz w:val="32"/>
          <w:szCs w:val="32"/>
          <w:lang w:eastAsia="zh-CN"/>
        </w:rPr>
      </w:pPr>
      <w:r>
        <w:rPr>
          <w:rFonts w:hint="eastAsia" w:ascii="仿宋" w:hAnsi="仿宋" w:eastAsia="仿宋" w:cs="仿宋"/>
          <w:b w:val="0"/>
          <w:bCs w:val="0"/>
          <w:i w:val="0"/>
          <w:caps w:val="0"/>
          <w:color w:val="000000"/>
          <w:spacing w:val="0"/>
          <w:w w:val="100"/>
          <w:sz w:val="32"/>
          <w:szCs w:val="32"/>
          <w:lang w:eastAsia="zh-CN"/>
        </w:rPr>
        <w:t>六</w:t>
      </w:r>
      <w:r>
        <w:rPr>
          <w:rFonts w:hint="eastAsia" w:ascii="仿宋" w:hAnsi="仿宋" w:eastAsia="仿宋" w:cs="仿宋"/>
          <w:b w:val="0"/>
          <w:bCs w:val="0"/>
          <w:i w:val="0"/>
          <w:caps w:val="0"/>
          <w:color w:val="000000"/>
          <w:spacing w:val="0"/>
          <w:w w:val="100"/>
          <w:sz w:val="32"/>
          <w:szCs w:val="32"/>
          <w:lang w:val="en-US" w:eastAsia="zh-CN"/>
        </w:rPr>
        <w:t>是</w:t>
      </w:r>
      <w:r>
        <w:rPr>
          <w:rFonts w:hint="eastAsia" w:ascii="仿宋" w:hAnsi="仿宋" w:eastAsia="仿宋" w:cs="仿宋"/>
          <w:b w:val="0"/>
          <w:bCs w:val="0"/>
          <w:i w:val="0"/>
          <w:caps w:val="0"/>
          <w:color w:val="000000"/>
          <w:spacing w:val="0"/>
          <w:w w:val="100"/>
          <w:sz w:val="32"/>
          <w:szCs w:val="32"/>
          <w:lang w:eastAsia="zh-CN"/>
        </w:rPr>
        <w:t>保障经费。</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i w:val="0"/>
          <w:caps w:val="0"/>
          <w:color w:val="000000"/>
          <w:spacing w:val="0"/>
          <w:w w:val="100"/>
          <w:sz w:val="32"/>
          <w:szCs w:val="32"/>
          <w:lang w:val="en-US" w:eastAsia="zh-CN"/>
        </w:rPr>
        <w:t>2、</w:t>
      </w:r>
      <w:r>
        <w:rPr>
          <w:rFonts w:hint="eastAsia" w:ascii="楷体" w:hAnsi="楷体" w:eastAsia="楷体" w:cs="楷体"/>
          <w:b/>
          <w:bCs/>
          <w:i w:val="0"/>
          <w:caps w:val="0"/>
          <w:color w:val="000000"/>
          <w:spacing w:val="0"/>
          <w:w w:val="100"/>
          <w:sz w:val="32"/>
          <w:szCs w:val="32"/>
          <w:lang w:eastAsia="zh-CN"/>
        </w:rPr>
        <w:t>发挥大统战</w:t>
      </w:r>
      <w:r>
        <w:rPr>
          <w:rFonts w:hint="eastAsia" w:ascii="楷体" w:hAnsi="楷体" w:eastAsia="楷体" w:cs="楷体"/>
          <w:b/>
          <w:bCs/>
          <w:i w:val="0"/>
          <w:caps w:val="0"/>
          <w:color w:val="000000"/>
          <w:spacing w:val="0"/>
          <w:w w:val="100"/>
          <w:sz w:val="32"/>
          <w:szCs w:val="32"/>
          <w:lang w:val="en-US" w:eastAsia="zh-CN"/>
        </w:rPr>
        <w:t>优势</w:t>
      </w:r>
      <w:r>
        <w:rPr>
          <w:rFonts w:hint="eastAsia" w:ascii="楷体" w:hAnsi="楷体" w:eastAsia="楷体" w:cs="楷体"/>
          <w:b/>
          <w:bCs/>
          <w:i w:val="0"/>
          <w:caps w:val="0"/>
          <w:color w:val="000000"/>
          <w:spacing w:val="0"/>
          <w:w w:val="100"/>
          <w:sz w:val="32"/>
          <w:szCs w:val="32"/>
          <w:lang w:eastAsia="zh-CN"/>
        </w:rPr>
        <w:t>，</w:t>
      </w:r>
      <w:r>
        <w:rPr>
          <w:rFonts w:hint="eastAsia" w:ascii="楷体" w:hAnsi="楷体" w:eastAsia="楷体" w:cs="楷体"/>
          <w:b/>
          <w:bCs/>
          <w:sz w:val="32"/>
          <w:szCs w:val="32"/>
        </w:rPr>
        <w:t>齐抓共管</w:t>
      </w:r>
      <w:r>
        <w:rPr>
          <w:rFonts w:hint="eastAsia" w:ascii="楷体" w:hAnsi="楷体" w:eastAsia="楷体" w:cs="楷体"/>
          <w:b/>
          <w:bCs/>
          <w:sz w:val="32"/>
          <w:szCs w:val="32"/>
          <w:lang w:eastAsia="zh-CN"/>
        </w:rPr>
        <w:t>有</w:t>
      </w:r>
      <w:r>
        <w:rPr>
          <w:rFonts w:hint="eastAsia" w:ascii="楷体" w:hAnsi="楷体" w:eastAsia="楷体" w:cs="楷体"/>
          <w:b/>
          <w:bCs/>
          <w:sz w:val="32"/>
          <w:szCs w:val="32"/>
        </w:rPr>
        <w:t>活力</w:t>
      </w:r>
    </w:p>
    <w:p>
      <w:pPr>
        <w:keepNext w:val="0"/>
        <w:keepLines w:val="0"/>
        <w:pageBreakBefore w:val="0"/>
        <w:kinsoku/>
        <w:wordWrap/>
        <w:overflowPunct/>
        <w:topLinePunct w:val="0"/>
        <w:autoSpaceDE/>
        <w:autoSpaceDN/>
        <w:bidi w:val="0"/>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一是健全</w:t>
      </w:r>
      <w:r>
        <w:rPr>
          <w:rFonts w:hint="eastAsia" w:ascii="仿宋" w:hAnsi="仿宋" w:eastAsia="仿宋" w:cs="仿宋"/>
          <w:b w:val="0"/>
          <w:bCs w:val="0"/>
          <w:sz w:val="32"/>
          <w:szCs w:val="32"/>
          <w:lang w:eastAsia="zh-CN"/>
        </w:rPr>
        <w:t>健全领导小组规章</w:t>
      </w:r>
      <w:r>
        <w:rPr>
          <w:rFonts w:hint="eastAsia" w:ascii="仿宋" w:hAnsi="仿宋" w:eastAsia="仿宋" w:cs="仿宋"/>
          <w:b w:val="0"/>
          <w:bCs w:val="0"/>
          <w:sz w:val="32"/>
          <w:szCs w:val="32"/>
        </w:rPr>
        <w:t>制度</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二是</w:t>
      </w:r>
      <w:r>
        <w:rPr>
          <w:rFonts w:hint="eastAsia" w:ascii="仿宋" w:hAnsi="仿宋" w:eastAsia="仿宋" w:cs="仿宋"/>
          <w:b w:val="0"/>
          <w:bCs w:val="0"/>
          <w:sz w:val="32"/>
          <w:szCs w:val="32"/>
          <w:lang w:eastAsia="zh-CN"/>
        </w:rPr>
        <w:t>统筹协调，</w:t>
      </w:r>
      <w:r>
        <w:rPr>
          <w:rFonts w:hint="eastAsia" w:ascii="仿宋" w:hAnsi="仿宋" w:eastAsia="仿宋" w:cs="仿宋"/>
          <w:b w:val="0"/>
          <w:bCs w:val="0"/>
          <w:sz w:val="32"/>
          <w:szCs w:val="32"/>
        </w:rPr>
        <w:t>齐抓共管</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三是加强统战队伍建设。</w:t>
      </w:r>
    </w:p>
    <w:p>
      <w:pPr>
        <w:keepNext w:val="0"/>
        <w:keepLines w:val="0"/>
        <w:pageBreakBefore w:val="0"/>
        <w:kinsoku/>
        <w:wordWrap/>
        <w:overflowPunct/>
        <w:topLinePunct w:val="0"/>
        <w:autoSpaceDE/>
        <w:autoSpaceDN/>
        <w:bidi w:val="0"/>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lang w:eastAsia="zh-CN"/>
        </w:rPr>
        <w:t>加强政治引领，坚定正确政治方向</w:t>
      </w:r>
    </w:p>
    <w:p>
      <w:pPr>
        <w:keepNext w:val="0"/>
        <w:keepLines w:val="0"/>
        <w:pageBreakBefore w:val="0"/>
        <w:kinsoku/>
        <w:wordWrap/>
        <w:overflowPunct/>
        <w:topLinePunct w:val="0"/>
        <w:autoSpaceDE/>
        <w:autoSpaceDN/>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一是深化理论学习。</w:t>
      </w:r>
    </w:p>
    <w:p>
      <w:pPr>
        <w:keepNext w:val="0"/>
        <w:keepLines w:val="0"/>
        <w:pageBreakBefore w:val="0"/>
        <w:kinsoku/>
        <w:wordWrap/>
        <w:overflowPunct/>
        <w:topLinePunct w:val="0"/>
        <w:autoSpaceDE/>
        <w:autoSpaceDN/>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二是突出主题教育。</w:t>
      </w:r>
    </w:p>
    <w:p>
      <w:pPr>
        <w:keepNext w:val="0"/>
        <w:keepLines w:val="0"/>
        <w:pageBreakBefore w:val="0"/>
        <w:kinsoku/>
        <w:wordWrap/>
        <w:overflowPunct/>
        <w:topLinePunct w:val="0"/>
        <w:autoSpaceDE/>
        <w:autoSpaceDN/>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三是强化谈心交友。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3" w:firstLineChars="200"/>
        <w:jc w:val="both"/>
        <w:rPr>
          <w:rFonts w:hint="eastAsia" w:ascii="楷体" w:hAnsi="楷体" w:eastAsia="楷体" w:cs="楷体"/>
          <w:sz w:val="32"/>
          <w:szCs w:val="32"/>
        </w:rPr>
      </w:pPr>
      <w:r>
        <w:rPr>
          <w:rStyle w:val="7"/>
          <w:rFonts w:hint="eastAsia" w:ascii="楷体" w:hAnsi="楷体" w:eastAsia="楷体" w:cs="楷体"/>
          <w:i w:val="0"/>
          <w:iCs w:val="0"/>
          <w:caps w:val="0"/>
          <w:color w:val="222222"/>
          <w:spacing w:val="0"/>
          <w:sz w:val="32"/>
          <w:szCs w:val="32"/>
          <w:lang w:val="en-US" w:eastAsia="zh-CN"/>
        </w:rPr>
        <w:t>4、</w:t>
      </w:r>
      <w:r>
        <w:rPr>
          <w:rStyle w:val="7"/>
          <w:rFonts w:hint="eastAsia" w:ascii="楷体" w:hAnsi="楷体" w:eastAsia="楷体" w:cs="楷体"/>
          <w:i w:val="0"/>
          <w:iCs w:val="0"/>
          <w:caps w:val="0"/>
          <w:color w:val="222222"/>
          <w:spacing w:val="0"/>
          <w:sz w:val="32"/>
          <w:szCs w:val="32"/>
          <w:lang w:eastAsia="zh-CN"/>
        </w:rPr>
        <w:t>凝心聚力新时代，增添</w:t>
      </w:r>
      <w:r>
        <w:rPr>
          <w:rStyle w:val="7"/>
          <w:rFonts w:hint="eastAsia" w:ascii="楷体" w:hAnsi="楷体" w:eastAsia="楷体" w:cs="楷体"/>
          <w:i w:val="0"/>
          <w:iCs w:val="0"/>
          <w:caps w:val="0"/>
          <w:color w:val="222222"/>
          <w:spacing w:val="0"/>
          <w:sz w:val="32"/>
          <w:szCs w:val="32"/>
        </w:rPr>
        <w:t>发展</w:t>
      </w:r>
      <w:r>
        <w:rPr>
          <w:rStyle w:val="7"/>
          <w:rFonts w:hint="eastAsia" w:ascii="楷体" w:hAnsi="楷体" w:eastAsia="楷体" w:cs="楷体"/>
          <w:i w:val="0"/>
          <w:iCs w:val="0"/>
          <w:caps w:val="0"/>
          <w:color w:val="222222"/>
          <w:spacing w:val="0"/>
          <w:sz w:val="32"/>
          <w:szCs w:val="32"/>
          <w:lang w:eastAsia="zh-CN"/>
        </w:rPr>
        <w:t>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一是搭建“新的社会阶层人士联谊会”平台。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二是用好中国华侨国际文化文化交流基地平台。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三是发挥政协组织、群团组织平台作用。</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3" w:firstLineChars="200"/>
        <w:jc w:val="both"/>
        <w:rPr>
          <w:rFonts w:hint="eastAsia" w:ascii="楷体" w:hAnsi="楷体" w:eastAsia="楷体" w:cs="楷体"/>
          <w:b/>
          <w:bCs/>
          <w:i w:val="0"/>
          <w:iCs w:val="0"/>
          <w:caps w:val="0"/>
          <w:color w:val="222222"/>
          <w:spacing w:val="0"/>
          <w:sz w:val="32"/>
          <w:szCs w:val="32"/>
          <w:lang w:eastAsia="zh-CN"/>
        </w:rPr>
      </w:pPr>
      <w:r>
        <w:rPr>
          <w:rFonts w:hint="eastAsia" w:ascii="楷体" w:hAnsi="楷体" w:eastAsia="楷体" w:cs="楷体"/>
          <w:b/>
          <w:bCs/>
          <w:i w:val="0"/>
          <w:iCs w:val="0"/>
          <w:caps w:val="0"/>
          <w:color w:val="222222"/>
          <w:spacing w:val="0"/>
          <w:sz w:val="32"/>
          <w:szCs w:val="32"/>
          <w:lang w:eastAsia="zh-CN"/>
        </w:rPr>
        <w:t>工作卓有成效，彰显特色亮点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一是民主党派和党外人士工作得到加强。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二是宗教领域和谐稳定。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三是中华民族共同体意识进一步铸牢。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四是民营经济持续健康发展。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五是党外知识分子和新的社会阶层人士统战工作不断加强和改进。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六是港澳台海外统战不断深化。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atLeast"/>
        <w:ind w:right="0" w:firstLine="640" w:firstLineChars="200"/>
        <w:jc w:val="both"/>
        <w:rPr>
          <w:rFonts w:hint="eastAsia" w:ascii="仿宋_GB2312" w:hAnsi="仿宋_GB2312" w:eastAsia="仿宋_GB2312" w:cs="仿宋_GB2312"/>
          <w:b w:val="0"/>
          <w:bCs w:val="0"/>
          <w:sz w:val="30"/>
          <w:szCs w:val="30"/>
          <w:lang w:val="en-US" w:eastAsia="zh-CN"/>
        </w:rPr>
      </w:pPr>
      <w:r>
        <w:rPr>
          <w:rFonts w:hint="eastAsia" w:ascii="仿宋" w:hAnsi="仿宋" w:eastAsia="仿宋" w:cs="仿宋"/>
          <w:b w:val="0"/>
          <w:bCs w:val="0"/>
          <w:kern w:val="2"/>
          <w:sz w:val="32"/>
          <w:szCs w:val="32"/>
          <w:lang w:val="en-US" w:eastAsia="zh-CN" w:bidi="ar-SA"/>
        </w:rPr>
        <w:t>七是积极开展新乡贤统战工作探索和实践。</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sz w:val="32"/>
          <w:szCs w:val="32"/>
          <w:lang w:val="en-US" w:eastAsia="zh-CN"/>
        </w:rPr>
        <w:t>七、存在的问题及原因分析</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2B2B2B"/>
          <w:kern w:val="0"/>
          <w:sz w:val="32"/>
          <w:szCs w:val="32"/>
          <w:lang w:val="en-US" w:eastAsia="zh-CN" w:bidi="ar"/>
        </w:rPr>
      </w:pPr>
      <w:r>
        <w:rPr>
          <w:rFonts w:hint="eastAsia" w:ascii="仿宋_GB2312" w:hAnsi="仿宋_GB2312" w:eastAsia="仿宋_GB2312" w:cs="仿宋_GB2312"/>
          <w:b/>
          <w:bCs/>
          <w:color w:val="2B2B2B"/>
          <w:kern w:val="0"/>
          <w:sz w:val="32"/>
          <w:szCs w:val="32"/>
          <w:lang w:val="en-US" w:eastAsia="zh-CN" w:bidi="ar"/>
        </w:rPr>
        <w:t>存在的问题：</w:t>
      </w:r>
      <w:r>
        <w:rPr>
          <w:rFonts w:hint="eastAsia" w:ascii="仿宋_GB2312" w:hAnsi="仿宋_GB2312" w:eastAsia="仿宋_GB2312" w:cs="仿宋_GB2312"/>
          <w:color w:val="2B2B2B"/>
          <w:kern w:val="0"/>
          <w:sz w:val="32"/>
          <w:szCs w:val="32"/>
          <w:lang w:val="en-US" w:eastAsia="zh-CN" w:bidi="ar"/>
        </w:rPr>
        <w:t>预算编制具体项目的细化程度和精准度不够高，合理性有待进一步加强。资金使用效益有待进一步提高，绩效目标设立不够明确、细化和量化。</w:t>
      </w:r>
    </w:p>
    <w:p>
      <w:pPr>
        <w:pStyle w:val="2"/>
        <w:keepNext w:val="0"/>
        <w:keepLines w:val="0"/>
        <w:pageBreakBefore w:val="0"/>
        <w:kinsoku/>
        <w:wordWrap/>
        <w:overflowPunct/>
        <w:topLinePunct w:val="0"/>
        <w:autoSpaceDE/>
        <w:autoSpaceDN/>
        <w:bidi w:val="0"/>
        <w:ind w:firstLine="643" w:firstLineChars="200"/>
        <w:rPr>
          <w:rFonts w:hint="default"/>
          <w:b/>
          <w:bCs/>
          <w:lang w:val="en-US" w:eastAsia="zh-CN"/>
        </w:rPr>
      </w:pPr>
      <w:r>
        <w:rPr>
          <w:rFonts w:hint="eastAsia" w:ascii="仿宋_GB2312" w:hAnsi="仿宋_GB2312" w:eastAsia="仿宋_GB2312" w:cs="仿宋_GB2312"/>
          <w:b/>
          <w:bCs/>
          <w:color w:val="2B2B2B"/>
          <w:kern w:val="0"/>
          <w:sz w:val="32"/>
          <w:szCs w:val="32"/>
          <w:lang w:val="en-US" w:eastAsia="zh-CN" w:bidi="ar"/>
        </w:rPr>
        <w:t>原因分析：</w:t>
      </w:r>
      <w:r>
        <w:rPr>
          <w:rFonts w:hint="eastAsia" w:ascii="仿宋_GB2312" w:hAnsi="仿宋_GB2312" w:eastAsia="仿宋_GB2312" w:cs="仿宋_GB2312"/>
          <w:b w:val="0"/>
          <w:bCs w:val="0"/>
          <w:color w:val="2B2B2B"/>
          <w:kern w:val="0"/>
          <w:sz w:val="32"/>
          <w:szCs w:val="32"/>
          <w:lang w:val="en-US" w:eastAsia="zh-CN" w:bidi="ar"/>
        </w:rPr>
        <w:t>专业知识掌握不够，加强理论学习。</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、改进措施和有关建议</w:t>
      </w:r>
    </w:p>
    <w:p>
      <w:pPr>
        <w:pStyle w:val="4"/>
        <w:keepNext w:val="0"/>
        <w:keepLines w:val="0"/>
        <w:pageBreakBefore w:val="0"/>
        <w:widowControl/>
        <w:kinsoku/>
        <w:wordWrap/>
        <w:overflowPunct/>
        <w:topLinePunct w:val="0"/>
        <w:autoSpaceDE/>
        <w:autoSpaceDN/>
        <w:bidi w:val="0"/>
        <w:spacing w:beforeAutospacing="0" w:after="0" w:afterAutospacing="0" w:line="580" w:lineRule="exact"/>
        <w:ind w:firstLine="640" w:firstLineChars="200"/>
        <w:textAlignment w:val="baseline"/>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（一）严格制度执行。要严格执行预算管理、支出开支、审批、报销等各项制度和程序，强化开支的计划性，最大限度的提高各项预算资金的使用效率。</w:t>
      </w:r>
    </w:p>
    <w:p>
      <w:pPr>
        <w:pStyle w:val="4"/>
        <w:keepNext w:val="0"/>
        <w:keepLines w:val="0"/>
        <w:pageBreakBefore w:val="0"/>
        <w:widowControl/>
        <w:kinsoku/>
        <w:wordWrap/>
        <w:overflowPunct/>
        <w:topLinePunct w:val="0"/>
        <w:autoSpaceDE/>
        <w:autoSpaceDN/>
        <w:bidi w:val="0"/>
        <w:spacing w:beforeAutospacing="0" w:after="0" w:afterAutospacing="0" w:line="580" w:lineRule="exact"/>
        <w:ind w:firstLine="640" w:firstLineChars="200"/>
        <w:textAlignment w:val="baseline"/>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（二）财务人员应加强学习财务知识，多进行调查研究，钻研学习，因时制宜，更好地结合单位实际情况编制部门预算，提高预算编制的细化程度、精准度和合理性，从而提高资金的使用效率，减少年中追加。</w:t>
      </w:r>
    </w:p>
    <w:p>
      <w:pPr>
        <w:pStyle w:val="4"/>
        <w:keepNext w:val="0"/>
        <w:keepLines w:val="0"/>
        <w:pageBreakBefore w:val="0"/>
        <w:widowControl/>
        <w:kinsoku/>
        <w:wordWrap/>
        <w:overflowPunct/>
        <w:topLinePunct w:val="0"/>
        <w:autoSpaceDE/>
        <w:autoSpaceDN/>
        <w:bidi w:val="0"/>
        <w:spacing w:beforeAutospacing="0" w:after="0" w:afterAutospacing="0" w:line="580" w:lineRule="exact"/>
        <w:ind w:firstLine="640" w:firstLineChars="200"/>
        <w:textAlignment w:val="baseline"/>
        <w:rPr>
          <w:rFonts w:hint="eastAsia"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（三）单位要加强绩效目标设立、细化和量化工作的力度，进一步提高资金使用效率。</w:t>
      </w:r>
    </w:p>
    <w:p>
      <w:pPr>
        <w:pStyle w:val="4"/>
        <w:keepNext w:val="0"/>
        <w:keepLines w:val="0"/>
        <w:pageBreakBefore w:val="0"/>
        <w:widowControl/>
        <w:kinsoku/>
        <w:wordWrap/>
        <w:overflowPunct/>
        <w:topLinePunct w:val="0"/>
        <w:autoSpaceDE/>
        <w:autoSpaceDN/>
        <w:bidi w:val="0"/>
        <w:spacing w:before="0" w:beforeAutospacing="0" w:after="0" w:afterAutospacing="0"/>
        <w:ind w:right="11" w:firstLine="643" w:firstLineChars="200"/>
        <w:rPr>
          <w:rFonts w:hint="eastAsia" w:ascii="仿宋" w:hAnsi="仿宋" w:eastAsia="仿宋" w:cs="仿宋"/>
          <w:b/>
          <w:bCs/>
          <w:color w:val="010101"/>
          <w:kern w:val="0"/>
          <w:sz w:val="32"/>
          <w:szCs w:val="32"/>
          <w:lang w:val="en-US" w:eastAsia="zh-CN" w:bidi="ar"/>
        </w:rPr>
      </w:pPr>
      <w:r>
        <w:rPr>
          <w:rFonts w:hint="eastAsia" w:ascii="仿宋" w:hAnsi="仿宋" w:eastAsia="仿宋" w:cs="仿宋"/>
          <w:b/>
          <w:bCs/>
          <w:color w:val="010101"/>
          <w:kern w:val="0"/>
          <w:sz w:val="32"/>
          <w:szCs w:val="32"/>
          <w:lang w:val="en-US" w:eastAsia="zh-CN" w:bidi="ar"/>
        </w:rPr>
        <w:t>九、绩效自评结果拟应用和公开情况</w:t>
      </w:r>
    </w:p>
    <w:p>
      <w:pPr>
        <w:pStyle w:val="4"/>
        <w:keepNext w:val="0"/>
        <w:keepLines w:val="0"/>
        <w:pageBreakBefore w:val="0"/>
        <w:widowControl/>
        <w:kinsoku/>
        <w:wordWrap/>
        <w:overflowPunct/>
        <w:topLinePunct w:val="0"/>
        <w:autoSpaceDE/>
        <w:autoSpaceDN/>
        <w:bidi w:val="0"/>
        <w:spacing w:beforeAutospacing="0" w:after="0" w:afterAutospacing="0" w:line="580" w:lineRule="exact"/>
        <w:ind w:firstLine="640" w:firstLineChars="200"/>
        <w:textAlignment w:val="baseline"/>
        <w:rPr>
          <w:rFonts w:hint="default"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val="en-US" w:eastAsia="zh-CN"/>
        </w:rPr>
        <w:t>本年度部门整体绩效自评分结果为96分，统一战线专项资金绩效自评分为95分。按规定时间内将2021年度专项资金绩效自评报告、整体部门支出绩效自评报告在本部门门户网站（道县县委统一战线工作委员会网站）公开，并接受社会监督。</w:t>
      </w:r>
    </w:p>
    <w:p>
      <w:pPr>
        <w:pStyle w:val="4"/>
        <w:keepNext w:val="0"/>
        <w:keepLines w:val="0"/>
        <w:pageBreakBefore w:val="0"/>
        <w:widowControl/>
        <w:kinsoku/>
        <w:wordWrap/>
        <w:overflowPunct/>
        <w:topLinePunct w:val="0"/>
        <w:autoSpaceDE/>
        <w:autoSpaceDN/>
        <w:bidi w:val="0"/>
        <w:spacing w:beforeAutospacing="0" w:after="0" w:afterAutospacing="0" w:line="580" w:lineRule="exact"/>
        <w:ind w:firstLine="640" w:firstLineChars="200"/>
        <w:textAlignment w:val="baseline"/>
        <w:rPr>
          <w:rFonts w:hint="eastAsia" w:ascii="仿宋_GB2312" w:hAnsi="仿宋_GB2312" w:eastAsia="仿宋_GB2312" w:cs="仿宋_GB2312"/>
          <w:color w:val="2B2B2B"/>
          <w:sz w:val="32"/>
          <w:szCs w:val="32"/>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ind w:firstLine="640" w:firstLineChars="200"/>
        <w:rPr>
          <w:rFonts w:hint="eastAsia" w:ascii="仿宋" w:hAnsi="仿宋" w:eastAsia="仿宋" w:cs="FangSong_GB2312"/>
          <w:sz w:val="32"/>
          <w:szCs w:val="32"/>
        </w:rPr>
      </w:pPr>
    </w:p>
    <w:p>
      <w:pPr>
        <w:keepNext w:val="0"/>
        <w:keepLines w:val="0"/>
        <w:pageBreakBefore w:val="0"/>
        <w:numPr>
          <w:ilvl w:val="0"/>
          <w:numId w:val="0"/>
        </w:numPr>
        <w:kinsoku/>
        <w:wordWrap/>
        <w:overflowPunct/>
        <w:topLinePunct w:val="0"/>
        <w:autoSpaceDE/>
        <w:autoSpaceDN/>
        <w:bidi w:val="0"/>
        <w:ind w:firstLine="643" w:firstLineChars="200"/>
        <w:rPr>
          <w:rFonts w:hint="eastAsia" w:ascii="仿宋" w:hAnsi="仿宋" w:eastAsia="仿宋"/>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CE729"/>
    <w:multiLevelType w:val="singleLevel"/>
    <w:tmpl w:val="ABFCE729"/>
    <w:lvl w:ilvl="0" w:tentative="0">
      <w:start w:val="1"/>
      <w:numFmt w:val="chineseCounting"/>
      <w:suff w:val="nothing"/>
      <w:lvlText w:val="%1、"/>
      <w:lvlJc w:val="left"/>
      <w:rPr>
        <w:rFonts w:hint="eastAsia"/>
      </w:rPr>
    </w:lvl>
  </w:abstractNum>
  <w:abstractNum w:abstractNumId="1">
    <w:nsid w:val="FC4BA615"/>
    <w:multiLevelType w:val="singleLevel"/>
    <w:tmpl w:val="FC4BA615"/>
    <w:lvl w:ilvl="0" w:tentative="0">
      <w:start w:val="5"/>
      <w:numFmt w:val="decimal"/>
      <w:suff w:val="nothing"/>
      <w:lvlText w:val="%1、"/>
      <w:lvlJc w:val="left"/>
    </w:lvl>
  </w:abstractNum>
  <w:abstractNum w:abstractNumId="2">
    <w:nsid w:val="24E91809"/>
    <w:multiLevelType w:val="singleLevel"/>
    <w:tmpl w:val="24E91809"/>
    <w:lvl w:ilvl="0" w:tentative="0">
      <w:start w:val="1"/>
      <w:numFmt w:val="chineseCounting"/>
      <w:suff w:val="nothing"/>
      <w:lvlText w:val="（%1）"/>
      <w:lvlJc w:val="left"/>
      <w:pPr>
        <w:ind w:left="642"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2E3MjJiZDNlYjRmM2Q2YTU2YjkzMWZiNDU5ZjIifQ=="/>
  </w:docVars>
  <w:rsids>
    <w:rsidRoot w:val="48C035C0"/>
    <w:rsid w:val="06DE0505"/>
    <w:rsid w:val="0FA20284"/>
    <w:rsid w:val="1211791D"/>
    <w:rsid w:val="133C6C2A"/>
    <w:rsid w:val="19436634"/>
    <w:rsid w:val="19DC6C56"/>
    <w:rsid w:val="1C0F42F5"/>
    <w:rsid w:val="30EF5638"/>
    <w:rsid w:val="38776C3D"/>
    <w:rsid w:val="42310BD1"/>
    <w:rsid w:val="47D87289"/>
    <w:rsid w:val="48C035C0"/>
    <w:rsid w:val="50BB51C4"/>
    <w:rsid w:val="5A8B246B"/>
    <w:rsid w:val="5FCD4703"/>
    <w:rsid w:val="687126A2"/>
    <w:rsid w:val="6B3934AC"/>
    <w:rsid w:val="7A10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sz w:val="32"/>
      <w:szCs w:val="32"/>
      <w:lang w:val="zh-CN" w:bidi="zh-CN"/>
    </w:rPr>
  </w:style>
  <w:style w:type="paragraph" w:customStyle="1" w:styleId="3">
    <w:name w:val="正文首行缩进1"/>
    <w:basedOn w:val="1"/>
    <w:qFormat/>
    <w:uiPriority w:val="0"/>
    <w:pPr>
      <w:spacing w:after="120"/>
      <w:ind w:firstLine="420" w:firstLineChars="1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563C1" w:themeColor="hyperlink"/>
      <w:u w:val="single"/>
      <w14:textFill>
        <w14:solidFill>
          <w14:schemeClr w14:val="hlink"/>
        </w14:solidFill>
      </w14:textFill>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3433</Words>
  <Characters>3564</Characters>
  <Lines>0</Lines>
  <Paragraphs>0</Paragraphs>
  <TotalTime>0</TotalTime>
  <ScaleCrop>false</ScaleCrop>
  <LinksUpToDate>false</LinksUpToDate>
  <CharactersWithSpaces>3641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2020-08-07T01:46:00Z</dcterms:created>
  <dc:creator>Administrator</dc:creator>
  <cp:lastModifiedBy>因为我就是叛逆</cp:lastModifiedBy>
  <dcterms:modified xsi:type="dcterms:W3CDTF">2023-09-25T08:29:16Z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BB271225E8C24F7A9EC3DCC00855555D</vt:lpwstr>
  </property>
</Properties>
</file>