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道县司法局部门决算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道县司法局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道县司法局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（一）承担全面依法治县重大问题的政策研究。</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（二）指导全县规范性文件管理。</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lang w:eastAsia="zh-CN"/>
        </w:rPr>
        <w:t>（三）</w:t>
      </w:r>
      <w:r>
        <w:rPr>
          <w:rFonts w:hint="eastAsia" w:asciiTheme="minorEastAsia" w:hAnsiTheme="minorEastAsia"/>
          <w:sz w:val="32"/>
          <w:szCs w:val="32"/>
        </w:rPr>
        <w:t>承担统筹推进法治政府建设的责任。</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lang w:eastAsia="zh-CN"/>
        </w:rPr>
        <w:t>（四）</w:t>
      </w:r>
      <w:r>
        <w:rPr>
          <w:rFonts w:hint="eastAsia" w:asciiTheme="minorEastAsia" w:hAnsiTheme="minorEastAsia"/>
          <w:sz w:val="32"/>
          <w:szCs w:val="32"/>
        </w:rPr>
        <w:t>承担统筹规划全县法治社会建设的责任。</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lang w:eastAsia="zh-CN"/>
        </w:rPr>
        <w:t>（五）</w:t>
      </w:r>
      <w:r>
        <w:rPr>
          <w:rFonts w:hint="eastAsia" w:asciiTheme="minorEastAsia" w:hAnsiTheme="minorEastAsia"/>
          <w:sz w:val="32"/>
          <w:szCs w:val="32"/>
        </w:rPr>
        <w:t>指导、管理社区矫正工作。</w:t>
      </w:r>
    </w:p>
    <w:p>
      <w:pPr>
        <w:ind w:firstLine="640" w:firstLineChars="200"/>
        <w:jc w:val="left"/>
        <w:rPr>
          <w:rFonts w:asciiTheme="minorEastAsia" w:hAnsiTheme="minorEastAsia"/>
          <w:sz w:val="32"/>
          <w:szCs w:val="32"/>
        </w:rPr>
      </w:pPr>
      <w:r>
        <w:rPr>
          <w:rFonts w:hint="eastAsia" w:asciiTheme="minorEastAsia" w:hAnsiTheme="minorEastAsia"/>
          <w:sz w:val="32"/>
          <w:szCs w:val="32"/>
          <w:lang w:eastAsia="zh-CN"/>
        </w:rPr>
        <w:t>（六）</w:t>
      </w:r>
      <w:r>
        <w:rPr>
          <w:rFonts w:hint="eastAsia" w:asciiTheme="minorEastAsia" w:hAnsiTheme="minorEastAsia"/>
          <w:sz w:val="32"/>
          <w:szCs w:val="32"/>
        </w:rPr>
        <w:t>负责拟定公共法律服务体系建设规划并指导实施,统筹和布局城乡、区域法律服务资源。</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道县司法局</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办公室、法治调研与督察股、社区矫正管理股（加挂道县社区矫正工作管理局牌子）、行政复议与应诉股、行政执法协调监督股（行政审批股）、规范性文件管理股、法律事务服务股、普法与依法治理股、人民参与和促进法治股（加挂人民陪审员和监督员选任管理办公室牌子）、公共法律服务管理股、律师工作股、装备财务保障室、政工室（加挂警务室牌子）、行政审批股。直属机构：道县法律援助中心。派出机构：22个乡镇司法所。</w:t>
      </w:r>
    </w:p>
    <w:p>
      <w:pPr>
        <w:widowControl/>
        <w:spacing w:line="600" w:lineRule="exact"/>
        <w:ind w:firstLine="640" w:firstLineChars="200"/>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道县司法局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道县司法局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1506" w:bottom="720" w:left="136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道县司法局</w:t>
            </w:r>
            <w:r>
              <w:rPr>
                <w:rFonts w:hint="eastAsia" w:ascii="宋体" w:hAnsi="宋体" w:eastAsia="宋体" w:cs="宋体"/>
                <w:color w:val="000000"/>
                <w:kern w:val="0"/>
                <w:sz w:val="20"/>
                <w:szCs w:val="20"/>
                <w:lang w:val="en-US" w:eastAsia="zh-CN"/>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840.50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985.82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985.82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道县司法局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840.50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司法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596.59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596.59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法制建设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2040699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道县司法局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698.92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286.90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553.59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286.90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司法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553.59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596.59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553.59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法制建设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ind w:left="0" w:leftChars="0" w:firstLine="0" w:firstLineChars="0"/>
        <w:rPr>
          <w:rFonts w:ascii="Times New Roman" w:hAnsi="Times New Roman" w:eastAsia="方正小标宋_GBK" w:cs="Times New Roman"/>
          <w:color w:val="000000"/>
          <w:kern w:val="0"/>
          <w:sz w:val="36"/>
          <w:szCs w:val="21"/>
        </w:rPr>
      </w:pPr>
    </w:p>
    <w:p>
      <w:pPr>
        <w:pStyle w:val="2"/>
        <w:ind w:left="0" w:leftChars="0" w:firstLine="0" w:firstLineChars="0"/>
        <w:rPr>
          <w:rFonts w:ascii="Times New Roman" w:hAnsi="Times New Roman" w:eastAsia="方正小标宋_GBK" w:cs="Times New Roman"/>
          <w:color w:val="000000"/>
          <w:kern w:val="0"/>
          <w:sz w:val="36"/>
          <w:szCs w:val="21"/>
        </w:rPr>
      </w:pPr>
    </w:p>
    <w:p>
      <w:pPr>
        <w:pStyle w:val="2"/>
        <w:ind w:left="0" w:leftChars="0" w:firstLine="0" w:firstLineChars="0"/>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道县司法局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840.50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840.50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29.06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29.06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341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985.82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1"/>
        <w:gridCol w:w="3296"/>
        <w:gridCol w:w="2825"/>
        <w:gridCol w:w="3276"/>
        <w:gridCol w:w="2825"/>
      </w:tblGrid>
      <w:tr>
        <w:tblPrEx>
          <w:tblCellMar>
            <w:top w:w="0" w:type="dxa"/>
            <w:left w:w="108" w:type="dxa"/>
            <w:bottom w:w="0" w:type="dxa"/>
            <w:right w:w="108" w:type="dxa"/>
          </w:tblCellMar>
        </w:tblPrEx>
        <w:trPr>
          <w:trHeight w:val="405" w:hRule="atLeast"/>
          <w:jc w:val="center"/>
        </w:trPr>
        <w:tc>
          <w:tcPr>
            <w:tcW w:w="529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985.82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698.92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286.90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840.50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553.59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286.90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司法</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825.50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553.59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596.59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553.59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2040604</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2040607</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2040610</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64.17</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64.17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2040612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法制建设</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81.85</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58.12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58.12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58.12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58.12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32"/>
        <w:gridCol w:w="3094"/>
        <w:gridCol w:w="876"/>
        <w:gridCol w:w="1127"/>
        <w:gridCol w:w="2130"/>
        <w:gridCol w:w="876"/>
        <w:gridCol w:w="1128"/>
        <w:gridCol w:w="3866"/>
        <w:gridCol w:w="876"/>
      </w:tblGrid>
      <w:tr>
        <w:tblPrEx>
          <w:tblCellMar>
            <w:top w:w="0" w:type="dxa"/>
            <w:left w:w="108" w:type="dxa"/>
            <w:bottom w:w="0" w:type="dxa"/>
            <w:right w:w="108" w:type="dxa"/>
          </w:tblCellMar>
        </w:tblPrEx>
        <w:trPr>
          <w:trHeight w:val="1454"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道县司法局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982"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514.28</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109.96</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基本工资</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171.64</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办公费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国内债务付息</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津贴补贴</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168.76</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印刷费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国外债务付息</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奖金</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14.02</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咨询费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伙食补助费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手续费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房屋建筑物购建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绩效工资</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水费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办公设备购置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58.12</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电费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3.95</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专用设备购置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职业年金缴费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邮电费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基础设施建设</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32.33</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取暖费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大型修缮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物业管理费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其他社会保障缴费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差旅费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7.65</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物资储备</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22.84</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因公出国（境）费用</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土地补偿</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医疗费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维修（护）费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17.01</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安置补助</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其他工资福利支出</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44.64</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租赁费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74.67</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会议费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拆迁补偿</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离休费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培训费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公务用车购置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退休费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公务接待费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7.66</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其他交通工具购置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退职（役）费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专用材料费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文物和陈列品购置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抚恤金</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23.73</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被装购置费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无形资产购置</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生活补助</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专用燃料费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其他资本性支出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救济费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劳务费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6.92</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医疗费补助</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委托业务费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赠与</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助学金</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工会经费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26.00</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国家赔偿费用支出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奖励金</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50.94</w:t>
            </w: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福利费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17.60</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个人农业生产补贴</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代缴社会保险费</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其他交通费用</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38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税金及附加费用</w:t>
            </w: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38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12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30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8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1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13.17</w:t>
            </w:r>
          </w:p>
        </w:tc>
        <w:tc>
          <w:tcPr>
            <w:tcW w:w="112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38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18"/>
              </w:rPr>
            </w:pPr>
          </w:p>
        </w:tc>
        <w:tc>
          <w:tcPr>
            <w:tcW w:w="82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431" w:hRule="exact"/>
        </w:trPr>
        <w:tc>
          <w:tcPr>
            <w:tcW w:w="43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588.96</w:t>
            </w:r>
          </w:p>
        </w:tc>
        <w:tc>
          <w:tcPr>
            <w:tcW w:w="9069"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109.96</w:t>
            </w:r>
          </w:p>
        </w:tc>
      </w:tr>
      <w:tr>
        <w:tblPrEx>
          <w:tblCellMar>
            <w:top w:w="0" w:type="dxa"/>
            <w:left w:w="108" w:type="dxa"/>
            <w:bottom w:w="0" w:type="dxa"/>
            <w:right w:w="108" w:type="dxa"/>
          </w:tblCellMar>
        </w:tblPrEx>
        <w:trPr>
          <w:trHeight w:val="431"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道县司法局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无</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道县司法局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道县司法局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仿宋_GB2312" w:cs="宋体"/>
                <w:kern w:val="0"/>
                <w:sz w:val="24"/>
                <w:szCs w:val="24"/>
                <w:lang w:eastAsia="zh-CN"/>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eastAsia="zh-CN"/>
              </w:rPr>
              <w:t>道县司法局</w:t>
            </w:r>
            <w:r>
              <w:rPr>
                <w:rFonts w:hint="eastAsia" w:ascii="宋体" w:hAnsi="宋体" w:eastAsia="宋体" w:cs="宋体"/>
                <w:kern w:val="0"/>
                <w:sz w:val="24"/>
                <w:szCs w:val="24"/>
              </w:rPr>
              <w:t>没有国有资本经营收入，也没有安排国有资本经营支出，故本表无数据</w:t>
            </w:r>
            <w:r>
              <w:rPr>
                <w:rFonts w:hint="eastAsia" w:ascii="宋体" w:hAnsi="宋体" w:eastAsia="宋体" w:cs="宋体"/>
                <w:kern w:val="0"/>
                <w:sz w:val="24"/>
                <w:szCs w:val="24"/>
                <w:lang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both"/>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减少148.92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减少13.12</w:t>
      </w:r>
      <w:r>
        <w:rPr>
          <w:rFonts w:hint="eastAsia" w:asciiTheme="minorEastAsia" w:hAnsiTheme="minorEastAsia" w:eastAsiaTheme="minorEastAsia"/>
          <w:sz w:val="32"/>
          <w:szCs w:val="32"/>
        </w:rPr>
        <w:t>%，变动主要原因是</w:t>
      </w:r>
      <w:r>
        <w:rPr>
          <w:rFonts w:hint="eastAsia" w:asciiTheme="minorEastAsia" w:hAnsiTheme="minorEastAsia" w:eastAsiaTheme="minorEastAsia"/>
          <w:sz w:val="32"/>
          <w:szCs w:val="32"/>
          <w:lang w:eastAsia="zh-CN"/>
        </w:rPr>
        <w:t>年中</w:t>
      </w:r>
      <w:r>
        <w:rPr>
          <w:rFonts w:hint="eastAsia" w:asciiTheme="minorEastAsia" w:hAnsiTheme="minorEastAsia" w:eastAsiaTheme="minorEastAsia"/>
          <w:sz w:val="32"/>
          <w:szCs w:val="32"/>
          <w:lang w:val="en-US" w:eastAsia="zh-CN"/>
        </w:rPr>
        <w:t>项目资金缩减及上级业务经费统筹等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698.92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70.9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286.9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29.1</w:t>
      </w:r>
      <w:r>
        <w:rPr>
          <w:rFonts w:hint="eastAsia" w:asciiTheme="minorEastAsia" w:hAnsiTheme="minorEastAsia" w:eastAsiaTheme="minorEastAsia"/>
          <w:sz w:val="32"/>
          <w:szCs w:val="32"/>
        </w:rPr>
        <w:t>%；上缴上级支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元，与上年相比，</w:t>
      </w:r>
      <w:r>
        <w:rPr>
          <w:rFonts w:hint="eastAsia" w:asciiTheme="minorEastAsia" w:hAnsiTheme="minorEastAsia" w:eastAsiaTheme="minorEastAsia"/>
          <w:sz w:val="32"/>
          <w:szCs w:val="32"/>
          <w:lang w:val="en-US" w:eastAsia="zh-CN"/>
        </w:rPr>
        <w:t>减少148.92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减少13.12</w:t>
      </w:r>
      <w:r>
        <w:rPr>
          <w:rFonts w:hint="eastAsia" w:asciiTheme="minorEastAsia" w:hAnsiTheme="minorEastAsia" w:eastAsiaTheme="minorEastAsia"/>
          <w:sz w:val="32"/>
          <w:szCs w:val="32"/>
        </w:rPr>
        <w:t>%，变动主要原因是</w:t>
      </w:r>
      <w:r>
        <w:rPr>
          <w:rFonts w:hint="eastAsia" w:asciiTheme="minorEastAsia" w:hAnsiTheme="minorEastAsia" w:eastAsiaTheme="minorEastAsia"/>
          <w:sz w:val="32"/>
          <w:szCs w:val="32"/>
          <w:lang w:eastAsia="zh-CN"/>
        </w:rPr>
        <w:t>年中</w:t>
      </w:r>
      <w:r>
        <w:rPr>
          <w:rFonts w:hint="eastAsia" w:asciiTheme="minorEastAsia" w:hAnsiTheme="minorEastAsia" w:eastAsiaTheme="minorEastAsia"/>
          <w:sz w:val="32"/>
          <w:szCs w:val="32"/>
          <w:lang w:val="en-US" w:eastAsia="zh-CN"/>
        </w:rPr>
        <w:t>项目资金缩减及上级业务经费统筹等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减少148.92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减少13.12</w:t>
      </w:r>
      <w:r>
        <w:rPr>
          <w:rFonts w:hint="eastAsia" w:asciiTheme="minorEastAsia" w:hAnsiTheme="minorEastAsia" w:eastAsiaTheme="minorEastAsia"/>
          <w:sz w:val="32"/>
          <w:szCs w:val="32"/>
        </w:rPr>
        <w:t>%，变动主要原因是</w:t>
      </w:r>
      <w:r>
        <w:rPr>
          <w:rFonts w:hint="eastAsia" w:asciiTheme="minorEastAsia" w:hAnsiTheme="minorEastAsia" w:eastAsiaTheme="minorEastAsia"/>
          <w:sz w:val="32"/>
          <w:szCs w:val="32"/>
          <w:lang w:eastAsia="zh-CN"/>
        </w:rPr>
        <w:t>年中</w:t>
      </w:r>
      <w:r>
        <w:rPr>
          <w:rFonts w:hint="eastAsia" w:asciiTheme="minorEastAsia" w:hAnsiTheme="minorEastAsia" w:eastAsiaTheme="minorEastAsia"/>
          <w:sz w:val="32"/>
          <w:szCs w:val="32"/>
          <w:lang w:val="en-US" w:eastAsia="zh-CN"/>
        </w:rPr>
        <w:t>项目资金缩减及上级业务经费统筹等</w:t>
      </w:r>
      <w:r>
        <w:rPr>
          <w:rFonts w:hint="eastAsia" w:asciiTheme="minorEastAsia" w:hAnsiTheme="minorEastAsia" w:eastAsia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34.41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公共安全支出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840.5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社会保障和就业支出（类）支出81.85万元，占8.3%；卫生健康支出（类）29.06万元，占2.94%</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_GB2312" w:hAnsi="仿宋" w:eastAsia="仿宋_GB2312"/>
          <w:sz w:val="32"/>
          <w:szCs w:val="32"/>
          <w:lang w:val="en-US" w:eastAsia="zh-CN"/>
        </w:rPr>
        <w:t>982.98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985.82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100.29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w:t>
      </w:r>
      <w:r>
        <w:rPr>
          <w:rFonts w:hint="eastAsia" w:asciiTheme="minorEastAsia" w:hAnsiTheme="minorEastAsia" w:eastAsiaTheme="minorEastAsia"/>
          <w:sz w:val="32"/>
          <w:szCs w:val="32"/>
          <w:lang w:val="en-US" w:eastAsia="zh-CN"/>
        </w:rPr>
        <w:t>其他政府办公厅（室）及相关机构事务支出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%，决算数大于年初预算数的主要原因是：车补预算列入行政运行，最终从政府办公厅（室）及相关机构事务拨付到本单位</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596.59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95.7</w:t>
      </w:r>
      <w:r>
        <w:rPr>
          <w:rFonts w:hint="eastAsia" w:asciiTheme="minorEastAsia" w:hAnsiTheme="minorEastAsia" w:eastAsiaTheme="minorEastAsia"/>
          <w:sz w:val="32"/>
          <w:szCs w:val="32"/>
        </w:rPr>
        <w:t>%，决算数小于年初预算数的主要原因是：车补预算列入此项，最终从政府办公厅（室）及相关机构事务拨付到本单位</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基层司法业务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18.65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大部分案件未及时报上来，导致补贴发放延迟。</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普法宣传</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95.45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节约开支。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公共法律服务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社区矫正</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64.17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本年度管理的社区矫正对象比以往要多，业务量增加。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法治建设</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其他司法支出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69.15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政府购买服务人员第四季度工资及保险未在当年及时拨付。</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其他公共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支出（款）</w:t>
      </w:r>
      <w:r>
        <w:rPr>
          <w:rFonts w:hint="eastAsia" w:asciiTheme="minorEastAsia" w:hAnsiTheme="minorEastAsia" w:eastAsiaTheme="minorEastAsia"/>
          <w:sz w:val="32"/>
          <w:szCs w:val="32"/>
          <w:lang w:eastAsia="zh-CN"/>
        </w:rPr>
        <w:t>其他公共</w:t>
      </w:r>
      <w:r>
        <w:rPr>
          <w:rFonts w:hint="eastAsia" w:asciiTheme="minorEastAsia" w:hAnsiTheme="minorEastAsia" w:eastAsiaTheme="minorEastAsia"/>
          <w:sz w:val="32"/>
          <w:szCs w:val="32"/>
          <w:lang w:val="en-US" w:eastAsia="zh-CN"/>
        </w:rPr>
        <w:t>安全</w:t>
      </w:r>
      <w:r>
        <w:rPr>
          <w:rFonts w:hint="eastAsia" w:asciiTheme="minorEastAsia" w:hAnsiTheme="minorEastAsia" w:eastAsiaTheme="minorEastAsia"/>
          <w:sz w:val="32"/>
          <w:szCs w:val="32"/>
        </w:rPr>
        <w:t>支出（项）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205.4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接收安置帮教对象达到</w:t>
      </w:r>
      <w:r>
        <w:rPr>
          <w:rFonts w:hint="eastAsia" w:asciiTheme="minorEastAsia" w:hAnsiTheme="minorEastAsia" w:eastAsiaTheme="minorEastAsia"/>
          <w:sz w:val="32"/>
          <w:szCs w:val="32"/>
          <w:lang w:val="en-US" w:eastAsia="zh-CN"/>
        </w:rPr>
        <w:t>850余人，对其帮扶教育开支比较大。</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、社会保障和就业支出（类）行政事业单位养老支出（款）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年初无法预估此项开支，未列入预算。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 行政单位医疗（项）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698.92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588.96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84.27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、保险等工资福利支出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109.96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15.73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水电费、差旅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、劳务费、公务接待费、公务用车运行维护费、工会经费、福利费等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31.33</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7.66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42.56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严格按照公务接待要求严格控制开支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1.4341万元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减少15.77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严格按照公务接待要求严格控制开支，同时来访的人员有所减少</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bookmarkStart w:id="2" w:name="_GoBack"/>
      <w:bookmarkEnd w:id="2"/>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17.87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严格控制开支</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16.0817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减少85.73%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上年购买了一辆执法执勤车辆</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7.66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74.08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25.91</w:t>
      </w:r>
      <w:r>
        <w:rPr>
          <w:rFonts w:hint="eastAsia" w:asciiTheme="minorEastAsia" w:hAnsiTheme="minorEastAsia" w:eastAsiaTheme="minorEastAsia"/>
          <w:sz w:val="32"/>
          <w:szCs w:val="32"/>
        </w:rPr>
        <w:t>%。其中：</w:t>
      </w:r>
    </w:p>
    <w:p>
      <w:pPr>
        <w:pStyle w:val="10"/>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7.66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828</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全市各县区司法系统交流学习业务工作经验以及省市检查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2.68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2.68</w:t>
      </w:r>
      <w:r>
        <w:rPr>
          <w:rFonts w:hint="eastAsia" w:asciiTheme="minorEastAsia" w:hAnsiTheme="minorEastAsia"/>
          <w:sz w:val="32"/>
          <w:szCs w:val="32"/>
        </w:rPr>
        <w:t>万元，主要是</w:t>
      </w:r>
      <w:r>
        <w:rPr>
          <w:rFonts w:hint="eastAsia" w:asciiTheme="minorEastAsia" w:hAnsiTheme="minorEastAsia"/>
          <w:sz w:val="32"/>
          <w:szCs w:val="32"/>
          <w:lang w:eastAsia="zh-CN"/>
        </w:rPr>
        <w:t>车辆加油和维修</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int="eastAsia"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w:t>
      </w:r>
      <w:r>
        <w:rPr>
          <w:rFonts w:hint="eastAsia" w:asciiTheme="minorEastAsia" w:hAnsiTheme="minorEastAsia" w:eastAsiaTheme="minorEastAsia"/>
          <w:sz w:val="32"/>
          <w:szCs w:val="32"/>
          <w:lang w:eastAsia="zh-CN"/>
        </w:rPr>
        <w:t>终</w:t>
      </w:r>
      <w:r>
        <w:rPr>
          <w:rFonts w:hint="eastAsia" w:asciiTheme="minorEastAsia" w:hAnsiTheme="minorEastAsia" w:eastAsiaTheme="minorEastAsia"/>
          <w:sz w:val="32"/>
          <w:szCs w:val="32"/>
        </w:rPr>
        <w:t>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109.96</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13.06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11.87</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人员增加，开支增加。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1.77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人民调解和法律明白人</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为调解技巧以及如法网操作流程人民调解法、民法等法律法规</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开展社区矫正对象培训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社区矫正对象管理培训</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286.9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普法宣传</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社区矫正</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286.9</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出具调查评估意见314件，接收社区矫正对象399人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开展法治宣传进校园活动132场次；全县11427名国家工作人员参加学法考试；办理行政复议案件31件，代表县政府出庭应诉案件32件，为政府重大决策提供法律意见66件/次，审查政府合同96份，审查备案规范性文件21件；办理法律援助案件437件</w:t>
      </w:r>
      <w:r>
        <w:rPr>
          <w:rFonts w:hint="eastAsia" w:cs="黑体" w:asciiTheme="minorEastAsia" w:hAnsiTheme="minorEastAsia"/>
          <w:color w:val="000000"/>
          <w:kern w:val="0"/>
          <w:sz w:val="32"/>
          <w:szCs w:val="32"/>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sz w:val="72"/>
          <w:szCs w:val="72"/>
        </w:rPr>
      </w:pPr>
      <w:r>
        <w:rPr>
          <w:rFonts w:ascii="黑体" w:eastAsia="黑体" w:cs="黑体"/>
          <w:color w:val="000000"/>
          <w:kern w:val="0"/>
          <w:sz w:val="70"/>
          <w:szCs w:val="70"/>
        </w:rPr>
        <w:br w:type="page"/>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一、财政拨款收入：指单位本年度从同级财政部门取得的各类财政拨款。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二、上级补助收入：指事业单位从主管部门和上级单位取得的非财政补助收入。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三、机关运行经费：指行政单位（含参照公务员法管理的事业单位）使用一般公共预算安排的基本支出中的公用经费支出，包括办公及印刷 费、邮电费、差旅费、会议费、福利费、日常维修费、专用材料及一般设备购置费、办公用房水电费、办公用房取暖费、办公用房物业管理费、公务用车运行维护费及其他费用。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五、对附属单位补助支出：指事业单位用财政拨款收入之外的收入对附属单位补助发生的支出。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六、经营支出：指事业单位在专业业务活动及其辅助活动之外开展非独立核算经营活动发生的支出。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七、上缴上级支出：指事业单位按照财政部门和主管部门的规定上缴上级单位的支出。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八、项目支出：指在为完成特定的工作任务和事业发展目标所发生的支出。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九、事业收入：指事业单位开展专业业务活动及其辅助活动取得的收入，事业单位收到的财政专户实际核拨的教育收费等资金在此反映。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十、经营收入：指事业单位在专业业务活动及其辅助活动之外开展非独立核算经营活动取得的收入。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十一、附属单位上缴收入：指事业单位附属独立核算单位按照有关规 定上缴的收入。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十二、其他收入：指单位取得的除上述“财政拨款收入”、“事业收入”、“经营收入”等以外的各项收入。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十三、使用非财政拨款结余：指事业单位使用非财政拨款结余（原事业基金）弥补当年收支差额的数额。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十四、年初结转和结余：指单位上年结转本年使用的基本支出结转、 项目支出结转和结余和经营结余。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十五、结余分配：指事业单位按规定对非财政拨款结余资金提取的专 用基金、缴纳的所得税和转入非财政拨款结余等。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十六、年末结转和结余资金：指本年度或以前年度预算安排、因客观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条件发生变化无法按原计划实施，需要延迟到以后年度按有关规定继续使用的资金。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十七、基本支出：指为保障机构正常运转、完成日常工作任务而发生的支出，包括人员经费和公用经费。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十八、公共安全支出（类）公安（款）行政运行（项）：反映行政单位（包括实行公务员管理的事业单位）的基本 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十九、公共安全支出（类）公安（款）一般行政管理事务（项）：反映行政单位（包括实行公务员管理的事业单位）未单独 设置项级科目的其他项目支出。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二十、公共安全支出（类）公安（款）执法办案（项）：反映公安机关从事行政执法、刑事司法及侦查办案等相关活 动的支出。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二十一、公共安全支出（类）公安（款）特别业务（项）：反映公安机关开展特别业务工作的相关支出。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二十二、公共安全支出（类）公安（款）其他公安支出（项）：反映除上述项目以外其他用于公安方面的支出。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二十三、社会保障和就业支出（类）行政事业单位养老支出（款）机关事业单位基本养老保险缴费支出（项）：反映机关事业单位实施养老保险制度由单位缴纳的基本养老保险费支出。 </w:t>
      </w:r>
    </w:p>
    <w:p>
      <w:pPr>
        <w:pStyle w:val="1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二十四、卫生健康支出（类）行政事业单位医疗（款）行政单位医疗（项）：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 </w:t>
      </w:r>
    </w:p>
    <w:p>
      <w:pPr>
        <w:pStyle w:val="10"/>
        <w:jc w:val="left"/>
        <w:rPr>
          <w:rFonts w:hint="eastAsia" w:cs="黑体" w:asciiTheme="minorEastAsia" w:hAnsiTheme="minorEastAsia" w:eastAsiaTheme="minorEastAsia"/>
          <w:color w:val="000000"/>
          <w:kern w:val="0"/>
          <w:sz w:val="32"/>
          <w:szCs w:val="32"/>
          <w:lang w:val="en-US" w:eastAsia="zh-CN" w:bidi="ar-SA"/>
        </w:rPr>
      </w:pPr>
    </w:p>
    <w:p>
      <w:pPr>
        <w:pStyle w:val="10"/>
        <w:jc w:val="left"/>
        <w:rPr>
          <w:rFonts w:hint="eastAsia" w:cs="黑体" w:asciiTheme="minorEastAsia" w:hAnsiTheme="minorEastAsia" w:eastAsiaTheme="minorEastAsia"/>
          <w:color w:val="000000"/>
          <w:kern w:val="0"/>
          <w:sz w:val="32"/>
          <w:szCs w:val="32"/>
          <w:lang w:val="en-US" w:eastAsia="zh-CN" w:bidi="ar-SA"/>
        </w:rPr>
      </w:pPr>
    </w:p>
    <w:p>
      <w:pPr>
        <w:pStyle w:val="10"/>
        <w:jc w:val="left"/>
        <w:rPr>
          <w:rFonts w:hint="eastAsia" w:cs="黑体" w:asciiTheme="minorEastAsia" w:hAnsiTheme="minorEastAsia" w:eastAsiaTheme="minorEastAsia"/>
          <w:color w:val="000000"/>
          <w:kern w:val="0"/>
          <w:sz w:val="32"/>
          <w:szCs w:val="32"/>
          <w:lang w:val="en-US" w:eastAsia="zh-CN" w:bidi="ar-SA"/>
        </w:rPr>
      </w:pPr>
    </w:p>
    <w:p>
      <w:pPr>
        <w:pStyle w:val="10"/>
        <w:jc w:val="left"/>
        <w:rPr>
          <w:sz w:val="72"/>
          <w:szCs w:val="72"/>
        </w:rPr>
      </w:pPr>
    </w:p>
    <w:p>
      <w:pPr>
        <w:pStyle w:val="10"/>
        <w:jc w:val="left"/>
        <w:rPr>
          <w:sz w:val="72"/>
          <w:szCs w:val="72"/>
        </w:rPr>
      </w:pPr>
    </w:p>
    <w:p>
      <w:pPr>
        <w:pStyle w:val="10"/>
        <w:jc w:val="left"/>
        <w:rPr>
          <w:sz w:val="72"/>
          <w:szCs w:val="72"/>
        </w:rPr>
      </w:pPr>
    </w:p>
    <w:p>
      <w:pPr>
        <w:pStyle w:val="10"/>
        <w:jc w:val="left"/>
        <w:rPr>
          <w:rFonts w:hint="eastAsia"/>
          <w:sz w:val="72"/>
          <w:szCs w:val="72"/>
        </w:rPr>
      </w:pPr>
    </w:p>
    <w:p>
      <w:pPr>
        <w:pStyle w:val="10"/>
        <w:jc w:val="left"/>
        <w:rPr>
          <w:rFonts w:hint="eastAsia"/>
          <w:sz w:val="72"/>
          <w:szCs w:val="72"/>
        </w:rPr>
      </w:pPr>
    </w:p>
    <w:p>
      <w:pPr>
        <w:pStyle w:val="10"/>
        <w:jc w:val="left"/>
        <w:rPr>
          <w:rFonts w:hint="eastAsia"/>
          <w:sz w:val="72"/>
          <w:szCs w:val="72"/>
        </w:rPr>
      </w:pPr>
    </w:p>
    <w:p>
      <w:pPr>
        <w:pStyle w:val="10"/>
        <w:jc w:val="left"/>
        <w:rPr>
          <w:rFonts w:hint="eastAsia"/>
          <w:sz w:val="72"/>
          <w:szCs w:val="72"/>
        </w:rPr>
      </w:pPr>
    </w:p>
    <w:p>
      <w:pPr>
        <w:pStyle w:val="10"/>
        <w:jc w:val="left"/>
        <w:rPr>
          <w:rFonts w:hint="eastAsia"/>
          <w:sz w:val="72"/>
          <w:szCs w:val="72"/>
        </w:rPr>
      </w:pPr>
    </w:p>
    <w:p>
      <w:pPr>
        <w:pStyle w:val="10"/>
        <w:jc w:val="left"/>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djustRightInd w:val="0"/>
        <w:spacing w:line="600" w:lineRule="exact"/>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20</w:t>
      </w:r>
      <w:r>
        <w:rPr>
          <w:rFonts w:hint="eastAsia" w:ascii="仿宋" w:hAnsi="仿宋" w:eastAsia="仿宋" w:cs="仿宋"/>
          <w:b/>
          <w:bCs/>
          <w:sz w:val="44"/>
          <w:szCs w:val="44"/>
          <w:highlight w:val="none"/>
          <w:lang w:val="en-US" w:eastAsia="zh-CN"/>
        </w:rPr>
        <w:t>21</w:t>
      </w:r>
      <w:r>
        <w:rPr>
          <w:rFonts w:hint="eastAsia" w:ascii="仿宋" w:hAnsi="仿宋" w:eastAsia="仿宋" w:cs="仿宋"/>
          <w:b/>
          <w:bCs/>
          <w:sz w:val="44"/>
          <w:szCs w:val="44"/>
          <w:highlight w:val="none"/>
        </w:rPr>
        <w:t>年度道县司法局部门整体支出</w:t>
      </w:r>
    </w:p>
    <w:p>
      <w:pPr>
        <w:adjustRightInd w:val="0"/>
        <w:spacing w:line="600" w:lineRule="exact"/>
        <w:jc w:val="center"/>
        <w:rPr>
          <w:rFonts w:hint="eastAsia" w:ascii="仿宋" w:hAnsi="仿宋" w:eastAsia="仿宋" w:cs="仿宋"/>
          <w:sz w:val="32"/>
          <w:szCs w:val="32"/>
          <w:highlight w:val="none"/>
        </w:rPr>
      </w:pPr>
      <w:r>
        <w:rPr>
          <w:rFonts w:hint="eastAsia" w:ascii="仿宋" w:hAnsi="仿宋" w:eastAsia="仿宋" w:cs="仿宋"/>
          <w:b/>
          <w:bCs/>
          <w:sz w:val="44"/>
          <w:szCs w:val="44"/>
          <w:highlight w:val="none"/>
        </w:rPr>
        <w:t>绩效评价报告</w:t>
      </w:r>
    </w:p>
    <w:p>
      <w:pPr>
        <w:adjustRightInd w:val="0"/>
        <w:snapToGri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基本情况</w:t>
      </w:r>
    </w:p>
    <w:p>
      <w:pPr>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（一）部门基本情况</w:t>
      </w:r>
    </w:p>
    <w:p>
      <w:pPr>
        <w:adjustRightInd w:val="0"/>
        <w:snapToGri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1、机构设置在职人员情况：我单位为县政府直属正科级行政机关单位，内设办公室、</w:t>
      </w:r>
      <w:r>
        <w:rPr>
          <w:rFonts w:hint="eastAsia" w:ascii="仿宋" w:hAnsi="仿宋" w:eastAsia="仿宋" w:cs="仿宋"/>
          <w:sz w:val="32"/>
          <w:szCs w:val="32"/>
          <w:highlight w:val="none"/>
          <w:lang w:eastAsia="zh-CN"/>
        </w:rPr>
        <w:t>法治调研与督察股</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普法与依法治理</w:t>
      </w:r>
      <w:r>
        <w:rPr>
          <w:rFonts w:hint="eastAsia" w:ascii="仿宋" w:hAnsi="仿宋" w:eastAsia="仿宋" w:cs="仿宋"/>
          <w:sz w:val="32"/>
          <w:szCs w:val="32"/>
          <w:highlight w:val="none"/>
        </w:rPr>
        <w:t>股、</w:t>
      </w:r>
      <w:r>
        <w:rPr>
          <w:rFonts w:hint="eastAsia" w:ascii="仿宋" w:hAnsi="仿宋" w:eastAsia="仿宋" w:cs="仿宋"/>
          <w:sz w:val="32"/>
          <w:szCs w:val="32"/>
          <w:highlight w:val="none"/>
          <w:lang w:eastAsia="zh-CN"/>
        </w:rPr>
        <w:t>社区矫正管理</w:t>
      </w:r>
      <w:r>
        <w:rPr>
          <w:rFonts w:hint="eastAsia" w:ascii="仿宋" w:hAnsi="仿宋" w:eastAsia="仿宋" w:cs="仿宋"/>
          <w:sz w:val="32"/>
          <w:szCs w:val="32"/>
          <w:highlight w:val="none"/>
        </w:rPr>
        <w:t>股、政工室、</w:t>
      </w:r>
      <w:r>
        <w:rPr>
          <w:rFonts w:hint="eastAsia" w:ascii="仿宋" w:hAnsi="仿宋" w:eastAsia="仿宋" w:cs="仿宋"/>
          <w:sz w:val="32"/>
          <w:szCs w:val="32"/>
          <w:highlight w:val="none"/>
          <w:lang w:eastAsia="zh-CN"/>
        </w:rPr>
        <w:t>行政复议与应诉</w:t>
      </w:r>
      <w:r>
        <w:rPr>
          <w:rFonts w:hint="eastAsia" w:ascii="仿宋" w:hAnsi="仿宋" w:eastAsia="仿宋" w:cs="仿宋"/>
          <w:sz w:val="32"/>
          <w:szCs w:val="32"/>
          <w:highlight w:val="none"/>
        </w:rPr>
        <w:t>股、</w:t>
      </w:r>
      <w:r>
        <w:rPr>
          <w:rFonts w:hint="eastAsia" w:ascii="仿宋" w:hAnsi="仿宋" w:eastAsia="仿宋" w:cs="仿宋"/>
          <w:sz w:val="32"/>
          <w:szCs w:val="32"/>
          <w:highlight w:val="none"/>
          <w:lang w:eastAsia="zh-CN"/>
        </w:rPr>
        <w:t>行政执法协调监督</w:t>
      </w:r>
      <w:r>
        <w:rPr>
          <w:rFonts w:hint="eastAsia" w:ascii="仿宋" w:hAnsi="仿宋" w:eastAsia="仿宋" w:cs="仿宋"/>
          <w:sz w:val="32"/>
          <w:szCs w:val="32"/>
          <w:highlight w:val="none"/>
        </w:rPr>
        <w:t>股、</w:t>
      </w:r>
      <w:r>
        <w:rPr>
          <w:rFonts w:hint="eastAsia" w:ascii="仿宋" w:hAnsi="仿宋" w:eastAsia="仿宋" w:cs="仿宋"/>
          <w:sz w:val="32"/>
          <w:szCs w:val="32"/>
          <w:highlight w:val="none"/>
          <w:lang w:eastAsia="zh-CN"/>
        </w:rPr>
        <w:t>规范性文件管理</w:t>
      </w:r>
      <w:r>
        <w:rPr>
          <w:rFonts w:hint="eastAsia" w:ascii="仿宋" w:hAnsi="仿宋" w:eastAsia="仿宋" w:cs="仿宋"/>
          <w:sz w:val="32"/>
          <w:szCs w:val="32"/>
          <w:highlight w:val="none"/>
        </w:rPr>
        <w:t>股</w:t>
      </w:r>
      <w:r>
        <w:rPr>
          <w:rFonts w:hint="eastAsia" w:ascii="仿宋" w:hAnsi="仿宋" w:eastAsia="仿宋" w:cs="仿宋"/>
          <w:sz w:val="32"/>
          <w:szCs w:val="32"/>
          <w:highlight w:val="none"/>
          <w:lang w:eastAsia="zh-CN"/>
        </w:rPr>
        <w:t>、法律事务服务股、人民参与和促进法治股、公共法律服务管理股、律师工作股、装备财务保障室、</w:t>
      </w:r>
      <w:r>
        <w:rPr>
          <w:rFonts w:hint="eastAsia" w:ascii="仿宋" w:hAnsi="仿宋" w:eastAsia="仿宋" w:cs="仿宋"/>
          <w:sz w:val="32"/>
          <w:szCs w:val="32"/>
          <w:highlight w:val="none"/>
          <w:lang w:val="en-US" w:eastAsia="zh-CN"/>
        </w:rPr>
        <w:t>行政审批股14</w:t>
      </w:r>
      <w:r>
        <w:rPr>
          <w:rFonts w:hint="eastAsia" w:ascii="仿宋" w:hAnsi="仿宋" w:eastAsia="仿宋" w:cs="仿宋"/>
          <w:sz w:val="32"/>
          <w:szCs w:val="32"/>
          <w:highlight w:val="none"/>
        </w:rPr>
        <w:t>个职能部门。现有总编制6</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人，其中政法专项编</w:t>
      </w:r>
      <w:r>
        <w:rPr>
          <w:rFonts w:hint="eastAsia" w:ascii="仿宋" w:hAnsi="仿宋" w:eastAsia="仿宋" w:cs="仿宋"/>
          <w:sz w:val="32"/>
          <w:szCs w:val="32"/>
          <w:highlight w:val="none"/>
          <w:lang w:val="en-US" w:eastAsia="zh-CN"/>
        </w:rPr>
        <w:t>55</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法律援助中心</w:t>
      </w:r>
      <w:r>
        <w:rPr>
          <w:rFonts w:hint="eastAsia" w:ascii="仿宋" w:hAnsi="仿宋" w:eastAsia="仿宋" w:cs="仿宋"/>
          <w:sz w:val="32"/>
          <w:szCs w:val="32"/>
          <w:highlight w:val="none"/>
        </w:rPr>
        <w:t>事业编制3人，</w:t>
      </w:r>
      <w:r>
        <w:rPr>
          <w:rFonts w:hint="eastAsia" w:ascii="仿宋" w:hAnsi="仿宋" w:eastAsia="仿宋" w:cs="仿宋"/>
          <w:sz w:val="32"/>
          <w:szCs w:val="32"/>
          <w:highlight w:val="none"/>
          <w:lang w:eastAsia="zh-CN"/>
        </w:rPr>
        <w:t>公证处事业编</w:t>
      </w:r>
      <w:r>
        <w:rPr>
          <w:rFonts w:hint="eastAsia" w:ascii="仿宋" w:hAnsi="仿宋" w:eastAsia="仿宋" w:cs="仿宋"/>
          <w:sz w:val="32"/>
          <w:szCs w:val="32"/>
          <w:highlight w:val="none"/>
          <w:lang w:val="en-US" w:eastAsia="zh-CN"/>
        </w:rPr>
        <w:t>4人，</w:t>
      </w:r>
      <w:r>
        <w:rPr>
          <w:rFonts w:hint="eastAsia" w:ascii="仿宋" w:hAnsi="仿宋" w:eastAsia="仿宋" w:cs="仿宋"/>
          <w:sz w:val="32"/>
          <w:szCs w:val="32"/>
          <w:highlight w:val="none"/>
        </w:rPr>
        <w:t>现实有在职干部职工人数5</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含公证处3人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p>
    <w:p>
      <w:pPr>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2、部门主要职能：根据道办发[201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46</w:t>
      </w:r>
      <w:r>
        <w:rPr>
          <w:rFonts w:hint="eastAsia" w:ascii="仿宋" w:hAnsi="仿宋" w:eastAsia="仿宋" w:cs="仿宋"/>
          <w:sz w:val="32"/>
          <w:szCs w:val="32"/>
          <w:highlight w:val="none"/>
        </w:rPr>
        <w:t>号文件规定，道县司法局的主要职责是：</w:t>
      </w:r>
      <w:r>
        <w:rPr>
          <w:rFonts w:hint="eastAsia" w:ascii="仿宋" w:hAnsi="仿宋" w:eastAsia="仿宋" w:cs="仿宋"/>
          <w:sz w:val="32"/>
          <w:szCs w:val="32"/>
          <w:highlight w:val="none"/>
          <w:lang w:eastAsia="zh-CN"/>
        </w:rPr>
        <w:t>承担全面依法治县重大问题的政策研究、指导全县规范性文件管理、承担统筹推进法治政府建设的责任、</w:t>
      </w:r>
      <w:r>
        <w:rPr>
          <w:rFonts w:hint="eastAsia" w:ascii="仿宋" w:hAnsi="仿宋" w:eastAsia="仿宋" w:cs="仿宋"/>
          <w:sz w:val="32"/>
          <w:szCs w:val="32"/>
          <w:highlight w:val="none"/>
        </w:rPr>
        <w:t>组织开展法制宣传教育，依法履行社区矫正、安置帮教、人民调解（含三调联动工作），法律援助工作职责；依法对律师、基层法律工作者、公证处、司法鉴定中心的监督管理。</w:t>
      </w:r>
    </w:p>
    <w:p>
      <w:pPr>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（二）部门年度绩效目标</w:t>
      </w:r>
    </w:p>
    <w:p>
      <w:pPr>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部门年度整体支出绩效目标</w:t>
      </w:r>
    </w:p>
    <w:p>
      <w:pPr>
        <w:adjustRightInd w:val="0"/>
        <w:snapToGri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积极化解民众矛盾纠纷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保障矛盾不上交</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为政府重大决策提供法律意见，处理重大政府涉法事务；深入推进行政执法“三项制度”，开展行政执法案卷评查活动，扎实做好放管服改革，全面推行证明事项告知承诺制。</w:t>
      </w:r>
    </w:p>
    <w:p>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2、省级专项资金绩效目标</w:t>
      </w:r>
    </w:p>
    <w:p>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highlight w:val="lightGray"/>
          <w:lang w:val="en-US" w:eastAsia="zh-CN"/>
        </w:rPr>
      </w:pPr>
      <w:r>
        <w:rPr>
          <w:rFonts w:hint="eastAsia" w:ascii="仿宋" w:hAnsi="仿宋" w:eastAsia="仿宋" w:cs="仿宋"/>
          <w:sz w:val="32"/>
          <w:szCs w:val="32"/>
          <w:highlight w:val="none"/>
          <w:lang w:val="en-US" w:eastAsia="zh-CN"/>
        </w:rPr>
        <w:t>装备经费补充办公设备短缺的问题，为工作提质提量提供坚实的基础；资金业务（办案）经费弥补地方业务经费不足，保障业务工作顺利开展；</w:t>
      </w:r>
      <w:r>
        <w:rPr>
          <w:rFonts w:hint="eastAsia" w:ascii="仿宋" w:hAnsi="仿宋" w:eastAsia="仿宋" w:cs="仿宋"/>
          <w:b w:val="0"/>
          <w:bCs w:val="0"/>
          <w:sz w:val="32"/>
          <w:szCs w:val="32"/>
          <w:highlight w:val="none"/>
          <w:lang w:val="en-US" w:eastAsia="zh-CN"/>
        </w:rPr>
        <w:t>法律援助案件补贴</w:t>
      </w:r>
      <w:r>
        <w:rPr>
          <w:rFonts w:hint="eastAsia" w:ascii="仿宋" w:hAnsi="仿宋" w:eastAsia="仿宋" w:cs="仿宋"/>
          <w:sz w:val="32"/>
          <w:szCs w:val="32"/>
          <w:highlight w:val="none"/>
          <w:lang w:val="en-US" w:eastAsia="zh-CN"/>
        </w:rPr>
        <w:t>为法律援助做到应援尽援提供有力的保障。</w:t>
      </w:r>
    </w:p>
    <w:p>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3、其他项目支出绩效目标</w:t>
      </w:r>
    </w:p>
    <w:p>
      <w:pPr>
        <w:adjustRightInd w:val="0"/>
        <w:snapToGrid w:val="0"/>
        <w:spacing w:line="600" w:lineRule="exact"/>
        <w:ind w:firstLine="640" w:firstLineChars="200"/>
        <w:rPr>
          <w:rFonts w:hint="eastAsia" w:ascii="仿宋" w:hAnsi="仿宋" w:eastAsia="仿宋" w:cs="仿宋"/>
          <w:b w:val="0"/>
          <w:bCs w:val="0"/>
          <w:sz w:val="32"/>
          <w:szCs w:val="32"/>
          <w:highlight w:val="lightGray"/>
          <w:lang w:val="en-US" w:eastAsia="zh-CN"/>
        </w:rPr>
      </w:pPr>
      <w:r>
        <w:rPr>
          <w:rFonts w:hint="eastAsia" w:ascii="仿宋" w:hAnsi="仿宋" w:eastAsia="仿宋" w:cs="仿宋"/>
          <w:sz w:val="32"/>
          <w:szCs w:val="32"/>
          <w:highlight w:val="none"/>
        </w:rPr>
        <w:t>防止社区矫正对象出现脱管、漏管现象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组织全民参与法治宣传活动</w:t>
      </w:r>
      <w:r>
        <w:rPr>
          <w:rFonts w:hint="eastAsia" w:ascii="仿宋" w:hAnsi="仿宋" w:eastAsia="仿宋" w:cs="仿宋"/>
          <w:sz w:val="32"/>
          <w:szCs w:val="32"/>
          <w:highlight w:val="none"/>
          <w:lang w:eastAsia="zh-CN"/>
        </w:rPr>
        <w:t>。</w:t>
      </w:r>
    </w:p>
    <w:p>
      <w:pPr>
        <w:adjustRightInd w:val="0"/>
        <w:snapToGrid w:val="0"/>
        <w:spacing w:line="600" w:lineRule="exact"/>
        <w:ind w:firstLine="640"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二、一</w:t>
      </w:r>
      <w:r>
        <w:rPr>
          <w:rFonts w:hint="eastAsia" w:ascii="仿宋" w:hAnsi="仿宋" w:eastAsia="仿宋" w:cs="仿宋"/>
          <w:b w:val="0"/>
          <w:bCs w:val="0"/>
          <w:sz w:val="32"/>
          <w:szCs w:val="32"/>
          <w:highlight w:val="none"/>
        </w:rPr>
        <w:t>般公共预算支出情况</w:t>
      </w:r>
    </w:p>
    <w:p>
      <w:pPr>
        <w:adjustRightInd w:val="0"/>
        <w:snapToGrid w:val="0"/>
        <w:spacing w:line="600" w:lineRule="exact"/>
        <w:ind w:firstLine="640" w:firstLineChars="2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（一）基本支出</w:t>
      </w:r>
      <w:r>
        <w:rPr>
          <w:rFonts w:hint="eastAsia" w:ascii="仿宋" w:hAnsi="仿宋" w:eastAsia="仿宋" w:cs="仿宋"/>
          <w:b w:val="0"/>
          <w:bCs/>
          <w:sz w:val="32"/>
          <w:szCs w:val="32"/>
          <w:highlight w:val="none"/>
          <w:lang w:val="en-US" w:eastAsia="zh-CN"/>
        </w:rPr>
        <w:t>情况</w:t>
      </w:r>
    </w:p>
    <w:p>
      <w:pPr>
        <w:adjustRightInd w:val="0"/>
        <w:snapToGrid w:val="0"/>
        <w:spacing w:line="60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道县司法局20</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highlight w:val="none"/>
        </w:rPr>
        <w:t>年基本支出</w:t>
      </w:r>
      <w:r>
        <w:rPr>
          <w:rFonts w:hint="eastAsia" w:ascii="仿宋_GB2312" w:hAnsi="仿宋_GB2312" w:eastAsia="仿宋_GB2312" w:cs="仿宋_GB2312"/>
          <w:b w:val="0"/>
          <w:bCs w:val="0"/>
          <w:sz w:val="32"/>
          <w:szCs w:val="32"/>
          <w:lang w:val="en-US" w:eastAsia="zh-CN"/>
        </w:rPr>
        <w:t>698.9159</w:t>
      </w:r>
      <w:r>
        <w:rPr>
          <w:rFonts w:hint="eastAsia" w:ascii="仿宋" w:hAnsi="仿宋" w:eastAsia="仿宋" w:cs="仿宋"/>
          <w:b w:val="0"/>
          <w:bCs w:val="0"/>
          <w:sz w:val="32"/>
          <w:szCs w:val="32"/>
          <w:highlight w:val="none"/>
        </w:rPr>
        <w:t>万元，具体使用情况如下：</w:t>
      </w:r>
    </w:p>
    <w:p>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lang w:eastAsia="zh-CN"/>
        </w:rPr>
        <w:t>工资福利支出</w:t>
      </w:r>
      <w:r>
        <w:rPr>
          <w:rFonts w:hint="eastAsia" w:ascii="仿宋" w:hAnsi="仿宋" w:eastAsia="仿宋" w:cs="仿宋"/>
          <w:b w:val="0"/>
          <w:bCs w:val="0"/>
          <w:sz w:val="32"/>
          <w:szCs w:val="32"/>
          <w:highlight w:val="none"/>
          <w:lang w:val="en-US" w:eastAsia="zh-CN"/>
        </w:rPr>
        <w:t>588.9576万元，主要包括基本工资171.6366万元、津贴补贴168.7606万元、十三月工资14.0219万元、乡镇补贴10.235万元、基本养老保险缴费58.12万元、医疗保险缴费32.3268万元、其他工资福利（车补）支出34.408万元、抚恤金23.734万元、住房公积金22.8447万元、其他社会保障缴费1.9302万元、奖励金50.9398万元。</w:t>
      </w:r>
    </w:p>
    <w:p>
      <w:pPr>
        <w:adjustRightInd w:val="0"/>
        <w:snapToGrid w:val="0"/>
        <w:spacing w:line="600" w:lineRule="exact"/>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2、机关运转支出</w:t>
      </w:r>
      <w:r>
        <w:rPr>
          <w:rFonts w:hint="eastAsia" w:ascii="仿宋" w:hAnsi="仿宋" w:eastAsia="仿宋" w:cs="仿宋"/>
          <w:b w:val="0"/>
          <w:bCs w:val="0"/>
          <w:sz w:val="32"/>
          <w:szCs w:val="32"/>
          <w:highlight w:val="none"/>
          <w:lang w:val="en-US" w:eastAsia="zh-CN"/>
        </w:rPr>
        <w:t>109.9583</w:t>
      </w:r>
      <w:r>
        <w:rPr>
          <w:rFonts w:hint="eastAsia" w:ascii="仿宋" w:hAnsi="仿宋" w:eastAsia="仿宋" w:cs="仿宋"/>
          <w:b w:val="0"/>
          <w:bCs w:val="0"/>
          <w:sz w:val="32"/>
          <w:szCs w:val="32"/>
          <w:highlight w:val="none"/>
        </w:rPr>
        <w:t>万元，主要包括办公费</w:t>
      </w:r>
      <w:r>
        <w:rPr>
          <w:rFonts w:hint="eastAsia" w:ascii="仿宋" w:hAnsi="仿宋" w:eastAsia="仿宋" w:cs="仿宋"/>
          <w:b w:val="0"/>
          <w:bCs w:val="0"/>
          <w:sz w:val="32"/>
          <w:szCs w:val="32"/>
          <w:highlight w:val="none"/>
          <w:lang w:val="en-US" w:eastAsia="zh-CN"/>
        </w:rPr>
        <w:t>3.0266</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印刷费</w:t>
      </w:r>
      <w:r>
        <w:rPr>
          <w:rFonts w:hint="eastAsia" w:ascii="仿宋" w:hAnsi="仿宋" w:eastAsia="仿宋" w:cs="仿宋"/>
          <w:b w:val="0"/>
          <w:bCs w:val="0"/>
          <w:sz w:val="32"/>
          <w:szCs w:val="32"/>
          <w:highlight w:val="none"/>
          <w:lang w:val="en-US" w:eastAsia="zh-CN"/>
        </w:rPr>
        <w:t>2.0834万元、</w:t>
      </w:r>
      <w:r>
        <w:rPr>
          <w:rFonts w:hint="eastAsia" w:ascii="仿宋" w:hAnsi="仿宋" w:eastAsia="仿宋" w:cs="仿宋"/>
          <w:b w:val="0"/>
          <w:bCs w:val="0"/>
          <w:sz w:val="32"/>
          <w:szCs w:val="32"/>
          <w:highlight w:val="none"/>
        </w:rPr>
        <w:t>水费</w:t>
      </w:r>
      <w:r>
        <w:rPr>
          <w:rFonts w:hint="eastAsia" w:ascii="仿宋" w:hAnsi="仿宋" w:eastAsia="仿宋" w:cs="仿宋"/>
          <w:b w:val="0"/>
          <w:bCs w:val="0"/>
          <w:sz w:val="32"/>
          <w:szCs w:val="32"/>
          <w:highlight w:val="none"/>
          <w:lang w:val="en-US" w:eastAsia="zh-CN"/>
        </w:rPr>
        <w:t>2.2019</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电</w:t>
      </w:r>
      <w:r>
        <w:rPr>
          <w:rFonts w:hint="eastAsia" w:ascii="仿宋" w:hAnsi="仿宋" w:eastAsia="仿宋" w:cs="仿宋"/>
          <w:b w:val="0"/>
          <w:bCs w:val="0"/>
          <w:sz w:val="32"/>
          <w:szCs w:val="32"/>
          <w:highlight w:val="none"/>
          <w:lang w:eastAsia="zh-CN"/>
        </w:rPr>
        <w:t>费</w:t>
      </w:r>
      <w:r>
        <w:rPr>
          <w:rFonts w:hint="eastAsia" w:ascii="仿宋" w:hAnsi="仿宋" w:eastAsia="仿宋" w:cs="仿宋"/>
          <w:b w:val="0"/>
          <w:bCs w:val="0"/>
          <w:sz w:val="32"/>
          <w:szCs w:val="32"/>
          <w:highlight w:val="none"/>
          <w:lang w:val="en-US" w:eastAsia="zh-CN"/>
        </w:rPr>
        <w:t>3.948万元、</w:t>
      </w:r>
      <w:r>
        <w:rPr>
          <w:rFonts w:hint="eastAsia" w:ascii="仿宋" w:hAnsi="仿宋" w:eastAsia="仿宋" w:cs="仿宋"/>
          <w:b w:val="0"/>
          <w:bCs w:val="0"/>
          <w:sz w:val="32"/>
          <w:szCs w:val="32"/>
          <w:highlight w:val="none"/>
        </w:rPr>
        <w:t>差旅费</w:t>
      </w:r>
      <w:r>
        <w:rPr>
          <w:rFonts w:hint="eastAsia" w:ascii="仿宋" w:hAnsi="仿宋" w:eastAsia="仿宋" w:cs="仿宋"/>
          <w:b w:val="0"/>
          <w:bCs w:val="0"/>
          <w:sz w:val="32"/>
          <w:szCs w:val="32"/>
          <w:highlight w:val="none"/>
          <w:lang w:val="en-US" w:eastAsia="zh-CN"/>
        </w:rPr>
        <w:t>7.6529</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维修（维护）费</w:t>
      </w:r>
      <w:r>
        <w:rPr>
          <w:rFonts w:hint="eastAsia" w:ascii="仿宋" w:hAnsi="仿宋" w:eastAsia="仿宋" w:cs="仿宋"/>
          <w:b w:val="0"/>
          <w:bCs w:val="0"/>
          <w:sz w:val="32"/>
          <w:szCs w:val="32"/>
          <w:highlight w:val="none"/>
          <w:lang w:val="en-US" w:eastAsia="zh-CN"/>
        </w:rPr>
        <w:t>17.014</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公务接待费</w:t>
      </w:r>
      <w:r>
        <w:rPr>
          <w:rFonts w:hint="eastAsia" w:ascii="仿宋" w:hAnsi="仿宋" w:eastAsia="仿宋" w:cs="仿宋"/>
          <w:b w:val="0"/>
          <w:bCs w:val="0"/>
          <w:sz w:val="32"/>
          <w:szCs w:val="32"/>
          <w:highlight w:val="none"/>
          <w:lang w:val="en-US" w:eastAsia="zh-CN"/>
        </w:rPr>
        <w:t>7.6615</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val="en-US" w:eastAsia="zh-CN"/>
        </w:rPr>
        <w:t>劳务费6.9184万元、</w:t>
      </w:r>
      <w:r>
        <w:rPr>
          <w:rFonts w:hint="eastAsia" w:ascii="仿宋" w:hAnsi="仿宋" w:eastAsia="仿宋" w:cs="仿宋"/>
          <w:b w:val="0"/>
          <w:bCs w:val="0"/>
          <w:sz w:val="32"/>
          <w:szCs w:val="32"/>
          <w:highlight w:val="none"/>
        </w:rPr>
        <w:t>工会经费</w:t>
      </w:r>
      <w:r>
        <w:rPr>
          <w:rFonts w:hint="eastAsia" w:ascii="仿宋" w:hAnsi="仿宋" w:eastAsia="仿宋" w:cs="仿宋"/>
          <w:b w:val="0"/>
          <w:bCs w:val="0"/>
          <w:sz w:val="32"/>
          <w:szCs w:val="32"/>
          <w:highlight w:val="none"/>
          <w:lang w:val="en-US" w:eastAsia="zh-CN"/>
        </w:rPr>
        <w:t>26</w:t>
      </w:r>
      <w:r>
        <w:rPr>
          <w:rFonts w:hint="eastAsia" w:ascii="仿宋" w:hAnsi="仿宋" w:eastAsia="仿宋" w:cs="仿宋"/>
          <w:b w:val="0"/>
          <w:bCs w:val="0"/>
          <w:sz w:val="32"/>
          <w:szCs w:val="32"/>
          <w:highlight w:val="none"/>
        </w:rPr>
        <w:t>万元、福利费</w:t>
      </w:r>
      <w:r>
        <w:rPr>
          <w:rFonts w:hint="eastAsia" w:ascii="仿宋" w:hAnsi="仿宋" w:eastAsia="仿宋" w:cs="仿宋"/>
          <w:b w:val="0"/>
          <w:bCs w:val="0"/>
          <w:sz w:val="32"/>
          <w:szCs w:val="32"/>
          <w:highlight w:val="none"/>
          <w:lang w:val="en-US" w:eastAsia="zh-CN"/>
        </w:rPr>
        <w:t>17.6031</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val="en-US" w:eastAsia="zh-CN"/>
        </w:rPr>
        <w:t>公务用车运行维护费2.6767万元</w:t>
      </w:r>
      <w:r>
        <w:rPr>
          <w:rFonts w:hint="eastAsia" w:ascii="仿宋" w:hAnsi="仿宋" w:eastAsia="仿宋" w:cs="仿宋"/>
          <w:b w:val="0"/>
          <w:bCs w:val="0"/>
          <w:sz w:val="32"/>
          <w:szCs w:val="32"/>
          <w:highlight w:val="none"/>
        </w:rPr>
        <w:t>、其他商品服务支出</w:t>
      </w:r>
      <w:r>
        <w:rPr>
          <w:rFonts w:hint="eastAsia" w:ascii="仿宋" w:hAnsi="仿宋" w:eastAsia="仿宋" w:cs="仿宋"/>
          <w:b w:val="0"/>
          <w:bCs w:val="0"/>
          <w:sz w:val="32"/>
          <w:szCs w:val="32"/>
          <w:highlight w:val="none"/>
          <w:lang w:val="en-US" w:eastAsia="zh-CN"/>
        </w:rPr>
        <w:t>13.1718</w:t>
      </w:r>
      <w:r>
        <w:rPr>
          <w:rFonts w:hint="eastAsia" w:ascii="仿宋" w:hAnsi="仿宋" w:eastAsia="仿宋" w:cs="仿宋"/>
          <w:b w:val="0"/>
          <w:bCs w:val="0"/>
          <w:sz w:val="32"/>
          <w:szCs w:val="32"/>
          <w:highlight w:val="none"/>
        </w:rPr>
        <w:t>万元。</w:t>
      </w:r>
    </w:p>
    <w:p>
      <w:pPr>
        <w:adjustRightInd w:val="0"/>
        <w:snapToGrid w:val="0"/>
        <w:spacing w:line="60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3、20</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highlight w:val="none"/>
        </w:rPr>
        <w:t>年的“三公”经费实际支出</w:t>
      </w:r>
      <w:r>
        <w:rPr>
          <w:rFonts w:hint="eastAsia" w:ascii="宋体" w:hAnsi="宋体" w:cs="宋体"/>
          <w:b w:val="0"/>
          <w:bCs w:val="0"/>
          <w:sz w:val="28"/>
          <w:szCs w:val="28"/>
          <w:lang w:val="en-US" w:eastAsia="zh-CN"/>
        </w:rPr>
        <w:t>10.3382</w:t>
      </w:r>
      <w:r>
        <w:rPr>
          <w:rFonts w:hint="eastAsia" w:ascii="仿宋_GB2312" w:hAnsi="仿宋" w:eastAsia="仿宋_GB2312" w:cs="仿宋"/>
          <w:color w:val="000000"/>
          <w:sz w:val="32"/>
          <w:szCs w:val="32"/>
        </w:rPr>
        <w:t>万元，其中公务用车</w:t>
      </w:r>
      <w:r>
        <w:rPr>
          <w:rFonts w:hint="eastAsia" w:ascii="仿宋_GB2312" w:hAnsi="仿宋" w:eastAsia="仿宋_GB2312" w:cs="仿宋"/>
          <w:color w:val="000000"/>
          <w:sz w:val="32"/>
          <w:szCs w:val="32"/>
          <w:lang w:val="en-US" w:eastAsia="zh-CN"/>
        </w:rPr>
        <w:t>购置及</w:t>
      </w:r>
      <w:r>
        <w:rPr>
          <w:rFonts w:hint="eastAsia" w:ascii="仿宋_GB2312" w:hAnsi="仿宋" w:eastAsia="仿宋_GB2312" w:cs="仿宋"/>
          <w:color w:val="000000"/>
          <w:sz w:val="32"/>
          <w:szCs w:val="32"/>
        </w:rPr>
        <w:t>运行维护费</w:t>
      </w:r>
      <w:r>
        <w:rPr>
          <w:rFonts w:hint="eastAsia" w:ascii="宋体" w:hAnsi="宋体" w:cs="宋体"/>
          <w:b w:val="0"/>
          <w:bCs w:val="0"/>
          <w:sz w:val="28"/>
          <w:szCs w:val="28"/>
          <w:lang w:val="en-US" w:eastAsia="zh-CN"/>
        </w:rPr>
        <w:t>2.6767</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现保有车辆</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lang w:eastAsia="zh-CN"/>
        </w:rPr>
        <w:t>台；</w:t>
      </w:r>
      <w:r>
        <w:rPr>
          <w:rFonts w:hint="eastAsia" w:ascii="仿宋_GB2312" w:hAnsi="仿宋" w:eastAsia="仿宋_GB2312" w:cs="仿宋"/>
          <w:color w:val="000000"/>
          <w:sz w:val="32"/>
          <w:szCs w:val="32"/>
        </w:rPr>
        <w:t>公务接待费</w:t>
      </w:r>
      <w:r>
        <w:rPr>
          <w:rFonts w:hint="eastAsia" w:ascii="宋体" w:hAnsi="宋体" w:cs="宋体"/>
          <w:b w:val="0"/>
          <w:bCs w:val="0"/>
          <w:sz w:val="28"/>
          <w:szCs w:val="28"/>
          <w:lang w:val="en-US" w:eastAsia="zh-CN"/>
        </w:rPr>
        <w:t>7.6615</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，公务接待批次</w:t>
      </w:r>
      <w:r>
        <w:rPr>
          <w:rFonts w:hint="eastAsia" w:ascii="仿宋_GB2312" w:hAnsi="仿宋" w:eastAsia="仿宋_GB2312" w:cs="仿宋"/>
          <w:color w:val="000000"/>
          <w:sz w:val="32"/>
          <w:szCs w:val="32"/>
          <w:lang w:val="en-US" w:eastAsia="zh-CN"/>
        </w:rPr>
        <w:t>115次，人数828人。</w:t>
      </w:r>
      <w:r>
        <w:rPr>
          <w:rFonts w:hint="eastAsia" w:ascii="仿宋" w:hAnsi="仿宋" w:eastAsia="仿宋" w:cs="仿宋"/>
          <w:b w:val="0"/>
          <w:bCs w:val="0"/>
          <w:sz w:val="32"/>
          <w:szCs w:val="32"/>
          <w:highlight w:val="none"/>
        </w:rPr>
        <w:t>（二）项目支出</w:t>
      </w:r>
      <w:r>
        <w:rPr>
          <w:rFonts w:hint="eastAsia" w:ascii="仿宋" w:hAnsi="仿宋" w:eastAsia="仿宋" w:cs="仿宋"/>
          <w:b w:val="0"/>
          <w:bCs w:val="0"/>
          <w:sz w:val="32"/>
          <w:szCs w:val="32"/>
          <w:highlight w:val="none"/>
          <w:lang w:val="en-US" w:eastAsia="zh-CN"/>
        </w:rPr>
        <w:t>情况</w:t>
      </w:r>
    </w:p>
    <w:p>
      <w:pPr>
        <w:adjustRightInd w:val="0"/>
        <w:snapToGrid w:val="0"/>
        <w:spacing w:line="600" w:lineRule="exact"/>
        <w:ind w:firstLine="640" w:firstLineChars="200"/>
        <w:rPr>
          <w:rFonts w:hint="eastAsia" w:ascii="仿宋" w:hAnsi="仿宋" w:eastAsia="仿宋" w:cs="仿宋"/>
          <w:b/>
          <w:bCs/>
          <w:sz w:val="32"/>
          <w:szCs w:val="32"/>
          <w:highlight w:val="none"/>
          <w:lang w:val="en-US" w:eastAsia="zh-CN"/>
        </w:rPr>
      </w:pPr>
      <w:r>
        <w:rPr>
          <w:rFonts w:hint="eastAsia" w:ascii="仿宋" w:hAnsi="仿宋" w:eastAsia="仿宋" w:cs="仿宋"/>
          <w:b w:val="0"/>
          <w:bCs w:val="0"/>
          <w:sz w:val="32"/>
          <w:szCs w:val="32"/>
          <w:highlight w:val="none"/>
        </w:rPr>
        <w:t>20</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项目支出</w:t>
      </w:r>
      <w:r>
        <w:rPr>
          <w:rFonts w:hint="eastAsia" w:ascii="仿宋_GB2312" w:hAnsi="仿宋_GB2312" w:eastAsia="仿宋_GB2312" w:cs="仿宋_GB2312"/>
          <w:b w:val="0"/>
          <w:bCs w:val="0"/>
          <w:sz w:val="32"/>
          <w:szCs w:val="32"/>
          <w:lang w:val="en-US" w:eastAsia="zh-CN"/>
        </w:rPr>
        <w:t>286.904</w:t>
      </w:r>
      <w:r>
        <w:rPr>
          <w:rFonts w:hint="eastAsia" w:ascii="仿宋" w:hAnsi="仿宋" w:eastAsia="仿宋" w:cs="仿宋"/>
          <w:b w:val="0"/>
          <w:bCs w:val="0"/>
          <w:sz w:val="32"/>
          <w:szCs w:val="32"/>
          <w:highlight w:val="none"/>
        </w:rPr>
        <w:t>万元，其中</w:t>
      </w:r>
      <w:r>
        <w:rPr>
          <w:rFonts w:hint="eastAsia" w:ascii="仿宋" w:hAnsi="仿宋" w:eastAsia="仿宋" w:cs="仿宋"/>
          <w:b w:val="0"/>
          <w:bCs w:val="0"/>
          <w:sz w:val="32"/>
          <w:szCs w:val="32"/>
          <w:highlight w:val="none"/>
          <w:lang w:eastAsia="zh-CN"/>
        </w:rPr>
        <w:t>中央政法转移支付资金</w:t>
      </w:r>
      <w:r>
        <w:rPr>
          <w:rFonts w:hint="eastAsia" w:ascii="仿宋" w:hAnsi="仿宋" w:eastAsia="仿宋" w:cs="仿宋"/>
          <w:b w:val="0"/>
          <w:bCs w:val="0"/>
          <w:sz w:val="32"/>
          <w:szCs w:val="32"/>
          <w:highlight w:val="none"/>
          <w:lang w:val="en-US" w:eastAsia="zh-CN"/>
        </w:rPr>
        <w:t>77</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装备经费39万元、法律援助经费32万元、人民调解“以奖代补”6万元</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基层司</w:t>
      </w:r>
      <w:r>
        <w:rPr>
          <w:rFonts w:hint="eastAsia" w:ascii="仿宋" w:hAnsi="仿宋" w:eastAsia="仿宋" w:cs="仿宋"/>
          <w:b w:val="0"/>
          <w:bCs w:val="0"/>
          <w:sz w:val="32"/>
          <w:szCs w:val="32"/>
          <w:highlight w:val="none"/>
        </w:rPr>
        <w:t>法业务</w:t>
      </w:r>
      <w:r>
        <w:rPr>
          <w:rFonts w:hint="eastAsia" w:ascii="仿宋" w:hAnsi="仿宋" w:eastAsia="仿宋" w:cs="仿宋"/>
          <w:b w:val="0"/>
          <w:bCs w:val="0"/>
          <w:sz w:val="32"/>
          <w:szCs w:val="32"/>
          <w:highlight w:val="none"/>
          <w:lang w:val="en-US" w:eastAsia="zh-CN"/>
        </w:rPr>
        <w:t>3.734</w:t>
      </w:r>
      <w:r>
        <w:rPr>
          <w:rFonts w:hint="eastAsia" w:ascii="仿宋" w:hAnsi="仿宋" w:eastAsia="仿宋" w:cs="仿宋"/>
          <w:b w:val="0"/>
          <w:bCs w:val="0"/>
          <w:sz w:val="32"/>
          <w:szCs w:val="32"/>
          <w:highlight w:val="none"/>
        </w:rPr>
        <w:t>万元、普法宣传</w:t>
      </w:r>
      <w:r>
        <w:rPr>
          <w:rFonts w:hint="eastAsia" w:ascii="仿宋" w:hAnsi="仿宋" w:eastAsia="仿宋" w:cs="仿宋"/>
          <w:b w:val="0"/>
          <w:bCs w:val="0"/>
          <w:sz w:val="32"/>
          <w:szCs w:val="32"/>
          <w:highlight w:val="none"/>
          <w:lang w:val="en-US" w:eastAsia="zh-CN"/>
        </w:rPr>
        <w:t>63</w:t>
      </w:r>
      <w:r>
        <w:rPr>
          <w:rFonts w:hint="eastAsia" w:ascii="仿宋" w:hAnsi="仿宋" w:eastAsia="仿宋" w:cs="仿宋"/>
          <w:b w:val="0"/>
          <w:bCs w:val="0"/>
          <w:sz w:val="32"/>
          <w:szCs w:val="32"/>
          <w:highlight w:val="none"/>
        </w:rPr>
        <w:t>万元、 法律援助</w:t>
      </w:r>
      <w:r>
        <w:rPr>
          <w:rFonts w:hint="eastAsia" w:ascii="仿宋" w:hAnsi="仿宋" w:eastAsia="仿宋" w:cs="仿宋"/>
          <w:b w:val="0"/>
          <w:bCs w:val="0"/>
          <w:sz w:val="32"/>
          <w:szCs w:val="32"/>
          <w:highlight w:val="none"/>
          <w:lang w:val="en-US" w:eastAsia="zh-CN"/>
        </w:rPr>
        <w:t>5.7</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val="en-US" w:eastAsia="zh-CN"/>
        </w:rPr>
        <w:t>法制建设41.2万元（依法行政、行政应诉、行政复议18.7万元、法律顾问费22.5万元）、社区矫正工作经费10.27万元、安置帮教和刑释解教必接经费7.3万元、政府购买服务人员工资及保险费用73.9万元、2020年度普法奖励4.8万元。</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三、政府性基金预算支出情况</w:t>
      </w:r>
    </w:p>
    <w:p>
      <w:pPr>
        <w:numPr>
          <w:ilvl w:val="0"/>
          <w:numId w:val="0"/>
        </w:numPr>
        <w:adjustRightInd w:val="0"/>
        <w:snapToGrid w:val="0"/>
        <w:spacing w:line="60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本单位无政府性基金预算收入，无政府性基金预算支出。</w:t>
      </w:r>
    </w:p>
    <w:p>
      <w:pPr>
        <w:numPr>
          <w:ilvl w:val="0"/>
          <w:numId w:val="0"/>
        </w:numPr>
        <w:adjustRightInd w:val="0"/>
        <w:snapToGrid w:val="0"/>
        <w:spacing w:line="60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四、国有资本经营预算支出情况</w:t>
      </w:r>
    </w:p>
    <w:p>
      <w:pPr>
        <w:numPr>
          <w:ilvl w:val="0"/>
          <w:numId w:val="0"/>
        </w:numPr>
        <w:adjustRightInd w:val="0"/>
        <w:snapToGrid w:val="0"/>
        <w:spacing w:line="60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本单位无</w:t>
      </w:r>
      <w:r>
        <w:rPr>
          <w:rFonts w:hint="eastAsia" w:ascii="仿宋" w:hAnsi="仿宋" w:eastAsia="仿宋" w:cs="仿宋"/>
          <w:b w:val="0"/>
          <w:bCs w:val="0"/>
          <w:sz w:val="32"/>
          <w:szCs w:val="32"/>
          <w:highlight w:val="none"/>
        </w:rPr>
        <w:t>国有资本经营预算</w:t>
      </w:r>
      <w:r>
        <w:rPr>
          <w:rFonts w:hint="eastAsia" w:ascii="仿宋" w:hAnsi="仿宋" w:eastAsia="仿宋" w:cs="仿宋"/>
          <w:b w:val="0"/>
          <w:bCs w:val="0"/>
          <w:sz w:val="32"/>
          <w:szCs w:val="32"/>
          <w:highlight w:val="none"/>
          <w:lang w:val="en-US" w:eastAsia="zh-CN"/>
        </w:rPr>
        <w:t>收入，无</w:t>
      </w:r>
      <w:r>
        <w:rPr>
          <w:rFonts w:hint="eastAsia" w:ascii="仿宋" w:hAnsi="仿宋" w:eastAsia="仿宋" w:cs="仿宋"/>
          <w:b w:val="0"/>
          <w:bCs w:val="0"/>
          <w:sz w:val="32"/>
          <w:szCs w:val="32"/>
          <w:highlight w:val="none"/>
        </w:rPr>
        <w:t>国有资本经营预算</w:t>
      </w:r>
      <w:r>
        <w:rPr>
          <w:rFonts w:hint="eastAsia" w:ascii="仿宋" w:hAnsi="仿宋" w:eastAsia="仿宋" w:cs="仿宋"/>
          <w:b w:val="0"/>
          <w:bCs w:val="0"/>
          <w:sz w:val="32"/>
          <w:szCs w:val="32"/>
          <w:highlight w:val="none"/>
          <w:lang w:val="en-US" w:eastAsia="zh-CN"/>
        </w:rPr>
        <w:t>支出。</w:t>
      </w:r>
    </w:p>
    <w:p>
      <w:pPr>
        <w:numPr>
          <w:ilvl w:val="0"/>
          <w:numId w:val="0"/>
        </w:numPr>
        <w:adjustRightInd w:val="0"/>
        <w:snapToGrid w:val="0"/>
        <w:spacing w:line="60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五、社会保险基金预算支出情况</w:t>
      </w:r>
    </w:p>
    <w:p>
      <w:pPr>
        <w:numPr>
          <w:ilvl w:val="0"/>
          <w:numId w:val="0"/>
        </w:numPr>
        <w:adjustRightInd w:val="0"/>
        <w:snapToGrid w:val="0"/>
        <w:spacing w:line="600" w:lineRule="exact"/>
        <w:ind w:firstLine="640"/>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lang w:val="en-US" w:eastAsia="zh-CN"/>
        </w:rPr>
        <w:t>本单位无</w:t>
      </w:r>
      <w:r>
        <w:rPr>
          <w:rFonts w:hint="eastAsia" w:ascii="仿宋" w:hAnsi="仿宋" w:eastAsia="仿宋" w:cs="仿宋"/>
          <w:b w:val="0"/>
          <w:bCs w:val="0"/>
          <w:sz w:val="32"/>
          <w:szCs w:val="32"/>
          <w:highlight w:val="none"/>
        </w:rPr>
        <w:t>社会保险基金预算</w:t>
      </w:r>
      <w:r>
        <w:rPr>
          <w:rFonts w:hint="eastAsia" w:ascii="仿宋" w:hAnsi="仿宋" w:eastAsia="仿宋" w:cs="仿宋"/>
          <w:b w:val="0"/>
          <w:bCs w:val="0"/>
          <w:sz w:val="32"/>
          <w:szCs w:val="32"/>
          <w:highlight w:val="none"/>
          <w:lang w:val="en-US" w:eastAsia="zh-CN"/>
        </w:rPr>
        <w:t>收入，无</w:t>
      </w:r>
      <w:r>
        <w:rPr>
          <w:rFonts w:hint="eastAsia" w:ascii="仿宋" w:hAnsi="仿宋" w:eastAsia="仿宋" w:cs="仿宋"/>
          <w:b w:val="0"/>
          <w:bCs w:val="0"/>
          <w:sz w:val="32"/>
          <w:szCs w:val="32"/>
          <w:highlight w:val="none"/>
        </w:rPr>
        <w:t>社会保险基金预算</w:t>
      </w:r>
      <w:r>
        <w:rPr>
          <w:rFonts w:hint="eastAsia" w:ascii="仿宋" w:hAnsi="仿宋" w:eastAsia="仿宋" w:cs="仿宋"/>
          <w:b w:val="0"/>
          <w:bCs w:val="0"/>
          <w:sz w:val="32"/>
          <w:szCs w:val="32"/>
          <w:highlight w:val="none"/>
          <w:lang w:val="en-US" w:eastAsia="zh-CN"/>
        </w:rPr>
        <w:t>支出。</w:t>
      </w:r>
    </w:p>
    <w:p>
      <w:pPr>
        <w:numPr>
          <w:ilvl w:val="0"/>
          <w:numId w:val="0"/>
        </w:numPr>
        <w:adjustRightInd w:val="0"/>
        <w:snapToGrid w:val="0"/>
        <w:spacing w:line="60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六、部门整体支出绩效情况</w:t>
      </w:r>
    </w:p>
    <w:p>
      <w:pPr>
        <w:numPr>
          <w:ilvl w:val="0"/>
          <w:numId w:val="0"/>
        </w:numPr>
        <w:adjustRightInd w:val="0"/>
        <w:snapToGrid w:val="0"/>
        <w:spacing w:line="600" w:lineRule="exact"/>
        <w:ind w:firstLine="64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今年来，为政府重大决策提供法律意见66件/次，审查政府合同96份，参与协调处置19起重大政府涉法事务；审查备案规范性文件21件，规范性文件</w:t>
      </w:r>
      <w:r>
        <w:rPr>
          <w:rFonts w:hint="eastAsia" w:ascii="仿宋" w:hAnsi="仿宋" w:eastAsia="仿宋" w:cs="仿宋"/>
          <w:sz w:val="32"/>
          <w:szCs w:val="32"/>
        </w:rPr>
        <w:t>报备率100%</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sz w:val="32"/>
          <w:szCs w:val="32"/>
          <w:lang w:val="en-US" w:eastAsia="zh-CN"/>
        </w:rPr>
        <w:t>办理行政复议案件31件，审结26件，其中维持决定7件，撤回后终止决定5 件，撤销决定4件，不予受理决定5件，调解结案4件，确认违法1件；代表县政府出庭应诉案件32件，其中一审行政诉讼案件14件，二审行政诉讼案件14件，再审行政诉讼案件2件，一审民事诉讼案件1件，二审民事诉讼案件1件，胜诉率93.8%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为全县82所学校选聘126名业务能力强、法治素养高的公职人员作为法治副校长或法治辅导员，全县累计开展法治宣传进校园活动132场次；不断拓宽法治宣传阵地，实现50%以上的村（社区）有法治文化阵地；全县11427名国家工作人员学法学分达标率、参学率和及格率均达到100%，创历史最好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出具调查评估意见314件，采信率达95%以上，接收社区矫正对象399人，现有在册社区矫正对象332名，无一社区矫正对象脱管漏管和重新违法犯罪；全面推进司法行政远程视频会见，今年来共远程视频会见168场，接待群众460余人次；全国安置帮教系统安置人员核查成功956人，预释放人员衔接成功845人。</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法律援助案件437件，完成全年“办理法律援助案件360件”的重点民生实事项目的121.4%，涉及农民工法律援助案件89件，运用法律援助成功为农民工讨回工资1547784元。办理公证事项538件，建立律师事务所与基层商会、行业商会联系合作机制，今年共组织13名律师深入民营企业6家，实地走访4次，召开座谈会6次，开展政策宣讲20次，提供法律咨询解答100余次，帮助企业梳理法律风险点30个。</w:t>
      </w:r>
    </w:p>
    <w:p>
      <w:pPr>
        <w:numPr>
          <w:ilvl w:val="0"/>
          <w:numId w:val="0"/>
        </w:numPr>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b/>
          <w:bCs/>
          <w:sz w:val="32"/>
          <w:szCs w:val="32"/>
        </w:rPr>
        <w:t>七、存在的问题及原因分析</w:t>
      </w:r>
    </w:p>
    <w:p>
      <w:pPr>
        <w:numPr>
          <w:ilvl w:val="0"/>
          <w:numId w:val="0"/>
        </w:num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县级财政资金配备不足，</w:t>
      </w:r>
      <w:r>
        <w:rPr>
          <w:rFonts w:hint="eastAsia" w:ascii="仿宋" w:hAnsi="仿宋" w:eastAsia="仿宋" w:cs="仿宋"/>
          <w:sz w:val="32"/>
          <w:szCs w:val="32"/>
          <w:lang w:eastAsia="zh-CN"/>
        </w:rPr>
        <w:t>对年初的预算</w:t>
      </w:r>
      <w:r>
        <w:rPr>
          <w:rFonts w:hint="eastAsia" w:ascii="仿宋" w:hAnsi="仿宋" w:eastAsia="仿宋" w:cs="仿宋"/>
          <w:sz w:val="32"/>
          <w:szCs w:val="32"/>
          <w:lang w:val="en-US" w:eastAsia="zh-CN"/>
        </w:rPr>
        <w:t>压缩严重，上级资金与县级资金统筹安排，导致经费严重不足。</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2、人员编制紧张，人力资源不充沛，导致很多工作无法全面开展，影响工作的质量。</w:t>
      </w:r>
    </w:p>
    <w:p>
      <w:pPr>
        <w:numPr>
          <w:ilvl w:val="0"/>
          <w:numId w:val="0"/>
        </w:numPr>
        <w:adjustRightInd w:val="0"/>
        <w:snapToGrid w:val="0"/>
        <w:spacing w:line="600" w:lineRule="exact"/>
        <w:ind w:firstLine="640"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八、下一步改进措施</w:t>
      </w:r>
    </w:p>
    <w:p>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主动的向当地财政反映本单位的实际困难，加强和财政的衔接。加强队伍建设，抓好绩效评价管理部门的队伍建设和业务指导，培养部门的绩效管理队伍，建立绩效评价的长期机制。进一步明确工作职责，工作内容，成立有效的工作机制，保障项目的顺利推进。</w:t>
      </w:r>
    </w:p>
    <w:p>
      <w:pPr>
        <w:numPr>
          <w:ilvl w:val="0"/>
          <w:numId w:val="0"/>
        </w:numPr>
        <w:adjustRightInd w:val="0"/>
        <w:snapToGrid w:val="0"/>
        <w:spacing w:line="600" w:lineRule="exact"/>
        <w:ind w:firstLine="640" w:firstLineChars="200"/>
        <w:rPr>
          <w:rFonts w:hint="eastAsia" w:ascii="仿宋" w:hAnsi="仿宋" w:eastAsia="仿宋" w:cs="仿宋"/>
          <w:b/>
          <w:bCs/>
          <w:sz w:val="32"/>
          <w:szCs w:val="32"/>
          <w:lang w:eastAsia="zh-CN"/>
        </w:rPr>
      </w:pPr>
    </w:p>
    <w:p>
      <w:pPr>
        <w:ind w:firstLine="640" w:firstLineChars="200"/>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E592455"/>
    <w:rsid w:val="23FF9421"/>
    <w:rsid w:val="38C36B69"/>
    <w:rsid w:val="395D4636"/>
    <w:rsid w:val="399F46E0"/>
    <w:rsid w:val="49FF3484"/>
    <w:rsid w:val="573149F7"/>
    <w:rsid w:val="59569985"/>
    <w:rsid w:val="59987F3E"/>
    <w:rsid w:val="5FE3EEB0"/>
    <w:rsid w:val="63EC2AD9"/>
    <w:rsid w:val="69823BDB"/>
    <w:rsid w:val="7D533C54"/>
    <w:rsid w:val="7EDE6E7B"/>
    <w:rsid w:val="AFBF1AFD"/>
    <w:rsid w:val="D3FE9AFA"/>
    <w:rsid w:val="D5E7D495"/>
    <w:rsid w:val="FEEFC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11354</Words>
  <Characters>13738</Characters>
  <Lines>69</Lines>
  <Paragraphs>19</Paragraphs>
  <TotalTime>0</TotalTime>
  <ScaleCrop>false</ScaleCrop>
  <LinksUpToDate>false</LinksUpToDate>
  <CharactersWithSpaces>14754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Administrator</cp:lastModifiedBy>
  <cp:lastPrinted>2022-07-29T04:55:00Z</cp:lastPrinted>
  <dcterms:modified xsi:type="dcterms:W3CDTF">2023-09-28T05:57:48Z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06E779013ED34335A3BDBCC63E2C027F_13</vt:lpwstr>
  </property>
</Properties>
</file>