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20</w:t>
      </w:r>
      <w:r>
        <w:rPr>
          <w:rFonts w:hint="eastAsia" w:ascii="新宋体" w:hAnsi="新宋体" w:eastAsia="新宋体" w:cs="新宋体"/>
          <w:b/>
          <w:sz w:val="48"/>
          <w:szCs w:val="48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sz w:val="48"/>
          <w:szCs w:val="48"/>
        </w:rPr>
        <w:t>年道县</w:t>
      </w: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林业局</w:t>
      </w:r>
      <w:r>
        <w:rPr>
          <w:rFonts w:hint="eastAsia" w:ascii="新宋体" w:hAnsi="新宋体" w:eastAsia="新宋体" w:cs="新宋体"/>
          <w:b/>
          <w:sz w:val="48"/>
          <w:szCs w:val="48"/>
        </w:rPr>
        <w:t>部门整体支出绩效评价</w:t>
      </w: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</w:rPr>
        <w:t>报</w:t>
      </w:r>
      <w:r>
        <w:rPr>
          <w:rFonts w:hint="eastAsia" w:ascii="新宋体" w:hAnsi="新宋体" w:eastAsia="新宋体" w:cs="新宋体"/>
          <w:b/>
          <w:sz w:val="48"/>
          <w:szCs w:val="48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b/>
          <w:sz w:val="48"/>
          <w:szCs w:val="48"/>
        </w:rPr>
        <w:t>告</w:t>
      </w: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</w:p>
    <w:p>
      <w:pPr>
        <w:spacing w:line="360" w:lineRule="exact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新宋体" w:hAnsi="新宋体" w:eastAsia="新宋体" w:cs="新宋体"/>
          <w:b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b/>
          <w:kern w:val="0"/>
          <w:sz w:val="32"/>
          <w:szCs w:val="32"/>
        </w:rPr>
        <w:t>一、部门基本概况</w:t>
      </w:r>
    </w:p>
    <w:p>
      <w:pPr>
        <w:ind w:left="720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(1)、职能职责</w:t>
      </w:r>
    </w:p>
    <w:p>
      <w:pPr>
        <w:spacing w:line="60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根据</w:t>
      </w:r>
      <w:r>
        <w:rPr>
          <w:rFonts w:hint="eastAsia" w:ascii="新宋体" w:hAnsi="新宋体" w:eastAsia="新宋体" w:cs="新宋体"/>
          <w:sz w:val="32"/>
          <w:szCs w:val="32"/>
        </w:rPr>
        <w:t>《中共道县县委办公室、道县人民政府办公室关于印发《道县机构改革实施方案的通知》（道办发[2019]11号）规定，本单位主要工作职责是：</w:t>
      </w:r>
    </w:p>
    <w:p>
      <w:pPr>
        <w:spacing w:line="600" w:lineRule="exact"/>
        <w:ind w:firstLine="480" w:firstLineChars="15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、负责林业及其生态保护修复的监督管理。拟定林业及其生态保护修复的政策、规划、标准并组织实施，按规定起草相关地方性法规、规章草案。组织开展森林、湿地荒漠和陆生野生动植物资源动态监测与评价。</w:t>
      </w:r>
    </w:p>
    <w:p>
      <w:pPr>
        <w:spacing w:line="600" w:lineRule="exact"/>
        <w:ind w:firstLine="800" w:firstLineChars="25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、组织林业生态保护修复和造林绿化工作。组织实施林业重点生态修复工程，指导公益林和商品林的培育，指导、监督全民义务植树、城乡绿化工作，组织指导林木花卉工作。指导林业有害生物防治、检疫工作。承担林业应对气候变化的相关工作。承担县绿化委员会的具体工作。</w:t>
      </w:r>
    </w:p>
    <w:p>
      <w:pPr>
        <w:spacing w:line="560" w:lineRule="exact"/>
        <w:ind w:firstLine="960" w:firstLineChars="3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3、负责森林、湿地资源的监督管理。组织编制并监督执行全县森林采伐限额。负责林地管理，拟定林地保护利用规划并组织实施，指导公益林划定和管理工作，管理国有森林资源。负责湿地生态保护修复工作，拟订湿地保护和相关标准，监督管理湿地的开发利用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4、负责监督管理石漠化防治工作。组织开展荒漠调查，组织拟订防沙、石漠化防治及沙化土地封禁保护区建设规划，拟订相关标准，监督管理沙化土地的开发利用，组织、指导建设项目对土地沙化影响的审核，组织沙化灾害预测预报和应急处置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5、负责陆生野生动植物资源监督管理。组织开展陆生野生动植物资源调查。指导陆生野生动植物的救护繁育、栖息地恢复发展、疫源疫病监测，监督管理陆生野生动植物猎捕或采集、驯养繁殖、经营利用，按分工监督管理野生动植物进出口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6、负责监督管理各类自然保护地。拟订各类自然保护地规划和相关标准。负责国家公园设立、规划、建设和特许经营等申报工作，负责国家公园等自然资源资产管理和国土空间用途管制。提出新建、调整各类自然保护地的审核建议并按程序报批，组织审核世界自然遗产的申报，会同有关部门审核自然与文化双重遗产的申报。负责生物多样性保护相关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7、负责推进林业改革相关工作。拟订集体林权制度、国有林场等重大改革意见并监督实施，指导农村林地承包经营工作。开展退耕还林，负责天然林保护工作。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8、拟订林业资源优化配置及木材利用政策，拟订相关林业产业标准并监督实施，组织、指导林产品质量监督，指导生态扶贫相关工作。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9、指导国有林场基本建设和发展，组织林木种子、草种种资源普查，组织建立种质资源库，负责良种选育推广，管理林木种苗、草种生产经营行为，监管林木种苗、草种质量。监督管理林业和草原生物种质资源、转基因生物安全、植物新品种保护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10、指导全县森林公安工作，监督管理森林公安队伍，指导全县林业重大违法案件的查处，负责相关行政执法监管工作，指导林区社会治安治理工作。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11、负责落实综合防灾减灾规划相关要求，组织编制森林防火防治规划和防护标准并指导实施，指导开展防火巡护、火源管理、防火设施建设等工作。组织指导国有林场林区开展宣传教育、监测预警、督促检查等防火工作。必要时，可以提请县应急管理局，以县应急指挥机构名义，部署相关防治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12、监督管理林业资金和国有资产，提出林业预算内投资、财政性资金安排建议，按县政府规定权限，审核县级规划内和年度计划内投资项目。参与拟订林业经济调节政策，组织实施生态补偿工作。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13、负责林业科技、教育和外事工作，指导全县林业人才队伍建设民，组织实施林业技术交流与合作事务，承担湿地、防治荒漠化、濒危野生动植物等国际公约履约工作。</w:t>
      </w:r>
    </w:p>
    <w:p>
      <w:pPr>
        <w:spacing w:line="560" w:lineRule="exact"/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14、完成县委、县人民政府交办的其他任务。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 xml:space="preserve"> (2)、机构设置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道县林业局内设机构：办公室、政工股、计划财务股、资源林政股、政策法规股、林业工作站管</w:t>
      </w:r>
      <w:r>
        <w:rPr>
          <w:rFonts w:hint="eastAsia" w:ascii="新宋体" w:hAnsi="新宋体" w:eastAsia="新宋体" w:cs="新宋体"/>
          <w:sz w:val="32"/>
          <w:szCs w:val="32"/>
        </w:rPr>
        <w:t>理股；副科级行政机构：道县森林公安局；下属事业单位12个。总编制人数215名，其中：行政编制13名，机关后勤事业编制2名，专项行政编制10名，事业编制190名。车辆编制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</w:t>
      </w:r>
      <w:r>
        <w:rPr>
          <w:rFonts w:hint="eastAsia" w:ascii="新宋体" w:hAnsi="新宋体" w:eastAsia="新宋体" w:cs="新宋体"/>
          <w:sz w:val="32"/>
          <w:szCs w:val="32"/>
        </w:rPr>
        <w:t>台。实有车辆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</w:t>
      </w:r>
      <w:r>
        <w:rPr>
          <w:rFonts w:hint="eastAsia" w:ascii="新宋体" w:hAnsi="新宋体" w:eastAsia="新宋体" w:cs="新宋体"/>
          <w:sz w:val="32"/>
          <w:szCs w:val="32"/>
        </w:rPr>
        <w:t>台。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道县林业局只有本级，没有其他二级预算单位，因此，纳入2021年部门预算编制范围的只有林业局本级。</w:t>
      </w:r>
    </w:p>
    <w:p>
      <w:pPr>
        <w:widowControl/>
        <w:spacing w:line="600" w:lineRule="exact"/>
        <w:ind w:firstLine="627" w:firstLineChars="196"/>
        <w:jc w:val="left"/>
        <w:rPr>
          <w:rFonts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asciiTheme="majorEastAsia" w:hAnsiTheme="majorEastAsia" w:eastAsiaTheme="majorEastAsia"/>
          <w:sz w:val="32"/>
          <w:szCs w:val="32"/>
        </w:rPr>
        <w:t>（一）20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决</w:t>
      </w:r>
      <w:r>
        <w:rPr>
          <w:rFonts w:asciiTheme="majorEastAsia" w:hAnsiTheme="majorEastAsia" w:eastAsiaTheme="majorEastAsia"/>
          <w:sz w:val="32"/>
          <w:szCs w:val="32"/>
        </w:rPr>
        <w:t>算数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3222.25</w:t>
      </w:r>
      <w:r>
        <w:rPr>
          <w:rFonts w:asciiTheme="majorEastAsia" w:hAnsiTheme="majorEastAsia" w:eastAsiaTheme="majorEastAsia"/>
          <w:sz w:val="32"/>
          <w:szCs w:val="32"/>
        </w:rPr>
        <w:t>万元，其中，一般公共预算拨款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3051.25</w:t>
      </w:r>
      <w:r>
        <w:rPr>
          <w:rFonts w:asciiTheme="majorEastAsia" w:hAnsiTheme="majorEastAsia" w:eastAsiaTheme="majorEastAsia"/>
          <w:sz w:val="32"/>
          <w:szCs w:val="32"/>
        </w:rPr>
        <w:t>万元，政府性基金</w:t>
      </w:r>
      <w:r>
        <w:rPr>
          <w:rFonts w:hint="eastAsia" w:asciiTheme="majorEastAsia" w:hAnsiTheme="majorEastAsia" w:eastAsiaTheme="majorEastAsia"/>
          <w:sz w:val="32"/>
          <w:szCs w:val="32"/>
        </w:rPr>
        <w:t>预算</w:t>
      </w:r>
      <w:r>
        <w:rPr>
          <w:rFonts w:asciiTheme="majorEastAsia" w:hAnsiTheme="majorEastAsia" w:eastAsiaTheme="majorEastAsia"/>
          <w:sz w:val="32"/>
          <w:szCs w:val="32"/>
        </w:rPr>
        <w:t>拨款</w:t>
      </w:r>
      <w:r>
        <w:rPr>
          <w:rFonts w:hint="eastAsia" w:asciiTheme="majorEastAsia" w:hAnsiTheme="majorEastAsia" w:eastAsiaTheme="majorEastAsia"/>
          <w:sz w:val="32"/>
          <w:szCs w:val="32"/>
        </w:rPr>
        <w:t>0</w:t>
      </w:r>
      <w:r>
        <w:rPr>
          <w:rFonts w:asciiTheme="majorEastAsia" w:hAnsiTheme="majorEastAsia" w:eastAsiaTheme="majorEastAsia"/>
          <w:sz w:val="32"/>
          <w:szCs w:val="32"/>
        </w:rPr>
        <w:t>万元，纳入专户管理的非税收入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171</w:t>
      </w:r>
      <w:r>
        <w:rPr>
          <w:rFonts w:asciiTheme="majorEastAsia" w:hAnsiTheme="majorEastAsia" w:eastAsiaTheme="majorEastAsia"/>
          <w:sz w:val="32"/>
          <w:szCs w:val="32"/>
        </w:rPr>
        <w:t>万元。</w:t>
      </w:r>
      <w:r>
        <w:rPr>
          <w:rFonts w:hint="eastAsia" w:asciiTheme="majorEastAsia" w:hAnsiTheme="majorEastAsia" w:eastAsiaTheme="majorEastAsia"/>
          <w:sz w:val="32"/>
          <w:szCs w:val="32"/>
        </w:rPr>
        <w:t>收入较去年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260.59</w:t>
      </w:r>
      <w:r>
        <w:rPr>
          <w:rFonts w:hint="eastAsia" w:asciiTheme="majorEastAsia" w:hAnsiTheme="majorEastAsia" w:eastAsiaTheme="majorEastAsia"/>
          <w:sz w:val="32"/>
          <w:szCs w:val="32"/>
        </w:rPr>
        <w:t>万元，主要是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机构改革，</w:t>
      </w:r>
      <w:r>
        <w:rPr>
          <w:rFonts w:hint="eastAsia" w:asciiTheme="majorEastAsia" w:hAnsiTheme="majorEastAsia" w:eastAsiaTheme="majorEastAsia"/>
          <w:sz w:val="32"/>
          <w:szCs w:val="32"/>
        </w:rPr>
        <w:t>人员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异动减少，人员</w:t>
      </w:r>
      <w:r>
        <w:rPr>
          <w:rFonts w:hint="eastAsia" w:asciiTheme="majorEastAsia" w:hAnsiTheme="majorEastAsia" w:eastAsiaTheme="majorEastAsia"/>
          <w:sz w:val="32"/>
          <w:szCs w:val="32"/>
        </w:rPr>
        <w:t>工资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减少。</w:t>
      </w:r>
    </w:p>
    <w:p>
      <w:pPr>
        <w:widowControl/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四、一般公共预算拨款支出预算</w:t>
      </w:r>
    </w:p>
    <w:p>
      <w:pPr>
        <w:widowControl/>
        <w:spacing w:line="600" w:lineRule="exact"/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年一般公共预算拨款收入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3222.25</w:t>
      </w:r>
      <w:r>
        <w:rPr>
          <w:rFonts w:asciiTheme="majorEastAsia" w:hAnsiTheme="majorEastAsia" w:eastAsiaTheme="majorEastAsia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1"/>
        </w:numPr>
        <w:spacing w:line="600" w:lineRule="exact"/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基本支出：20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年年初预算数为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3222.25</w:t>
      </w:r>
      <w:r>
        <w:rPr>
          <w:rFonts w:asciiTheme="majorEastAsia" w:hAnsiTheme="majorEastAsia" w:eastAsiaTheme="majorEastAsia"/>
          <w:sz w:val="32"/>
          <w:szCs w:val="32"/>
        </w:rPr>
        <w:t>万元，</w:t>
      </w:r>
      <w:r>
        <w:rPr>
          <w:rFonts w:hint="eastAsia" w:asciiTheme="majorEastAsia" w:hAnsiTheme="majorEastAsia" w:eastAsiaTheme="majorEastAsia"/>
          <w:sz w:val="32"/>
          <w:szCs w:val="32"/>
        </w:rPr>
        <w:t>其中：工资福利支出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2162.45</w:t>
      </w:r>
      <w:r>
        <w:rPr>
          <w:rFonts w:hint="eastAsia" w:asciiTheme="majorEastAsia" w:hAnsiTheme="majorEastAsia" w:eastAsiaTheme="majorEastAsia"/>
          <w:sz w:val="32"/>
          <w:szCs w:val="32"/>
        </w:rPr>
        <w:t>万元，一般商品和服务支出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788.3</w:t>
      </w:r>
      <w:r>
        <w:rPr>
          <w:rFonts w:hint="eastAsia" w:asciiTheme="majorEastAsia" w:hAnsiTheme="majorEastAsia" w:eastAsiaTheme="majorEastAsia"/>
          <w:sz w:val="32"/>
          <w:szCs w:val="32"/>
        </w:rPr>
        <w:t>万元，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公用支出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271.5</w:t>
      </w:r>
      <w:r>
        <w:rPr>
          <w:rFonts w:hint="eastAsia" w:asciiTheme="majorEastAsia" w:hAnsiTheme="majorEastAsia" w:eastAsiaTheme="majorEastAsia"/>
          <w:sz w:val="32"/>
          <w:szCs w:val="32"/>
        </w:rPr>
        <w:t>万元；</w:t>
      </w:r>
    </w:p>
    <w:p>
      <w:pPr>
        <w:widowControl/>
        <w:numPr>
          <w:ilvl w:val="0"/>
          <w:numId w:val="1"/>
        </w:numPr>
        <w:spacing w:line="600" w:lineRule="exact"/>
        <w:ind w:left="0" w:leftChars="0" w:firstLine="660" w:firstLineChars="0"/>
        <w:jc w:val="left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项目支出：</w:t>
      </w:r>
    </w:p>
    <w:p>
      <w:pPr>
        <w:widowControl/>
        <w:spacing w:line="600" w:lineRule="exact"/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1、</w:t>
      </w:r>
      <w:r>
        <w:rPr>
          <w:rFonts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年年初预算数为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651.3</w:t>
      </w:r>
      <w:r>
        <w:rPr>
          <w:rFonts w:asciiTheme="majorEastAsia" w:hAnsiTheme="majorEastAsia" w:eastAsiaTheme="majorEastAsia"/>
          <w:sz w:val="32"/>
          <w:szCs w:val="32"/>
        </w:rPr>
        <w:t>万元，其中：</w:t>
      </w:r>
      <w:r>
        <w:rPr>
          <w:rFonts w:hint="eastAsia" w:asciiTheme="majorEastAsia" w:hAnsiTheme="majorEastAsia" w:eastAsiaTheme="majorEastAsia"/>
          <w:sz w:val="32"/>
          <w:szCs w:val="32"/>
        </w:rPr>
        <w:t>专项商品和服务</w:t>
      </w:r>
      <w:r>
        <w:rPr>
          <w:rFonts w:asciiTheme="majorEastAsia" w:hAnsiTheme="majorEastAsia" w:eastAsiaTheme="majorEastAsia"/>
          <w:sz w:val="32"/>
          <w:szCs w:val="32"/>
        </w:rPr>
        <w:t>支出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651.3</w:t>
      </w:r>
      <w:r>
        <w:rPr>
          <w:rFonts w:asciiTheme="majorEastAsia" w:hAnsiTheme="majorEastAsia" w:eastAsiaTheme="majorEastAsia"/>
          <w:sz w:val="32"/>
          <w:szCs w:val="32"/>
        </w:rPr>
        <w:t>万元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2、2021年中央、省级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项目资金执行共计5561.4万元。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&lt;1&gt;、2020年中央和省级财政生态效益林管护</w:t>
      </w: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91.6564万</w:t>
      </w:r>
      <w:r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亩.补偿补助资金发放1192.88万元、管护补助403.36万元，共1596.52万元。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6"/>
          <w:rFonts w:hint="default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 xml:space="preserve">   &lt;2&gt;、中央天然林商品林管护补助79.8万元</w:t>
      </w:r>
    </w:p>
    <w:p>
      <w:pPr>
        <w:pStyle w:val="4"/>
        <w:numPr>
          <w:ilvl w:val="0"/>
          <w:numId w:val="0"/>
        </w:numPr>
        <w:ind w:firstLine="320" w:firstLineChars="100"/>
        <w:jc w:val="both"/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 xml:space="preserve"> &lt;3&gt;、2021年造林1.1万亩、造林补助750万元。</w:t>
      </w:r>
    </w:p>
    <w:p>
      <w:pPr>
        <w:pStyle w:val="4"/>
        <w:numPr>
          <w:ilvl w:val="0"/>
          <w:numId w:val="0"/>
        </w:numPr>
        <w:ind w:firstLine="320" w:firstLineChars="100"/>
        <w:jc w:val="both"/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6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 xml:space="preserve">   &lt;4&gt;、2021年森林抚育1.4万亩、中央上一轮耕还林纳入森林抚育补助资金共340.37万元。</w:t>
      </w: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退耕还林工作经费5万元。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&lt;5&gt;、油料补助（油茶新造）1.7万亩，扶持小作坊6个，建设仓库中心3个，作业道建设60公里，补助资金1345万元。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5"/>
          <w:rFonts w:hint="default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&lt;6&gt;、中央预算内基建1320万元。（其中：天然林保护与营造林1190万元，防火100万元、林业执法监督能力提升30万元）。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5"/>
          <w:rFonts w:hint="default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&lt;7&gt;、生态廊道建设450亩，补助资金45万元。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&lt;8&gt;、防病虫害资金10万元。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&lt;9&gt;、野生动物人工繁育退出奖励资金69.71万元。</w:t>
      </w:r>
    </w:p>
    <w:p>
      <w:pPr>
        <w:pStyle w:val="4"/>
        <w:numPr>
          <w:ilvl w:val="0"/>
          <w:numId w:val="0"/>
        </w:numPr>
        <w:ind w:firstLine="320" w:firstLineChars="100"/>
        <w:jc w:val="both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Style w:val="5"/>
          <w:rFonts w:hint="eastAsia" w:ascii="新宋体" w:hAnsi="新宋体" w:eastAsia="新宋体" w:cs="新宋体"/>
          <w:color w:val="000000"/>
          <w:sz w:val="32"/>
          <w:szCs w:val="32"/>
          <w:lang w:val="en-US" w:eastAsia="zh-CN" w:bidi="ar"/>
        </w:rPr>
        <w:t>3、项目资金管理情况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 xml:space="preserve">&lt;1&gt;  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项目确定专人负责，严格资金管理，做到专款专用。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&lt;2&gt;  业务股室出具项目实施方案、组织实施、验收。编制验收报告，建立小班调查卡片、小班图存档。</w:t>
      </w:r>
    </w:p>
    <w:p>
      <w:pPr>
        <w:pStyle w:val="4"/>
        <w:numPr>
          <w:ilvl w:val="0"/>
          <w:numId w:val="0"/>
        </w:numPr>
        <w:ind w:firstLine="640" w:firstLineChars="200"/>
        <w:jc w:val="both"/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&lt;3&gt;  收集林农信息，编制“一卡通”补助发放花名册，实行惠农资金“一卡通”方式发放。做到项目资金及时、准确发放到农户。</w:t>
      </w:r>
    </w:p>
    <w:p>
      <w:pPr>
        <w:widowControl/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五、其他重要事项的情况说明</w:t>
      </w:r>
    </w:p>
    <w:p>
      <w:pPr>
        <w:widowControl/>
        <w:spacing w:line="600" w:lineRule="exact"/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1、机关运行经费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</w:rPr>
        <w:t>本单位</w:t>
      </w:r>
      <w:r>
        <w:rPr>
          <w:rFonts w:asciiTheme="majorEastAsia" w:hAnsiTheme="majorEastAsia" w:eastAsiaTheme="majorEastAsia"/>
          <w:sz w:val="32"/>
          <w:szCs w:val="32"/>
        </w:rPr>
        <w:t>机关运行经</w:t>
      </w:r>
      <w:r>
        <w:rPr>
          <w:rFonts w:hint="eastAsia" w:asciiTheme="majorEastAsia" w:hAnsiTheme="majorEastAsia" w:eastAsiaTheme="majorEastAsia"/>
          <w:sz w:val="32"/>
          <w:szCs w:val="32"/>
        </w:rPr>
        <w:t>费财政拨款预算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408.5</w:t>
      </w:r>
      <w:r>
        <w:rPr>
          <w:rFonts w:asciiTheme="majorEastAsia" w:hAnsiTheme="majorEastAsia" w:eastAsiaTheme="majorEastAsia"/>
          <w:sz w:val="32"/>
          <w:szCs w:val="32"/>
        </w:rPr>
        <w:t>万元，比20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20</w:t>
      </w:r>
      <w:r>
        <w:rPr>
          <w:rFonts w:asciiTheme="majorEastAsia" w:hAnsiTheme="majorEastAsia" w:eastAsiaTheme="majorEastAsia"/>
          <w:sz w:val="32"/>
          <w:szCs w:val="32"/>
        </w:rPr>
        <w:t>年预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算减少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94.5</w:t>
      </w:r>
      <w:r>
        <w:rPr>
          <w:rFonts w:asciiTheme="majorEastAsia" w:hAnsiTheme="majorEastAsia" w:eastAsiaTheme="majorEastAsia"/>
          <w:sz w:val="32"/>
          <w:szCs w:val="32"/>
        </w:rPr>
        <w:t>万元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/>
          <w:sz w:val="32"/>
          <w:szCs w:val="32"/>
        </w:rPr>
        <w:t>主要是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机构改革，</w:t>
      </w:r>
      <w:r>
        <w:rPr>
          <w:rFonts w:hint="eastAsia" w:asciiTheme="majorEastAsia" w:hAnsiTheme="majorEastAsia" w:eastAsiaTheme="majorEastAsia"/>
          <w:sz w:val="32"/>
          <w:szCs w:val="32"/>
        </w:rPr>
        <w:t>人员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异动减少，人员</w:t>
      </w:r>
      <w:r>
        <w:rPr>
          <w:rFonts w:hint="eastAsia" w:asciiTheme="majorEastAsia" w:hAnsiTheme="majorEastAsia" w:eastAsiaTheme="majorEastAsia"/>
          <w:sz w:val="32"/>
          <w:szCs w:val="32"/>
        </w:rPr>
        <w:t>工资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减少。</w:t>
      </w:r>
    </w:p>
    <w:p>
      <w:pPr>
        <w:widowControl/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2、“三公”经费预算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年“三公”经费预算数为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58</w:t>
      </w:r>
      <w:r>
        <w:rPr>
          <w:rFonts w:asciiTheme="majorEastAsia" w:hAnsiTheme="majorEastAsia" w:eastAsiaTheme="majorEastAsia"/>
          <w:sz w:val="32"/>
          <w:szCs w:val="32"/>
        </w:rPr>
        <w:t>万元，其中，公务接待费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35</w:t>
      </w:r>
      <w:r>
        <w:rPr>
          <w:rFonts w:asciiTheme="majorEastAsia" w:hAnsiTheme="majorEastAsia" w:eastAsiaTheme="majorEastAsia"/>
          <w:sz w:val="32"/>
          <w:szCs w:val="32"/>
        </w:rPr>
        <w:t>万元，公务用车购置及运行费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23</w:t>
      </w:r>
      <w:r>
        <w:rPr>
          <w:rFonts w:asciiTheme="majorEastAsia" w:hAnsiTheme="majorEastAsia" w:eastAsiaTheme="majorEastAsia"/>
          <w:sz w:val="32"/>
          <w:szCs w:val="32"/>
        </w:rPr>
        <w:t>万元（其中，公务用车购置费</w:t>
      </w:r>
      <w:r>
        <w:rPr>
          <w:rFonts w:hint="eastAsia" w:asciiTheme="majorEastAsia" w:hAnsiTheme="majorEastAsia" w:eastAsiaTheme="majorEastAsia"/>
          <w:sz w:val="32"/>
          <w:szCs w:val="32"/>
        </w:rPr>
        <w:t>0</w:t>
      </w:r>
      <w:r>
        <w:rPr>
          <w:rFonts w:asciiTheme="majorEastAsia" w:hAnsiTheme="majorEastAsia" w:eastAsiaTheme="majorEastAsia"/>
          <w:sz w:val="32"/>
          <w:szCs w:val="32"/>
        </w:rPr>
        <w:t>万元，公务用车运行费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23</w:t>
      </w:r>
      <w:r>
        <w:rPr>
          <w:rFonts w:asciiTheme="majorEastAsia" w:hAnsiTheme="majorEastAsia" w:eastAsiaTheme="majorEastAsia"/>
          <w:sz w:val="32"/>
          <w:szCs w:val="32"/>
        </w:rPr>
        <w:t>万元），因公出国（境）费</w:t>
      </w:r>
      <w:r>
        <w:rPr>
          <w:rFonts w:hint="eastAsia" w:asciiTheme="majorEastAsia" w:hAnsiTheme="majorEastAsia" w:eastAsiaTheme="majorEastAsia"/>
          <w:sz w:val="32"/>
          <w:szCs w:val="32"/>
        </w:rPr>
        <w:t>0</w:t>
      </w:r>
      <w:r>
        <w:rPr>
          <w:rFonts w:asciiTheme="majorEastAsia" w:hAnsiTheme="majorEastAsia" w:eastAsiaTheme="majorEastAsia"/>
          <w:sz w:val="32"/>
          <w:szCs w:val="32"/>
        </w:rPr>
        <w:t>万元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，公务用车购置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0辆。</w:t>
      </w:r>
      <w:r>
        <w:rPr>
          <w:rFonts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年“三公”经费预算较20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20</w:t>
      </w:r>
      <w:r>
        <w:rPr>
          <w:rFonts w:asciiTheme="majorEastAsia" w:hAnsiTheme="majorEastAsia" w:eastAsiaTheme="majorEastAsia"/>
          <w:sz w:val="32"/>
          <w:szCs w:val="32"/>
        </w:rPr>
        <w:t>年减少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asciiTheme="majorEastAsia" w:hAnsiTheme="majorEastAsia" w:eastAsiaTheme="majorEastAsia"/>
          <w:sz w:val="32"/>
          <w:szCs w:val="32"/>
        </w:rPr>
        <w:t>万元，主要是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严格执行中央八项规定，压缩接待费。</w:t>
      </w:r>
    </w:p>
    <w:p>
      <w:pPr>
        <w:widowControl/>
        <w:spacing w:line="600" w:lineRule="exact"/>
        <w:ind w:firstLine="66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>、国有资产占有情况</w:t>
      </w:r>
    </w:p>
    <w:p>
      <w:pPr>
        <w:spacing w:line="600" w:lineRule="exact"/>
        <w:ind w:firstLine="66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2"/>
          <w:szCs w:val="32"/>
        </w:rPr>
        <w:t>年止，我单位国有资产总额</w:t>
      </w:r>
      <w:r>
        <w:rPr>
          <w:rFonts w:hint="eastAsia" w:asciiTheme="minorEastAsia" w:hAnsiTheme="minorEastAsia"/>
          <w:sz w:val="32"/>
          <w:szCs w:val="32"/>
        </w:rPr>
        <w:t>5831.79</w:t>
      </w:r>
      <w:r>
        <w:rPr>
          <w:rFonts w:hint="eastAsia" w:asciiTheme="majorEastAsia" w:hAnsiTheme="majorEastAsia" w:eastAsiaTheme="majorEastAsia"/>
          <w:sz w:val="32"/>
          <w:szCs w:val="32"/>
        </w:rPr>
        <w:t>万元，其中固定资产</w:t>
      </w:r>
      <w:r>
        <w:rPr>
          <w:rFonts w:hint="eastAsia" w:asciiTheme="minorEastAsia" w:hAnsiTheme="minorEastAsia"/>
          <w:sz w:val="32"/>
          <w:szCs w:val="32"/>
        </w:rPr>
        <w:t>774.48</w:t>
      </w:r>
      <w:r>
        <w:rPr>
          <w:rFonts w:hint="eastAsia" w:asciiTheme="majorEastAsia" w:hAnsiTheme="majorEastAsia" w:eastAsiaTheme="majorEastAsia"/>
          <w:sz w:val="32"/>
          <w:szCs w:val="32"/>
        </w:rPr>
        <w:t>万元，流动资产</w:t>
      </w:r>
      <w:r>
        <w:rPr>
          <w:rFonts w:hint="eastAsia" w:asciiTheme="minorEastAsia" w:hAnsiTheme="minorEastAsia"/>
          <w:sz w:val="32"/>
          <w:szCs w:val="32"/>
        </w:rPr>
        <w:t>5057.31</w:t>
      </w:r>
      <w:r>
        <w:rPr>
          <w:rFonts w:hint="eastAsia" w:asciiTheme="majorEastAsia" w:hAnsiTheme="majorEastAsia" w:eastAsiaTheme="majorEastAsia"/>
          <w:sz w:val="32"/>
          <w:szCs w:val="32"/>
        </w:rPr>
        <w:t>万元，净资产</w:t>
      </w:r>
      <w:r>
        <w:rPr>
          <w:rFonts w:hint="eastAsia" w:asciiTheme="minorEastAsia" w:hAnsiTheme="minorEastAsia"/>
          <w:sz w:val="32"/>
          <w:szCs w:val="32"/>
        </w:rPr>
        <w:t>5112.68</w:t>
      </w:r>
      <w:r>
        <w:rPr>
          <w:rFonts w:hint="eastAsia" w:asciiTheme="majorEastAsia" w:hAnsiTheme="majorEastAsia" w:eastAsiaTheme="majorEastAsia"/>
          <w:sz w:val="32"/>
          <w:szCs w:val="32"/>
        </w:rPr>
        <w:t>万元。占用的固定资产主要有：</w:t>
      </w:r>
    </w:p>
    <w:p>
      <w:pPr>
        <w:numPr>
          <w:ilvl w:val="0"/>
          <w:numId w:val="0"/>
        </w:numPr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/>
          <w:sz w:val="32"/>
          <w:szCs w:val="32"/>
        </w:rPr>
        <w:t>土地房屋及构筑物334.72万元，价值334.72万元，其中办公用房7200平方米。</w:t>
      </w:r>
    </w:p>
    <w:p>
      <w:pPr>
        <w:numPr>
          <w:ilvl w:val="0"/>
          <w:numId w:val="0"/>
        </w:numPr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/>
          <w:sz w:val="32"/>
          <w:szCs w:val="32"/>
        </w:rPr>
        <w:t>通用设备309.88万元，其中车辆价值152.18万元（汽车8台，其中林</w:t>
      </w:r>
      <w:r>
        <w:rPr>
          <w:rFonts w:hint="eastAsia" w:asciiTheme="minorEastAsia" w:hAnsiTheme="minorEastAsia"/>
          <w:sz w:val="32"/>
          <w:szCs w:val="32"/>
          <w:lang w:eastAsia="zh-CN"/>
        </w:rPr>
        <w:t>业</w:t>
      </w:r>
      <w:r>
        <w:rPr>
          <w:rFonts w:hint="eastAsia" w:asciiTheme="minorEastAsia" w:hAnsiTheme="minorEastAsia"/>
          <w:sz w:val="32"/>
          <w:szCs w:val="32"/>
        </w:rPr>
        <w:t>执法车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台，森林防火车1台，公车改革上交县财政5台，共计价值152.18万元）。其他通用设备157.7万元，</w:t>
      </w:r>
    </w:p>
    <w:p>
      <w:pPr>
        <w:numPr>
          <w:ilvl w:val="0"/>
          <w:numId w:val="0"/>
        </w:numPr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/>
          <w:sz w:val="32"/>
          <w:szCs w:val="32"/>
        </w:rPr>
        <w:t>专用设备80.55万元。</w:t>
      </w:r>
    </w:p>
    <w:p>
      <w:pPr>
        <w:numPr>
          <w:ilvl w:val="0"/>
          <w:numId w:val="0"/>
        </w:numPr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/>
          <w:sz w:val="32"/>
          <w:szCs w:val="32"/>
        </w:rPr>
        <w:t>家具、用具、装具及动植物49.33万元。</w:t>
      </w:r>
    </w:p>
    <w:p>
      <w:pPr>
        <w:spacing w:line="600" w:lineRule="exact"/>
        <w:ind w:firstLine="39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5、预算绩效情况说明</w:t>
      </w: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按照财政部门预算绩效管理工作部署，202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</w:rPr>
        <w:t>年我单位推行部门整体和20万元以上项目绩效目标全覆盖，涉及一般公共预算拨款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3222.25</w:t>
      </w:r>
      <w:r>
        <w:rPr>
          <w:rFonts w:hint="eastAsia" w:asciiTheme="majorEastAsia" w:hAnsiTheme="majorEastAsia" w:eastAsiaTheme="majorEastAsia"/>
          <w:sz w:val="32"/>
          <w:szCs w:val="32"/>
        </w:rPr>
        <w:t>万元，其中20万元以上项目绩效目标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个，涉及一般公共预算拨款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668.5</w:t>
      </w:r>
      <w:r>
        <w:rPr>
          <w:rFonts w:hint="eastAsia" w:asciiTheme="majorEastAsia" w:hAnsiTheme="majorEastAsia" w:eastAsiaTheme="majorEastAsia"/>
          <w:sz w:val="32"/>
          <w:szCs w:val="32"/>
        </w:rPr>
        <w:t>5万元。</w:t>
      </w: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39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ind w:firstLine="6668" w:firstLineChars="2084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道县林业局</w:t>
      </w:r>
    </w:p>
    <w:p>
      <w:pPr>
        <w:spacing w:line="600" w:lineRule="exact"/>
        <w:ind w:firstLine="6668" w:firstLineChars="2084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</w:p>
    <w:p>
      <w:pPr>
        <w:spacing w:line="600" w:lineRule="exact"/>
        <w:ind w:firstLine="6400" w:firstLineChars="2000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2022年6月1日</w:t>
      </w:r>
    </w:p>
    <w:p>
      <w:pPr>
        <w:widowControl/>
        <w:spacing w:line="600" w:lineRule="exact"/>
        <w:ind w:firstLine="627" w:firstLineChars="196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beforeLines="50" w:line="460" w:lineRule="exact"/>
        <w:ind w:right="11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98F3B"/>
    <w:multiLevelType w:val="singleLevel"/>
    <w:tmpl w:val="C8D98F3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zNiMzhiOGEzOWUxY2VmNjYzMjc1ZDBlNjcyMTQifQ=="/>
  </w:docVars>
  <w:rsids>
    <w:rsidRoot w:val="0E523065"/>
    <w:rsid w:val="0E5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2023-09-26T12:16:00Z</dcterms:created>
  <dc:creator>き堇色安年ぷ</dc:creator>
  <cp:lastModifiedBy>き堇色安年ぷ</cp:lastModifiedBy>
  <dcterms:modified xsi:type="dcterms:W3CDTF">2023-09-26T12:16:12Z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C23B48A9128E47E1B8E1609495E22E11_11</vt:lpwstr>
  </property>
</Properties>
</file>