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道县供销合作社联合社</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道县供销社单位概况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w:t>
      </w:r>
      <w:r>
        <w:rPr>
          <w:rFonts w:hint="eastAsia" w:ascii="宋体" w:hAnsi="宋体" w:eastAsia="宋体" w:cs="宋体"/>
          <w:color w:val="000000"/>
          <w:kern w:val="0"/>
          <w:sz w:val="28"/>
          <w:szCs w:val="28"/>
        </w:rPr>
        <w:t>根据道政办发（2002）17号文件《关于印发道县供销合作联社职能配置、内设机构人员编制规定的通知》的规定，我单位主要工作职责：贯彻执行党和政府有关农村经济的方针、政策、法规，研究制定农村合作经济组织的发展计划，指导农村合作经济组织规范发展，加快供销合作社系统的改革步伐，把供销合作社真正办成农村合作经济组织的主体；组织协调农业生产资料的供应和各项为农服务工作，按照县人民政府授权承担重要农业生产资料、农副产品的储备，适时调控市场；协调有关部门的关系，推动全县供销社组织农民进入市场，参与大流通、大市场，发展农业产业化经营，为农业、农村和农民提供综合服务，建立和完善本系统为农业生产资料和农村经济发展服务的体系，预测预报相关的市场信息；指导供销社系统的科技开发和推广应用工作，引进、推广农业产销所需的新品种、新设施、新技术，推进科教兴社战略。</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ind w:left="210" w:leftChars="100" w:firstLine="627" w:firstLineChars="196"/>
        <w:jc w:val="left"/>
        <w:rPr>
          <w:rFonts w:ascii="宋体" w:hAnsi="宋体" w:eastAsia="宋体" w:cs="宋体"/>
          <w:color w:val="000000"/>
          <w:sz w:val="32"/>
          <w:szCs w:val="32"/>
        </w:rPr>
      </w:pPr>
      <w:r>
        <w:rPr>
          <w:rFonts w:hint="eastAsia" w:asciiTheme="minorEastAsia" w:hAnsiTheme="minorEastAsia"/>
          <w:bCs/>
          <w:kern w:val="0"/>
          <w:sz w:val="32"/>
          <w:szCs w:val="32"/>
        </w:rPr>
        <w:t>（一）内设机构设置。</w:t>
      </w:r>
      <w:r>
        <w:rPr>
          <w:rFonts w:hint="eastAsia" w:ascii="宋体" w:hAnsi="宋体" w:eastAsia="宋体" w:cs="宋体"/>
          <w:color w:val="000000"/>
          <w:sz w:val="32"/>
          <w:szCs w:val="32"/>
        </w:rPr>
        <w:t>内设办公室、人事股、财会股、合作指导股、综治办等五个职能股室，下设一个企业。事业编制32人。现有在职人数19人，退休人员32人。</w:t>
      </w:r>
    </w:p>
    <w:p>
      <w:pPr>
        <w:widowControl/>
        <w:shd w:val="clear" w:color="auto" w:fill="FFFFFF"/>
        <w:spacing w:line="580" w:lineRule="exact"/>
        <w:ind w:firstLine="640" w:firstLineChars="200"/>
        <w:jc w:val="left"/>
        <w:rPr>
          <w:rFonts w:ascii="宋体" w:hAnsi="宋体" w:eastAsia="宋体" w:cs="宋体"/>
          <w:color w:val="000000"/>
          <w:sz w:val="32"/>
          <w:szCs w:val="32"/>
        </w:rPr>
      </w:pPr>
      <w:r>
        <w:rPr>
          <w:rFonts w:hint="eastAsia" w:ascii="宋体" w:hAnsi="宋体" w:eastAsia="宋体" w:cs="宋体"/>
          <w:bCs/>
          <w:kern w:val="0"/>
          <w:sz w:val="32"/>
          <w:szCs w:val="32"/>
        </w:rPr>
        <w:t>（二）决算单位构成。</w:t>
      </w:r>
      <w:r>
        <w:rPr>
          <w:rFonts w:hint="eastAsia" w:ascii="宋体" w:hAnsi="宋体" w:eastAsia="宋体" w:cs="宋体"/>
          <w:sz w:val="32"/>
          <w:szCs w:val="32"/>
        </w:rPr>
        <w:t>供销社部门只有本级，没有其他二级预算单位，因此，纳入2021年部门预算编制范围的只有供销社部门本级。</w:t>
      </w:r>
    </w:p>
    <w:p>
      <w:pP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部门：道县供销社</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170.14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233.11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233.11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72" w:type="dxa"/>
        <w:tblInd w:w="0" w:type="dxa"/>
        <w:tblLayout w:type="autofit"/>
        <w:tblCellMar>
          <w:top w:w="0" w:type="dxa"/>
          <w:left w:w="0" w:type="dxa"/>
          <w:bottom w:w="0" w:type="dxa"/>
          <w:right w:w="0" w:type="dxa"/>
        </w:tblCellMar>
      </w:tblPr>
      <w:tblGrid>
        <w:gridCol w:w="1477"/>
        <w:gridCol w:w="106"/>
        <w:gridCol w:w="1811"/>
        <w:gridCol w:w="1621"/>
        <w:gridCol w:w="1621"/>
        <w:gridCol w:w="1621"/>
        <w:gridCol w:w="1621"/>
        <w:gridCol w:w="1621"/>
        <w:gridCol w:w="1622"/>
        <w:gridCol w:w="230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道县供销社</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233.11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233.11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51.37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51.37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20.11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20.11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20.11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20.11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商业服务业等支出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21602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商业流通事务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2160250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170.14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5"/>
        <w:tblW w:w="15521" w:type="dxa"/>
        <w:tblInd w:w="93" w:type="dxa"/>
        <w:tblLayout w:type="autofit"/>
        <w:tblCellMar>
          <w:top w:w="0" w:type="dxa"/>
          <w:left w:w="108" w:type="dxa"/>
          <w:bottom w:w="0" w:type="dxa"/>
          <w:right w:w="108" w:type="dxa"/>
        </w:tblCellMar>
      </w:tblPr>
      <w:tblGrid>
        <w:gridCol w:w="986"/>
        <w:gridCol w:w="804"/>
        <w:gridCol w:w="222"/>
        <w:gridCol w:w="1411"/>
        <w:gridCol w:w="172"/>
        <w:gridCol w:w="436"/>
        <w:gridCol w:w="1038"/>
        <w:gridCol w:w="40"/>
        <w:gridCol w:w="1639"/>
        <w:gridCol w:w="1679"/>
        <w:gridCol w:w="93"/>
        <w:gridCol w:w="632"/>
        <w:gridCol w:w="435"/>
        <w:gridCol w:w="519"/>
        <w:gridCol w:w="1054"/>
        <w:gridCol w:w="625"/>
        <w:gridCol w:w="769"/>
        <w:gridCol w:w="1394"/>
        <w:gridCol w:w="145"/>
        <w:gridCol w:w="1428"/>
      </w:tblGrid>
      <w:tr>
        <w:tblPrEx>
          <w:tblCellMar>
            <w:top w:w="0" w:type="dxa"/>
            <w:left w:w="108" w:type="dxa"/>
            <w:bottom w:w="0" w:type="dxa"/>
            <w:right w:w="108" w:type="dxa"/>
          </w:tblCellMar>
        </w:tblPrEx>
        <w:trPr>
          <w:gridAfter w:val="1"/>
          <w:wAfter w:w="1428" w:type="dxa"/>
          <w:trHeight w:val="435" w:hRule="atLeast"/>
        </w:trPr>
        <w:tc>
          <w:tcPr>
            <w:tcW w:w="14093"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1428" w:type="dxa"/>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428" w:type="dxa"/>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部门：道县供销社</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428" w:type="dxa"/>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428" w:type="dxa"/>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gridSpan w:val="4"/>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gridAfter w:val="1"/>
          <w:wAfter w:w="1428" w:type="dxa"/>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233.11</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233.11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51.37</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20.11</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20.11</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20.11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31.26</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31.26</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216</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商业服务业等支出</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170.14</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21602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商业流通事务</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170.14</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2160250</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事业运行</w:t>
            </w:r>
          </w:p>
        </w:tc>
        <w:tc>
          <w:tcPr>
            <w:tcW w:w="1646"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170.14</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170.14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28" w:type="dxa"/>
          <w:trHeight w:val="630" w:hRule="atLeast"/>
        </w:trPr>
        <w:tc>
          <w:tcPr>
            <w:tcW w:w="14093"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360" w:hRule="atLeast"/>
        </w:trPr>
        <w:tc>
          <w:tcPr>
            <w:tcW w:w="15521"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部门：道县供销社</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51.37</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51.37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170.14</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170.14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5"/>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3411"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1394" w:type="dxa"/>
            <w:gridSpan w:val="2"/>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233.11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道县供销社</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9"/>
        <w:gridCol w:w="3299"/>
        <w:gridCol w:w="2844"/>
        <w:gridCol w:w="3300"/>
        <w:gridCol w:w="2811"/>
      </w:tblGrid>
      <w:tr>
        <w:tblPrEx>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5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4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11"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233.11</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233.11</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51.37</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51.37</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31.26</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31.26</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31.26</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31.26</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216</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商业服务业等支出</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170.14</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170.14</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21602</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商业流通事务</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170.14</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170.14</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2160250</w:t>
            </w:r>
          </w:p>
        </w:tc>
        <w:tc>
          <w:tcPr>
            <w:tcW w:w="427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事业运行</w:t>
            </w:r>
          </w:p>
        </w:tc>
        <w:tc>
          <w:tcPr>
            <w:tcW w:w="284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170.14</w:t>
            </w:r>
          </w:p>
        </w:tc>
        <w:tc>
          <w:tcPr>
            <w:tcW w:w="33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170.14</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道县供销社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173.25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28.60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60.20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49.62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18.51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20.11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2.40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12.61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31.26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6.90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31.26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2.60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204.51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28.60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道县供销社</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6.90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6.90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道县供销社</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道县供销社没有政府性基金收入，也没有使用政府性基金安排的支出，故本表无数据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560" w:type="dxa"/>
            <w:tcBorders>
              <w:top w:val="nil"/>
              <w:left w:val="nil"/>
              <w:bottom w:val="nil"/>
              <w:right w:val="nil"/>
            </w:tcBorders>
            <w:shd w:val="clear" w:color="000000" w:fill="FFFFFF"/>
          </w:tcPr>
          <w:p/>
        </w:tc>
        <w:tc>
          <w:tcPr>
            <w:tcW w:w="3215" w:type="dxa"/>
            <w:gridSpan w:val="2"/>
            <w:tcBorders>
              <w:top w:val="nil"/>
              <w:left w:val="nil"/>
              <w:bottom w:val="nil"/>
              <w:right w:val="nil"/>
            </w:tcBorders>
            <w:shd w:val="clear" w:color="000000" w:fill="FFFFFF"/>
          </w:tcPr>
          <w:p>
            <w:pPr>
              <w:jc w:val="left"/>
            </w:pPr>
            <w:r>
              <w:rPr>
                <w:rFonts w:hint="eastAsia" w:ascii="宋体" w:hAnsi="宋体" w:eastAsia="宋体" w:cs="宋体"/>
                <w:color w:val="000000"/>
                <w:kern w:val="0"/>
                <w:sz w:val="20"/>
                <w:szCs w:val="20"/>
              </w:rPr>
              <w:t>道县供销社</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注：本表反映部门本年度国有资本经营预算财政拨款支出情况。</w:t>
            </w:r>
            <w:r>
              <w:rPr>
                <w:rFonts w:hint="eastAsia" w:ascii="Times New Roman" w:hAnsi="Times New Roman" w:eastAsia="仿宋_GB2312" w:cs="Times New Roman"/>
                <w:kern w:val="0"/>
                <w:szCs w:val="21"/>
              </w:rPr>
              <w:t>道县供销社没有国有资本经营预算财政拨款收入，也没有国有资本经营预算财政拨款的支出，故本表无数据</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2021年度收、支总计233.11万元。与上年相比，增加27.67万元，增长13.47%，主要是因为工资福利支出增加13.03万元，抚恤金增加15.44万元。</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2021年度收入合计233.11万元，其中：财政拨款收入233.11万元，占100%；上级补助收入0万元，占0%；事业收入0万元，占0%；经营收入0万元，占0%；附属单位上缴收入0万元，占0%；其他收入0万元，占0%。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2021年度支出合计233.11万元，其中：基本支出233.11万元，占100%；项目支出0万元，占0%；上缴上级支出0万元，占0%；经营支出0万元，占0%；对附属单位补助支出0万元，占0%。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2021年度财政拨款收、支总计233.11万元，与上年相比，增加27.67万元,增长13.47%，主要是因为工资福利支出增加13.03万元，抚恤金增加15.44万元。</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2021年度财政拨款支出233.11万元，占本年支出合计的100%，与上年相比，财政拨款支出增加27.67万元,增长13.47%，主要是因为工资福利支出增加13.03万元，抚恤金增加15.44万元。</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2021年度财政拨款支出233.11万元，主要用于以下方面：社会保障和就业支出51.37万元，占22.03%；卫生健康支出11.6万元，占4.98%；商业服务业等支出170.14万元，占72.99%。</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spacing w:before="0" w:beforeAutospacing="0" w:after="2" w:afterAutospacing="0"/>
        <w:ind w:firstLine="640"/>
        <w:rPr>
          <w:color w:val="000000"/>
          <w:sz w:val="27"/>
          <w:szCs w:val="27"/>
        </w:rPr>
      </w:pPr>
      <w:r>
        <w:rPr>
          <w:rFonts w:hint="eastAsia"/>
          <w:color w:val="000000"/>
          <w:sz w:val="32"/>
          <w:szCs w:val="32"/>
        </w:rPr>
        <w:t>2021年度财政拨款支出年初预算数为233.49万元，支出决算数为233.11万元，完成年初预算的99.83%，其中：</w:t>
      </w:r>
      <w:r>
        <w:rPr>
          <w:color w:val="000000"/>
          <w:sz w:val="27"/>
          <w:szCs w:val="27"/>
        </w:rPr>
        <w:t xml:space="preserve"> </w:t>
      </w:r>
    </w:p>
    <w:p>
      <w:pPr>
        <w:pStyle w:val="14"/>
        <w:spacing w:before="0" w:beforeAutospacing="0" w:after="2" w:afterAutospacing="0"/>
        <w:ind w:firstLine="641"/>
        <w:rPr>
          <w:color w:val="000000"/>
          <w:sz w:val="27"/>
          <w:szCs w:val="27"/>
        </w:rPr>
      </w:pPr>
      <w:r>
        <w:rPr>
          <w:rStyle w:val="7"/>
          <w:rFonts w:hint="eastAsia"/>
          <w:color w:val="000000"/>
          <w:sz w:val="32"/>
          <w:szCs w:val="32"/>
        </w:rPr>
        <w:t>1、社会保障和就业支出（类）行政事业单位养老支出（款）机关事业单位基本养老保险缴费支出（项）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年初预算为0万元，支出决算为20.11万元，超出年初预算的100%。决算数大于年初预算数的主要原因是：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7"/>
          <w:rFonts w:hint="eastAsia"/>
          <w:color w:val="000000"/>
          <w:sz w:val="32"/>
          <w:szCs w:val="32"/>
        </w:rPr>
        <w:t>2、社会保障和就业支出（类）抚恤（款）死亡抚恤（项）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年初预算为0万元，支出决算为21.26万元，超出年初预算的100%。决算数大于年初预算数的主要原因是：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7"/>
          <w:rFonts w:hint="eastAsia"/>
          <w:color w:val="000000"/>
          <w:sz w:val="32"/>
          <w:szCs w:val="32"/>
        </w:rPr>
        <w:t>3、卫生健康支出（类）行政事业单位医疗（款）行政单位医疗（项）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年初预算为0万元，支出决算为11.6万元，超出年初预算的100%。决算数大于年初预算数的主要原因是：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7"/>
          <w:rFonts w:hint="eastAsia"/>
          <w:color w:val="000000"/>
          <w:sz w:val="32"/>
          <w:szCs w:val="32"/>
        </w:rPr>
        <w:t>4、商业服务业等支出（类）商业流通事务（款）行政运行（项）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年初预算为0万元，支出决算为8.6万元，超出年初预算的100%。决算数大于年初预算数的主要原因是：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7"/>
          <w:rFonts w:hint="eastAsia"/>
          <w:color w:val="000000"/>
          <w:sz w:val="32"/>
          <w:szCs w:val="32"/>
        </w:rPr>
        <w:t>5、商业服务业等支出（类）商业流通事务（款）事业运行（项）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年初预算为233.49万元，支出决算为161.54万元，占年初预算的69.18%。决算数小于年初预算数的主要原因是：</w:t>
      </w:r>
      <w:r>
        <w:rPr>
          <w:rStyle w:val="15"/>
          <w:rFonts w:hint="eastAsia"/>
          <w:color w:val="000000"/>
          <w:sz w:val="32"/>
          <w:szCs w:val="32"/>
        </w:rPr>
        <w:t>预算项目调整</w:t>
      </w:r>
      <w:r>
        <w:rPr>
          <w:rFonts w:hint="eastAsia"/>
          <w:color w:val="000000"/>
          <w:sz w:val="32"/>
          <w:szCs w:val="32"/>
        </w:rPr>
        <w:t>。</w:t>
      </w:r>
    </w:p>
    <w:p>
      <w:pPr>
        <w:pStyle w:val="11"/>
        <w:rPr>
          <w:rFonts w:hAnsi="黑体"/>
          <w:b/>
          <w:sz w:val="32"/>
          <w:szCs w:val="32"/>
        </w:rPr>
      </w:pPr>
      <w:r>
        <w:rPr>
          <w:rFonts w:hint="eastAsia" w:hAnsi="黑体"/>
          <w:b/>
          <w:sz w:val="32"/>
          <w:szCs w:val="32"/>
        </w:rPr>
        <w:t>六、一般公共预算财政拨款基本支出决算情况说明</w:t>
      </w:r>
    </w:p>
    <w:p>
      <w:pPr>
        <w:pStyle w:val="14"/>
        <w:spacing w:before="0" w:beforeAutospacing="0" w:after="2" w:afterAutospacing="0"/>
        <w:ind w:firstLine="420"/>
        <w:rPr>
          <w:color w:val="000000"/>
          <w:sz w:val="27"/>
          <w:szCs w:val="27"/>
        </w:rPr>
      </w:pPr>
      <w:r>
        <w:rPr>
          <w:rFonts w:hint="eastAsia" w:asciiTheme="minorEastAsia" w:hAnsiTheme="minorEastAsia" w:eastAsiaTheme="minorEastAsia"/>
          <w:sz w:val="32"/>
          <w:szCs w:val="32"/>
        </w:rPr>
        <w:t>2021年度财政拨款基本支出233.11万元，其中：</w:t>
      </w:r>
      <w:r>
        <w:rPr>
          <w:rFonts w:hint="eastAsia"/>
          <w:color w:val="000000"/>
          <w:sz w:val="32"/>
          <w:szCs w:val="32"/>
        </w:rPr>
        <w:t>人员经费204.5万元，占基本支出的87.72%，主要包括：基本工资、津贴补贴、奖金、机关事业单位基本养老保险缴费、职工基本医疗保险缴费、住房公积金、抚恤金。公用经费28.6万元，占基本支出的12.28%，主要包括：办公费、水费、电费、邮电费、差旅费、维修（护）费、培训费、公务接待费、工会经费、福利费、其他交通费用、其他商品和服务支出。</w:t>
      </w:r>
      <w:r>
        <w:rPr>
          <w:color w:val="000000"/>
          <w:sz w:val="27"/>
          <w:szCs w:val="27"/>
        </w:rPr>
        <w:t xml:space="preserve"> </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2021年度“三公”经费财政拨款支出预算为7万元，支出决算为6.9万元，完成预算的98.57%，其中：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公务接待费支出预算为7万元，支出决算为6.9万元，完成预算的98.57%。</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bookmarkStart w:id="2" w:name="_GoBack"/>
      <w:bookmarkEnd w:id="2"/>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2021年度“三公”经费财政拨款支出决算中，公务接待费支出决算6.9万元，占100%,因公出国（境）费支出决算0万元，占0%,公务用车购置费及运行维护费支出决算0万元，占0%。其中：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2、公务接待费支出决算为6.9万元，全年共接待来访团组82个、来宾415人次，主要是主要是</w:t>
      </w:r>
      <w:r>
        <w:rPr>
          <w:rFonts w:hint="eastAsia" w:asciiTheme="minorEastAsia" w:hAnsiTheme="minorEastAsia" w:eastAsiaTheme="minorEastAsia"/>
        </w:rPr>
        <w:t>上级部门与兄弟县区</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3、公务用车购置费及运行维护费支出决算为0万元，其中：公务用车购置费0万元，道县供销社更新公务用车0辆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本部门2021年度机关运行经费支出28.6万元，比年上年决算数减少0.85 万元，降低2.89%。</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2021年本部门开支会议费0万元；开支培训费0.8万元，用于开展乡镇供销体系建设培训，人数30人，内容为乡镇供销体系建设。</w:t>
      </w:r>
    </w:p>
    <w:p>
      <w:pPr>
        <w:pStyle w:val="11"/>
        <w:rPr>
          <w:rFonts w:hAnsi="黑体"/>
          <w:b/>
          <w:sz w:val="32"/>
          <w:szCs w:val="32"/>
        </w:rPr>
      </w:pPr>
      <w:r>
        <w:rPr>
          <w:rFonts w:hint="eastAsia" w:hAnsi="黑体"/>
          <w:b/>
          <w:sz w:val="32"/>
          <w:szCs w:val="32"/>
        </w:rPr>
        <w:t>十一、政府采购支出说明</w:t>
      </w:r>
    </w:p>
    <w:p>
      <w:pPr>
        <w:pStyle w:val="14"/>
        <w:spacing w:before="0" w:beforeAutospacing="0" w:after="2" w:afterAutospacing="0"/>
        <w:ind w:firstLine="640"/>
        <w:jc w:val="both"/>
        <w:rPr>
          <w:color w:val="000000"/>
          <w:sz w:val="27"/>
          <w:szCs w:val="27"/>
        </w:rPr>
      </w:pPr>
      <w:r>
        <w:rPr>
          <w:rFonts w:hint="eastAsia"/>
          <w:color w:val="000000"/>
          <w:sz w:val="32"/>
          <w:szCs w:val="32"/>
        </w:rPr>
        <w:t xml:space="preserve">道县供销合作社联合社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pPr>
        <w:pStyle w:val="11"/>
        <w:rPr>
          <w:rFonts w:hAnsi="黑体"/>
          <w:b/>
          <w:sz w:val="32"/>
          <w:szCs w:val="32"/>
        </w:rPr>
      </w:pPr>
      <w:r>
        <w:rPr>
          <w:rFonts w:hint="eastAsia" w:hAnsi="黑体"/>
          <w:b/>
          <w:sz w:val="32"/>
          <w:szCs w:val="32"/>
        </w:rPr>
        <w:t>十二、国有资产占用情况说明</w:t>
      </w:r>
    </w:p>
    <w:p>
      <w:pPr>
        <w:pStyle w:val="14"/>
        <w:spacing w:before="0" w:beforeAutospacing="0" w:after="2" w:afterAutospacing="0"/>
        <w:ind w:firstLine="640"/>
        <w:rPr>
          <w:color w:val="000000"/>
          <w:sz w:val="27"/>
          <w:szCs w:val="27"/>
        </w:rPr>
      </w:pPr>
      <w:r>
        <w:rPr>
          <w:rFonts w:hint="eastAsia"/>
          <w:color w:val="000000"/>
          <w:sz w:val="32"/>
          <w:szCs w:val="32"/>
        </w:rPr>
        <w:t>截至2021年12月31日，道县供销合作社联合社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1、根据预算绩效管理要求，我部门</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年度没有一般公共预算项目支出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2、组织对本单位开展整体支出绩效评价，涉及一般公共预算支出233.11万元，政府性基金预算支出0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一是兴建供销室10家；二是以粮安水稻种植农民专业合作社联合社为龙头，引导农户种植标准化农田1.5亩，增加农民收入；三是以市“供销惠万家一网通”运营平台为依托，在全县22个乡镇（街道）建设“供销惠万家一网通”服务中心站点，构建市、县、乡、村四级贯通“供销惠万家一网通”服务体系。</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after="2" w:line="336" w:lineRule="atLeast"/>
        <w:ind w:firstLine="643"/>
        <w:rPr>
          <w:rFonts w:ascii="Calibri" w:hAnsi="Calibri"/>
          <w:color w:val="000000"/>
          <w:szCs w:val="21"/>
        </w:rPr>
      </w:pPr>
      <w:r>
        <w:rPr>
          <w:rFonts w:hint="eastAsia"/>
          <w:b/>
          <w:bCs/>
          <w:color w:val="000000"/>
          <w:sz w:val="32"/>
          <w:szCs w:val="32"/>
        </w:rPr>
        <w:t>财政拨款收入</w:t>
      </w:r>
      <w:r>
        <w:rPr>
          <w:rFonts w:hint="eastAsia"/>
          <w:color w:val="000000"/>
          <w:sz w:val="32"/>
          <w:szCs w:val="32"/>
        </w:rPr>
        <w:t>：指财政当年拨付的资金。包括一般公共预算财政拨款和政府性基金财政拨款。</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上级补助收入</w:t>
      </w:r>
      <w:r>
        <w:rPr>
          <w:rFonts w:hint="eastAsia"/>
          <w:color w:val="000000"/>
          <w:sz w:val="32"/>
          <w:szCs w:val="32"/>
        </w:rPr>
        <w:t>：指事业单位从主管部门和上级单位取得的非财政补助收入。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事业收入：</w:t>
      </w:r>
      <w:r>
        <w:rPr>
          <w:rFonts w:hint="eastAsia"/>
          <w:color w:val="000000"/>
          <w:sz w:val="32"/>
          <w:szCs w:val="32"/>
        </w:rPr>
        <w:t>指事业单位开展专业业务活动及辅助活动所取得的收入。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经营收入：</w:t>
      </w:r>
      <w:r>
        <w:rPr>
          <w:rFonts w:hint="eastAsia"/>
          <w:color w:val="000000"/>
          <w:sz w:val="32"/>
          <w:szCs w:val="32"/>
        </w:rPr>
        <w:t>指事业单位在专业业务活动及其辅助活动之外开展非独立核算经营活动取得的收入。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附属单位上缴收入</w:t>
      </w:r>
      <w:r>
        <w:rPr>
          <w:rFonts w:hint="eastAsia"/>
          <w:color w:val="000000"/>
          <w:sz w:val="32"/>
          <w:szCs w:val="32"/>
        </w:rPr>
        <w:t>：指事业单位附属独立核算单位按照有关规定上缴的收入。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其他收入</w:t>
      </w:r>
      <w:r>
        <w:rPr>
          <w:rFonts w:hint="eastAsia"/>
          <w:color w:val="000000"/>
          <w:sz w:val="32"/>
          <w:szCs w:val="32"/>
        </w:rPr>
        <w:t>：指除上述“财政拨款收入”、“事业收入”、“经营收入”等以外的收入。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用事业基金弥补收支差额</w:t>
      </w:r>
      <w:r>
        <w:rPr>
          <w:rFonts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年初结转和结余</w:t>
      </w:r>
      <w:r>
        <w:rPr>
          <w:rFonts w:hint="eastAsia"/>
          <w:color w:val="000000"/>
          <w:sz w:val="32"/>
          <w:szCs w:val="32"/>
        </w:rPr>
        <w:t>：指以前年度尚未完成、结转到本年按有关规定继续使用的资金。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结余分配</w:t>
      </w:r>
      <w:r>
        <w:rPr>
          <w:rFonts w:hint="eastAsia"/>
          <w:color w:val="000000"/>
          <w:sz w:val="32"/>
          <w:szCs w:val="32"/>
        </w:rPr>
        <w:t>：指事业事位按规定从非财政补助结余中分配的事业基金和职工福利基金等。</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年末结转和结余</w:t>
      </w:r>
      <w:r>
        <w:rPr>
          <w:rFonts w:hint="eastAsia"/>
          <w:color w:val="000000"/>
          <w:sz w:val="32"/>
          <w:szCs w:val="32"/>
        </w:rPr>
        <w:t>：指本年度或以前年度预算安排、因客观条件发生变化无法按原计划实施，需要延迟到以后年度按有关规定继续使用的资金。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基本支出</w:t>
      </w:r>
      <w:r>
        <w:rPr>
          <w:rFonts w:hint="eastAsia"/>
          <w:color w:val="000000"/>
          <w:sz w:val="32"/>
          <w:szCs w:val="32"/>
        </w:rPr>
        <w:t>：指为保障机构正常运转、完成日常工作任务而发生的人员支出和公用支出。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项目支出</w:t>
      </w:r>
      <w:r>
        <w:rPr>
          <w:rFonts w:hint="eastAsia"/>
          <w:color w:val="000000"/>
          <w:sz w:val="32"/>
          <w:szCs w:val="32"/>
        </w:rPr>
        <w:t>：指在基本支出之外为完成特定行政任务和事业发展目标所发生的支出。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经营支出</w:t>
      </w:r>
      <w:r>
        <w:rPr>
          <w:rFonts w:hint="eastAsia"/>
          <w:color w:val="000000"/>
          <w:sz w:val="32"/>
          <w:szCs w:val="32"/>
        </w:rPr>
        <w:t>：指事业单位在专业业务活动及其辅助活动之外开展非独立核算经营活动所发生的支出。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“三公”经费</w:t>
      </w:r>
      <w:r>
        <w:rPr>
          <w:rFonts w:hint="eastAsia"/>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机关运行经费</w:t>
      </w:r>
      <w:r>
        <w:rPr>
          <w:rFonts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pPr>
        <w:spacing w:after="2" w:line="336" w:lineRule="atLeast"/>
        <w:ind w:firstLine="643"/>
        <w:rPr>
          <w:rFonts w:ascii="Calibri" w:hAnsi="Calibri"/>
          <w:color w:val="000000"/>
          <w:szCs w:val="21"/>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color w:val="00000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3YTE2NWIwYjFhMDQ0MmViZDRlYjYwZmFmMjQ1ZmYifQ=="/>
  </w:docVars>
  <w:rsids>
    <w:rsidRoot w:val="004506F9"/>
    <w:rsid w:val="00005BB7"/>
    <w:rsid w:val="0002229B"/>
    <w:rsid w:val="000273BD"/>
    <w:rsid w:val="000415B7"/>
    <w:rsid w:val="00041E3F"/>
    <w:rsid w:val="0004249C"/>
    <w:rsid w:val="00055DAA"/>
    <w:rsid w:val="00061F7B"/>
    <w:rsid w:val="00065469"/>
    <w:rsid w:val="000658A3"/>
    <w:rsid w:val="00074155"/>
    <w:rsid w:val="000754F4"/>
    <w:rsid w:val="00083D38"/>
    <w:rsid w:val="000873EF"/>
    <w:rsid w:val="000A3F69"/>
    <w:rsid w:val="00103957"/>
    <w:rsid w:val="00113C05"/>
    <w:rsid w:val="00124A1F"/>
    <w:rsid w:val="00133AA3"/>
    <w:rsid w:val="00141463"/>
    <w:rsid w:val="001435AF"/>
    <w:rsid w:val="00152C6D"/>
    <w:rsid w:val="00162D39"/>
    <w:rsid w:val="001678BD"/>
    <w:rsid w:val="00182373"/>
    <w:rsid w:val="001A67DB"/>
    <w:rsid w:val="001C3C29"/>
    <w:rsid w:val="001D51E5"/>
    <w:rsid w:val="001E080D"/>
    <w:rsid w:val="001E53D0"/>
    <w:rsid w:val="001F0C3B"/>
    <w:rsid w:val="00202C14"/>
    <w:rsid w:val="00202C82"/>
    <w:rsid w:val="00211E95"/>
    <w:rsid w:val="00214427"/>
    <w:rsid w:val="00226CB7"/>
    <w:rsid w:val="00254C35"/>
    <w:rsid w:val="00264552"/>
    <w:rsid w:val="00264EF9"/>
    <w:rsid w:val="00265724"/>
    <w:rsid w:val="002712D4"/>
    <w:rsid w:val="0027426B"/>
    <w:rsid w:val="00297B5B"/>
    <w:rsid w:val="002E0A30"/>
    <w:rsid w:val="003130C4"/>
    <w:rsid w:val="00316C4B"/>
    <w:rsid w:val="0032192B"/>
    <w:rsid w:val="003479BD"/>
    <w:rsid w:val="0037197D"/>
    <w:rsid w:val="003768D5"/>
    <w:rsid w:val="003A6DCA"/>
    <w:rsid w:val="003C4197"/>
    <w:rsid w:val="003C47E6"/>
    <w:rsid w:val="003C4FC2"/>
    <w:rsid w:val="003E2331"/>
    <w:rsid w:val="00416E61"/>
    <w:rsid w:val="0042790C"/>
    <w:rsid w:val="0043046C"/>
    <w:rsid w:val="004506F9"/>
    <w:rsid w:val="004554A4"/>
    <w:rsid w:val="004717A2"/>
    <w:rsid w:val="00473DF3"/>
    <w:rsid w:val="00480B0C"/>
    <w:rsid w:val="00487911"/>
    <w:rsid w:val="00491741"/>
    <w:rsid w:val="004B0CEE"/>
    <w:rsid w:val="004C25D8"/>
    <w:rsid w:val="004F2F5C"/>
    <w:rsid w:val="00500E5F"/>
    <w:rsid w:val="005122EF"/>
    <w:rsid w:val="0051441A"/>
    <w:rsid w:val="00517C33"/>
    <w:rsid w:val="00517D5F"/>
    <w:rsid w:val="00521AF2"/>
    <w:rsid w:val="00523644"/>
    <w:rsid w:val="00537081"/>
    <w:rsid w:val="0054069E"/>
    <w:rsid w:val="00542A26"/>
    <w:rsid w:val="00544866"/>
    <w:rsid w:val="00556223"/>
    <w:rsid w:val="00557C4E"/>
    <w:rsid w:val="005767CC"/>
    <w:rsid w:val="00590D9F"/>
    <w:rsid w:val="00595D26"/>
    <w:rsid w:val="005A74E6"/>
    <w:rsid w:val="005B404E"/>
    <w:rsid w:val="005D174A"/>
    <w:rsid w:val="005D4D55"/>
    <w:rsid w:val="005E2CFB"/>
    <w:rsid w:val="005F2103"/>
    <w:rsid w:val="005F3D1C"/>
    <w:rsid w:val="00606FD8"/>
    <w:rsid w:val="00607D2D"/>
    <w:rsid w:val="0062378F"/>
    <w:rsid w:val="00624E82"/>
    <w:rsid w:val="00641842"/>
    <w:rsid w:val="00651EEC"/>
    <w:rsid w:val="00686673"/>
    <w:rsid w:val="00691E8C"/>
    <w:rsid w:val="006A22C4"/>
    <w:rsid w:val="006A348B"/>
    <w:rsid w:val="006A351B"/>
    <w:rsid w:val="006B0422"/>
    <w:rsid w:val="006C1B53"/>
    <w:rsid w:val="006C2177"/>
    <w:rsid w:val="006D7730"/>
    <w:rsid w:val="006E5284"/>
    <w:rsid w:val="006F3EB5"/>
    <w:rsid w:val="00702E34"/>
    <w:rsid w:val="00704395"/>
    <w:rsid w:val="00710FE7"/>
    <w:rsid w:val="00717621"/>
    <w:rsid w:val="00720FF1"/>
    <w:rsid w:val="00727A53"/>
    <w:rsid w:val="007812F7"/>
    <w:rsid w:val="007864F0"/>
    <w:rsid w:val="00787B42"/>
    <w:rsid w:val="007A2E9B"/>
    <w:rsid w:val="007C4539"/>
    <w:rsid w:val="007C575F"/>
    <w:rsid w:val="007F3657"/>
    <w:rsid w:val="00812ED5"/>
    <w:rsid w:val="00812F6A"/>
    <w:rsid w:val="008277D9"/>
    <w:rsid w:val="0084478C"/>
    <w:rsid w:val="0086638C"/>
    <w:rsid w:val="008A3E8D"/>
    <w:rsid w:val="008B5503"/>
    <w:rsid w:val="009237C4"/>
    <w:rsid w:val="00944C48"/>
    <w:rsid w:val="00950252"/>
    <w:rsid w:val="0095204A"/>
    <w:rsid w:val="00967F5D"/>
    <w:rsid w:val="009A0F95"/>
    <w:rsid w:val="009B3ADF"/>
    <w:rsid w:val="009C3B52"/>
    <w:rsid w:val="009E6817"/>
    <w:rsid w:val="009E6E9A"/>
    <w:rsid w:val="00A01D2B"/>
    <w:rsid w:val="00A33FA0"/>
    <w:rsid w:val="00A42218"/>
    <w:rsid w:val="00A70249"/>
    <w:rsid w:val="00A70B02"/>
    <w:rsid w:val="00A71D9F"/>
    <w:rsid w:val="00A92E9F"/>
    <w:rsid w:val="00B33BEA"/>
    <w:rsid w:val="00B44011"/>
    <w:rsid w:val="00B57C9F"/>
    <w:rsid w:val="00B63572"/>
    <w:rsid w:val="00B845B3"/>
    <w:rsid w:val="00B85D8B"/>
    <w:rsid w:val="00BB4A40"/>
    <w:rsid w:val="00BD6C3E"/>
    <w:rsid w:val="00BE3674"/>
    <w:rsid w:val="00C10681"/>
    <w:rsid w:val="00C3049A"/>
    <w:rsid w:val="00C31B1E"/>
    <w:rsid w:val="00C77645"/>
    <w:rsid w:val="00C85BEE"/>
    <w:rsid w:val="00CA3F5F"/>
    <w:rsid w:val="00CC746C"/>
    <w:rsid w:val="00CE04C3"/>
    <w:rsid w:val="00CE76A0"/>
    <w:rsid w:val="00CF54BF"/>
    <w:rsid w:val="00CF69A6"/>
    <w:rsid w:val="00D148C6"/>
    <w:rsid w:val="00D17A8A"/>
    <w:rsid w:val="00D415BA"/>
    <w:rsid w:val="00D63780"/>
    <w:rsid w:val="00D644EE"/>
    <w:rsid w:val="00D75489"/>
    <w:rsid w:val="00DD06FF"/>
    <w:rsid w:val="00DD5FE9"/>
    <w:rsid w:val="00E00C7A"/>
    <w:rsid w:val="00E034DB"/>
    <w:rsid w:val="00E209CF"/>
    <w:rsid w:val="00E37D6C"/>
    <w:rsid w:val="00E55B68"/>
    <w:rsid w:val="00E67BE6"/>
    <w:rsid w:val="00E8683C"/>
    <w:rsid w:val="00EA2B72"/>
    <w:rsid w:val="00EF03E7"/>
    <w:rsid w:val="00F05DA9"/>
    <w:rsid w:val="00F74360"/>
    <w:rsid w:val="00F7469E"/>
    <w:rsid w:val="00F9056C"/>
    <w:rsid w:val="00F91569"/>
    <w:rsid w:val="00FB462F"/>
    <w:rsid w:val="00FE16FA"/>
    <w:rsid w:val="00FE328A"/>
    <w:rsid w:val="00FE6269"/>
    <w:rsid w:val="00FF5CD6"/>
    <w:rsid w:val="1BF92D97"/>
    <w:rsid w:val="1C063A19"/>
    <w:rsid w:val="240D10DB"/>
    <w:rsid w:val="2455194A"/>
    <w:rsid w:val="27E95015"/>
    <w:rsid w:val="4ACE29F5"/>
    <w:rsid w:val="5E377FF0"/>
    <w:rsid w:val="69AC1575"/>
    <w:rsid w:val="73B7129D"/>
    <w:rsid w:val="7AAB0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qFormat/>
    <w:uiPriority w:val="99"/>
    <w:rPr>
      <w:rFonts w:cs="Times New Roman"/>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 w:type="paragraph" w:customStyle="1" w:styleId="14">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peoplefilling"/>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1963</Words>
  <Characters>11192</Characters>
  <Lines>93</Lines>
  <Paragraphs>26</Paragraphs>
  <TotalTime>0</TotalTime>
  <ScaleCrop>false</ScaleCrop>
  <LinksUpToDate>false</LinksUpToDate>
  <CharactersWithSpaces>13129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2023-09-07T01:03:00Z</dcterms:created>
  <dc:creator>李航 null</dc:creator>
  <cp:lastModifiedBy>Administrator</cp:lastModifiedBy>
  <cp:lastPrinted>2022-07-27T12:55:00Z</cp:lastPrinted>
  <dcterms:modified xsi:type="dcterms:W3CDTF">2023-09-28T05:12:03Z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