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rPr>
      </w:pPr>
      <w:r>
        <w:rPr>
          <w:rFonts w:hint="eastAsia"/>
          <w:sz w:val="84"/>
          <w:szCs w:val="84"/>
        </w:rPr>
        <w:t>道县县委党史研究室</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道县县委党史研究室</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党史研究室单位概况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（一）拟定全县党史研究和地方志编修工作规划。</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（二）征集、整理、研究中共道县地方史资料；总结历史经验，提供历史借鉴；编写道县地方史、党史大事记、组织史；编纂出版党史书刊，老同志回忆录；编写主要党史人物传记。</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（三）运用党史、地方志资料和党史，地方志研究成果，开展各种形式的党史、地情宣传教育，努力发挥党史存史资政资料，重要党史人物纪念活动。</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（四）承担全县党史联络工作。指导、组织对全县各部门专业志稿的评审、验收、出版、评奖；承担县党史联络组的日常事务性工作，组织离退休老同志做好党史联络组工作。</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（五）负责组织编修《道县志》、部门志、专业志及县志简志工作。</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（六）负责收集、整理。研究道县地方文献和县情资料，编辑出版《道县年鉴》。</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（七）承办县委、县人民政府交办的其他事项。</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2、机构设置</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本单位是县委下属正科级单位。内设机构：在职在编人员5人，见习生1人，现本单位实有人数为6人。</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党史研究室</w:t>
      </w:r>
      <w:r>
        <w:rPr>
          <w:rFonts w:hint="eastAsia" w:asciiTheme="minorEastAsia" w:hAnsiTheme="minorEastAsia"/>
          <w:bCs/>
          <w:kern w:val="0"/>
          <w:sz w:val="32"/>
          <w:szCs w:val="32"/>
        </w:rPr>
        <w:t>单位内设机构包括：综合室、党史研究和地方志编纂室、年鉴编纂等3个职能股室。</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党史研究室</w:t>
      </w:r>
      <w:r>
        <w:rPr>
          <w:rFonts w:hint="eastAsia" w:asciiTheme="minorEastAsia" w:hAnsiTheme="minorEastAsia"/>
          <w:bCs/>
          <w:kern w:val="0"/>
          <w:sz w:val="32"/>
          <w:szCs w:val="32"/>
        </w:rPr>
        <w:t>只有本级，没有其他二级预算单位，因此，纳入202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年部门预算编制范围的只有单位本级</w:t>
      </w:r>
      <w:r>
        <w:rPr>
          <w:rFonts w:hint="eastAsia" w:asciiTheme="minorEastAsia" w:hAnsiTheme="minorEastAsia"/>
          <w:bCs/>
          <w:kern w:val="0"/>
          <w:sz w:val="32"/>
          <w:szCs w:val="32"/>
          <w:lang w:eastAsia="zh-CN"/>
        </w:rPr>
        <w:t>。</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部门：道县县委党史研究室</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89.00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89.00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2091"/>
        <w:gridCol w:w="152"/>
        <w:gridCol w:w="1734"/>
        <w:gridCol w:w="1543"/>
        <w:gridCol w:w="1543"/>
        <w:gridCol w:w="1543"/>
        <w:gridCol w:w="1543"/>
        <w:gridCol w:w="1543"/>
        <w:gridCol w:w="1543"/>
        <w:gridCol w:w="2193"/>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部门：道县县委党史研究室</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80.70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80.70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80.70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80.70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部门：道县县委党史研究室</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89.00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85.36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部门：道县县委党史研究室</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80.70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道县县委党史研究室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7"/>
        <w:gridCol w:w="3291"/>
        <w:gridCol w:w="2830"/>
        <w:gridCol w:w="3284"/>
        <w:gridCol w:w="2821"/>
      </w:tblGrid>
      <w:tr>
        <w:tblPrEx>
          <w:tblCellMar>
            <w:top w:w="0" w:type="dxa"/>
            <w:left w:w="108" w:type="dxa"/>
            <w:bottom w:w="0" w:type="dxa"/>
            <w:right w:w="108" w:type="dxa"/>
          </w:tblCellMar>
        </w:tblPrEx>
        <w:trPr>
          <w:trHeight w:val="405" w:hRule="atLeast"/>
          <w:jc w:val="center"/>
        </w:trPr>
        <w:tc>
          <w:tcPr>
            <w:tcW w:w="528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3"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89.00</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85.36</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3.64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80.70</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77.06</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80.70</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77.06</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2013601</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34.20</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34.20</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2013699</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46.50</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42.86</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712" w:type="dxa"/>
        <w:tblInd w:w="0" w:type="dxa"/>
        <w:tblLayout w:type="fixed"/>
        <w:tblCellMar>
          <w:top w:w="0" w:type="dxa"/>
          <w:left w:w="108" w:type="dxa"/>
          <w:bottom w:w="0" w:type="dxa"/>
          <w:right w:w="108" w:type="dxa"/>
        </w:tblCellMar>
      </w:tblPr>
      <w:tblGrid>
        <w:gridCol w:w="1309"/>
        <w:gridCol w:w="3286"/>
        <w:gridCol w:w="992"/>
        <w:gridCol w:w="957"/>
        <w:gridCol w:w="2263"/>
        <w:gridCol w:w="980"/>
        <w:gridCol w:w="982"/>
        <w:gridCol w:w="3728"/>
        <w:gridCol w:w="1215"/>
      </w:tblGrid>
      <w:tr>
        <w:tblPrEx>
          <w:tblCellMar>
            <w:top w:w="0" w:type="dxa"/>
            <w:left w:w="108" w:type="dxa"/>
            <w:bottom w:w="0" w:type="dxa"/>
            <w:right w:w="108" w:type="dxa"/>
          </w:tblCellMar>
        </w:tblPrEx>
        <w:trPr>
          <w:trHeight w:val="113" w:hRule="atLeast"/>
        </w:trPr>
        <w:tc>
          <w:tcPr>
            <w:tcW w:w="1571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道县县委党史研究室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48.39</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33.01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21.26</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0.53</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8.20</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13.97</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3.96</w:t>
            </w: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3.96</w:t>
            </w: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4.37</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0.81</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3.93</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2.92</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5.40</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1.85</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5.40</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7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0.98</w:t>
            </w:r>
          </w:p>
        </w:tc>
        <w:tc>
          <w:tcPr>
            <w:tcW w:w="98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72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72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8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5.28</w:t>
            </w:r>
          </w:p>
        </w:tc>
        <w:tc>
          <w:tcPr>
            <w:tcW w:w="98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72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48.39</w:t>
            </w:r>
          </w:p>
        </w:tc>
        <w:tc>
          <w:tcPr>
            <w:tcW w:w="8910"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36.97</w:t>
            </w:r>
          </w:p>
        </w:tc>
      </w:tr>
      <w:tr>
        <w:tblPrEx>
          <w:tblCellMar>
            <w:top w:w="0" w:type="dxa"/>
            <w:left w:w="108" w:type="dxa"/>
            <w:bottom w:w="0" w:type="dxa"/>
            <w:right w:w="108" w:type="dxa"/>
          </w:tblCellMar>
        </w:tblPrEx>
        <w:trPr>
          <w:trHeight w:val="284" w:hRule="exact"/>
        </w:trPr>
        <w:tc>
          <w:tcPr>
            <w:tcW w:w="15712"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道县县委党史研究室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道县县委党史研究室</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道县县委党史研究室</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部门：道县县委党史研究室</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宋体" w:hAnsi="宋体" w:eastAsia="宋体" w:cs="宋体"/>
                <w:kern w:val="0"/>
                <w:sz w:val="24"/>
                <w:szCs w:val="24"/>
              </w:rPr>
              <w:t>注：</w:t>
            </w:r>
            <w:r>
              <w:rPr>
                <w:rFonts w:hint="eastAsia" w:ascii="仿宋_GB2312" w:hAnsi="仿宋_GB2312" w:eastAsia="仿宋_GB2312" w:cs="仿宋_GB2312"/>
                <w:kern w:val="0"/>
                <w:sz w:val="24"/>
                <w:szCs w:val="24"/>
              </w:rPr>
              <w:t>本表反映部门本年度国有资本经营预算财政拨款支出情况。</w:t>
            </w:r>
          </w:p>
          <w:p>
            <w:pPr>
              <w:widowControl/>
              <w:jc w:val="left"/>
              <w:rPr>
                <w:rFonts w:ascii="宋体" w:hAnsi="宋体" w:eastAsia="宋体" w:cs="宋体"/>
                <w:kern w:val="0"/>
                <w:sz w:val="24"/>
                <w:szCs w:val="24"/>
              </w:rPr>
            </w:pPr>
            <w:r>
              <w:rPr>
                <w:rFonts w:hint="eastAsia" w:ascii="仿宋_GB2312" w:hAnsi="仿宋_GB2312" w:eastAsia="仿宋_GB2312" w:cs="仿宋_GB2312"/>
                <w:kern w:val="0"/>
                <w:sz w:val="24"/>
                <w:szCs w:val="24"/>
                <w:lang w:eastAsia="zh-CN"/>
              </w:rPr>
              <w:t>道县县委党史研究室</w:t>
            </w:r>
            <w:r>
              <w:rPr>
                <w:rFonts w:hint="eastAsia" w:ascii="仿宋_GB2312" w:hAnsi="仿宋_GB2312" w:eastAsia="仿宋_GB2312" w:cs="仿宋_GB2312"/>
                <w:kern w:val="0"/>
                <w:sz w:val="24"/>
                <w:szCs w:val="24"/>
              </w:rPr>
              <w:t>没有</w:t>
            </w:r>
            <w:r>
              <w:rPr>
                <w:rFonts w:hint="eastAsia" w:ascii="仿宋_GB2312" w:hAnsi="仿宋_GB2312" w:eastAsia="仿宋_GB2312" w:cs="仿宋_GB2312"/>
                <w:kern w:val="0"/>
                <w:sz w:val="24"/>
                <w:szCs w:val="24"/>
              </w:rPr>
              <w:t>国有资本经营收入，也没有使用</w:t>
            </w:r>
            <w:r>
              <w:rPr>
                <w:rFonts w:hint="eastAsia" w:ascii="仿宋_GB2312" w:hAnsi="仿宋_GB2312" w:eastAsia="仿宋_GB2312" w:cs="仿宋_GB2312"/>
                <w:kern w:val="0"/>
                <w:sz w:val="24"/>
                <w:szCs w:val="24"/>
              </w:rPr>
              <w:t>国有资本经营</w:t>
            </w:r>
            <w:r>
              <w:rPr>
                <w:rFonts w:hint="eastAsia" w:ascii="仿宋_GB2312" w:hAnsi="仿宋_GB2312" w:eastAsia="仿宋_GB2312" w:cs="仿宋_GB2312"/>
                <w:kern w:val="0"/>
                <w:sz w:val="24"/>
                <w:szCs w:val="24"/>
                <w:lang w:eastAsia="zh-CN"/>
              </w:rPr>
              <w:t>资金</w:t>
            </w:r>
            <w:r>
              <w:rPr>
                <w:rFonts w:hint="eastAsia" w:ascii="仿宋_GB2312" w:hAnsi="仿宋_GB2312" w:eastAsia="仿宋_GB2312" w:cs="仿宋_GB2312"/>
                <w:kern w:val="0"/>
                <w:sz w:val="24"/>
                <w:szCs w:val="24"/>
              </w:rPr>
              <w:t>安排的支出，故本表无数据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640" w:firstLineChars="200"/>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89.00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基本收入和项目收入增加。</w:t>
      </w:r>
    </w:p>
    <w:p>
      <w:pPr>
        <w:pStyle w:val="9"/>
        <w:ind w:firstLine="640" w:firstLineChars="200"/>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其他收入。</w:t>
      </w:r>
    </w:p>
    <w:p>
      <w:pPr>
        <w:pStyle w:val="9"/>
        <w:numPr>
          <w:ilvl w:val="0"/>
          <w:numId w:val="0"/>
        </w:numPr>
        <w:ind w:firstLine="320" w:firstLineChars="100"/>
        <w:rPr>
          <w:rFonts w:hint="eastAsia" w:hAnsi="黑体"/>
          <w:b/>
          <w:sz w:val="32"/>
          <w:szCs w:val="32"/>
        </w:rPr>
      </w:pPr>
      <w:r>
        <w:rPr>
          <w:rFonts w:hint="eastAsia" w:hAnsi="黑体"/>
          <w:b/>
          <w:sz w:val="32"/>
          <w:szCs w:val="32"/>
          <w:lang w:val="en-US" w:eastAsia="zh-CN"/>
        </w:rPr>
        <w:t xml:space="preserve">  三、</w:t>
      </w:r>
      <w:r>
        <w:rPr>
          <w:rFonts w:hint="eastAsia" w:hAnsi="黑体"/>
          <w:b/>
          <w:sz w:val="32"/>
          <w:szCs w:val="32"/>
        </w:rPr>
        <w:t>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85.36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95.91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4.09</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2021年度收、支总计</w:t>
      </w:r>
      <w:r>
        <w:rPr>
          <w:rFonts w:hint="eastAsia" w:asciiTheme="minorEastAsia" w:hAnsiTheme="minorEastAsia" w:eastAsiaTheme="minorEastAsia"/>
          <w:sz w:val="32"/>
          <w:szCs w:val="32"/>
          <w:lang w:val="en-US" w:eastAsia="zh-CN"/>
        </w:rPr>
        <w:t>89.00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基本收入和项目收入增加。</w:t>
      </w:r>
    </w:p>
    <w:p>
      <w:pPr>
        <w:pStyle w:val="9"/>
        <w:ind w:firstLine="640" w:firstLineChars="20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2021年度收、支总计</w:t>
      </w:r>
      <w:r>
        <w:rPr>
          <w:rFonts w:hint="eastAsia" w:asciiTheme="minorEastAsia" w:hAnsiTheme="minorEastAsia" w:eastAsiaTheme="minorEastAsia"/>
          <w:sz w:val="32"/>
          <w:szCs w:val="32"/>
          <w:lang w:val="en-US" w:eastAsia="zh-CN"/>
        </w:rPr>
        <w:t>89.00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基本收入和项目收入增加。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80.70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90.67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社会保障就业支出4.37万元，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4.91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卫生健康支出3.93万元，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4.42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r>
        <w:rPr>
          <w:rFonts w:hint="eastAsia" w:asciiTheme="minorEastAsia" w:hAnsiTheme="minorEastAsia" w:eastAsiaTheme="minorEastAsia"/>
          <w:sz w:val="32"/>
          <w:szCs w:val="32"/>
          <w:lang w:val="en-US" w:eastAsia="zh-CN"/>
        </w:rPr>
        <w:t>一般公共服务支出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其他共产党事务支出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 xml:space="preserve"> 行政运行</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34.20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2、一般公共服务支出</w:t>
      </w:r>
      <w:r>
        <w:rPr>
          <w:rFonts w:hint="eastAsia" w:asciiTheme="minorEastAsia" w:hAnsiTheme="minorEastAsia" w:eastAsiaTheme="minorEastAsia"/>
          <w:sz w:val="32"/>
          <w:szCs w:val="32"/>
          <w:lang w:val="en-US" w:eastAsia="zh-CN"/>
        </w:rPr>
        <w:t>一般公共服务支出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 xml:space="preserve"> 其他共产党事务支出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其他共产党事务支出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46.50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46.50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 xml:space="preserve">  机关事业单位基本养老保险缴费支出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 xml:space="preserve"> 行政单位医疗</w:t>
      </w:r>
      <w:r>
        <w:rPr>
          <w:rFonts w:hint="eastAsia" w:asciiTheme="minorEastAsia" w:hAnsiTheme="minorEastAsia" w:eastAsiaTheme="minorEastAsia"/>
          <w:sz w:val="32"/>
          <w:szCs w:val="32"/>
        </w:rPr>
        <w:t>（项）。</w:t>
      </w:r>
    </w:p>
    <w:p>
      <w:pPr>
        <w:pStyle w:val="9"/>
        <w:ind w:firstLine="800" w:firstLineChars="250"/>
        <w:rPr>
          <w:rFonts w:hint="eastAsia" w:hAnsi="黑体"/>
          <w:b/>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3.93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hAnsi="黑体"/>
          <w:b/>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85.36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48.39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56.69</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21.26万元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8.2万元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绩效工资1.5万元，养老保险4.37万元、职业年金0.81万元、医疗保险3.93万元、住房公积金2.92万元、其他工资福利支出5.40万元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商品服务支出33.01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38.67</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0.53万元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13.97万元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差旅费1.30万元、会议费1.26万元、培训费0.44万元、公务接待费1.85万元、劳务费5.40万元、工会经费2.00万元、其他交通费0.98万元、其他商品与服务支出5.28万元；资本性支出3.96万元，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4.54</w:t>
      </w:r>
      <w:r>
        <w:rPr>
          <w:rFonts w:hint="eastAsia" w:asciiTheme="minorEastAsia" w:hAnsiTheme="minorEastAsia" w:eastAsiaTheme="minorEastAsia"/>
          <w:sz w:val="32"/>
          <w:szCs w:val="32"/>
        </w:rPr>
        <w:t>%，主要包括办公</w:t>
      </w:r>
      <w:r>
        <w:rPr>
          <w:rFonts w:hint="eastAsia" w:asciiTheme="minorEastAsia" w:hAnsiTheme="minorEastAsia" w:eastAsiaTheme="minorEastAsia"/>
          <w:sz w:val="32"/>
          <w:szCs w:val="32"/>
          <w:lang w:val="en-US" w:eastAsia="zh-CN"/>
        </w:rPr>
        <w:t>设备购置3.96万元。</w:t>
      </w:r>
    </w:p>
    <w:p>
      <w:pPr>
        <w:pStyle w:val="9"/>
        <w:numPr>
          <w:ilvl w:val="0"/>
          <w:numId w:val="2"/>
        </w:numPr>
        <w:rPr>
          <w:rFonts w:hint="eastAsia" w:hAnsi="黑体"/>
          <w:b/>
          <w:sz w:val="32"/>
          <w:szCs w:val="32"/>
        </w:rPr>
      </w:pPr>
      <w:r>
        <w:rPr>
          <w:rFonts w:hint="eastAsia" w:hAnsi="黑体"/>
          <w:b/>
          <w:sz w:val="32"/>
          <w:szCs w:val="32"/>
        </w:rPr>
        <w:t>一般公共预算财政拨款“三公”经费支出决算情况说明</w:t>
      </w:r>
    </w:p>
    <w:p>
      <w:pPr>
        <w:pStyle w:val="9"/>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2021年度“三公”经费财政拨款支出预算为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92.50</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82.50</w:t>
      </w:r>
      <w:r>
        <w:rPr>
          <w:rFonts w:hint="eastAsia" w:asciiTheme="minorEastAsia" w:hAnsiTheme="minorEastAsia" w:eastAsiaTheme="minorEastAsia"/>
          <w:sz w:val="32"/>
          <w:szCs w:val="32"/>
        </w:rPr>
        <w:t>%，决算数小于预算数的主要原因是厉行节约，控制接待规模，要求接待用餐一律从简安排，反对铺张浪费，严格控制开支项目，与上年相比</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 xml:space="preserve">。   </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9"/>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。受疫情影响，2021年度我单位未开展因公出国（出境）活动。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206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业务交流、开展业务活动</w:t>
      </w:r>
      <w:r>
        <w:rPr>
          <w:rFonts w:hint="eastAsia" w:asciiTheme="minorEastAsia" w:hAnsiTheme="minorEastAsia" w:eastAsiaTheme="minorEastAsia"/>
          <w:sz w:val="32"/>
          <w:szCs w:val="32"/>
        </w:rPr>
        <w:t>发生的接待支出。</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3、公务用车购置费及运行维护费支出决算为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万元，其中：公务用车购置费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万元。公务用车运行维护费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万元，截止2021年12月31日，我单位开支财政拨款的公务用车保有量为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85.36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1.26</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干部职工</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val="en-US" w:eastAsia="zh-CN"/>
        </w:rPr>
        <w:t>和重大会议</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安排各项日常及临时性工作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0.44</w:t>
      </w:r>
      <w:r>
        <w:rPr>
          <w:rFonts w:hint="eastAsia" w:asciiTheme="minorEastAsia" w:hAnsiTheme="minorEastAsia" w:eastAsiaTheme="minorEastAsia"/>
          <w:sz w:val="32"/>
          <w:szCs w:val="32"/>
        </w:rPr>
        <w:t>万元，用于</w:t>
      </w:r>
      <w:r>
        <w:rPr>
          <w:rFonts w:hint="eastAsia" w:asciiTheme="minorEastAsia" w:hAnsiTheme="minorEastAsia" w:eastAsiaTheme="minorEastAsia"/>
          <w:sz w:val="32"/>
          <w:szCs w:val="32"/>
          <w:lang w:val="en-US" w:eastAsia="zh-CN"/>
        </w:rPr>
        <w:t>参加上级部门举办的业务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业务培训</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3.96</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3.96</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%，其中：授予小微企业合同金额XX万元，占授予中小企业合同金额的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ind w:firstLine="640" w:firstLineChars="200"/>
        <w:rPr>
          <w:rFonts w:hint="eastAsia" w:asciiTheme="minorEastAsia" w:hAnsiTheme="minorEastAsia" w:eastAsiaTheme="minorEastAsia"/>
          <w:sz w:val="32"/>
          <w:szCs w:val="32"/>
        </w:rPr>
      </w:pPr>
    </w:p>
    <w:p>
      <w:pPr>
        <w:pStyle w:val="9"/>
        <w:rPr>
          <w:rFonts w:hAnsi="黑体"/>
          <w:b/>
          <w:sz w:val="32"/>
          <w:szCs w:val="32"/>
        </w:rPr>
      </w:pPr>
      <w:r>
        <w:rPr>
          <w:rFonts w:hint="eastAsia" w:hAnsi="黑体"/>
          <w:b/>
          <w:sz w:val="32"/>
          <w:szCs w:val="32"/>
        </w:rPr>
        <w:t>十三、2021年度预算绩效情况说明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本部门预算绩效管理开展情况、绩效目标和绩效评价报告等见附件。</w:t>
      </w: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600" w:lineRule="exact"/>
        <w:jc w:val="center"/>
        <w:rPr>
          <w:rFonts w:hint="eastAsia" w:eastAsia="黑体"/>
          <w:bCs/>
          <w:kern w:val="0"/>
          <w:sz w:val="36"/>
          <w:szCs w:val="36"/>
        </w:rPr>
      </w:pPr>
      <w:r>
        <w:rPr>
          <w:rFonts w:hint="eastAsia" w:eastAsia="黑体"/>
          <w:bCs/>
          <w:kern w:val="0"/>
          <w:sz w:val="36"/>
          <w:szCs w:val="36"/>
        </w:rPr>
        <w:t>第四部分 名词解释</w:t>
      </w:r>
    </w:p>
    <w:p>
      <w:pPr>
        <w:widowControl/>
        <w:jc w:val="left"/>
        <w:rPr>
          <w:rFonts w:hint="eastAsia" w:ascii="Cambria Math" w:hAnsi="Cambria Math" w:cs="等线"/>
          <w:color w:val="000000"/>
          <w:kern w:val="0"/>
          <w:sz w:val="32"/>
          <w:szCs w:val="32"/>
        </w:rPr>
      </w:pPr>
    </w:p>
    <w:p>
      <w:pPr>
        <w:tabs>
          <w:tab w:val="left" w:pos="246"/>
        </w:tabs>
        <w:spacing w:line="500" w:lineRule="atLeas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一</w:t>
      </w:r>
      <w:r>
        <w:rPr>
          <w:rFonts w:hint="eastAsia" w:ascii="Times New Roman" w:hAnsi="Times New Roman" w:eastAsia="仿宋_GB2312" w:cs="Times New Roman"/>
          <w:kern w:val="0"/>
          <w:sz w:val="32"/>
          <w:szCs w:val="32"/>
        </w:rPr>
        <w:t>、机关运行经费：是指本级的公用经费，包括办公及印刷费、邮电费、差旅费、会议费、福利费、日常维修费、专用资料及一般设备购置费、办公用房水电费、办公用房取暖费、办公用房物业管理费、公务用车运行维护费以及其他费用。</w:t>
      </w:r>
    </w:p>
    <w:p>
      <w:pPr>
        <w:tabs>
          <w:tab w:val="left" w:pos="246"/>
        </w:tabs>
        <w:spacing w:line="500" w:lineRule="atLeas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二</w:t>
      </w:r>
      <w:r>
        <w:rPr>
          <w:rFonts w:hint="eastAsia" w:ascii="Times New Roman" w:hAnsi="Times New Roman" w:eastAsia="仿宋_GB2312" w:cs="Times New Roman"/>
          <w:kern w:val="0"/>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widowControl/>
        <w:jc w:val="left"/>
        <w:rPr>
          <w:rFonts w:eastAsia="黑体" w:cs="黑体" w:asciiTheme="minorEastAsia" w:hAnsiTheme="minorEastAsia"/>
          <w:color w:val="000000"/>
          <w:kern w:val="0"/>
          <w:sz w:val="28"/>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880" w:firstLineChars="200"/>
        <w:jc w:val="center"/>
        <w:rPr>
          <w:rFonts w:hint="eastAsia" w:cs="黑体" w:asciiTheme="minorEastAsia" w:hAnsiTheme="minorEastAsia"/>
          <w:b/>
          <w:color w:val="000000"/>
          <w:kern w:val="0"/>
          <w:sz w:val="44"/>
          <w:szCs w:val="44"/>
        </w:rPr>
      </w:pPr>
      <w:r>
        <w:rPr>
          <w:rFonts w:hint="eastAsia" w:cs="黑体" w:asciiTheme="minorEastAsia" w:hAnsiTheme="minorEastAsia"/>
          <w:b/>
          <w:color w:val="000000"/>
          <w:kern w:val="0"/>
          <w:sz w:val="44"/>
          <w:szCs w:val="44"/>
        </w:rPr>
        <w:t>2021年度</w:t>
      </w:r>
      <w:r>
        <w:rPr>
          <w:rFonts w:hint="eastAsia" w:cs="黑体" w:asciiTheme="minorEastAsia" w:hAnsiTheme="minorEastAsia"/>
          <w:b/>
          <w:color w:val="000000"/>
          <w:kern w:val="0"/>
          <w:sz w:val="44"/>
          <w:szCs w:val="44"/>
          <w:lang w:val="en-US" w:eastAsia="zh-CN"/>
        </w:rPr>
        <w:t>党史研究室</w:t>
      </w:r>
      <w:r>
        <w:rPr>
          <w:rFonts w:hint="eastAsia" w:cs="黑体" w:asciiTheme="minorEastAsia" w:hAnsiTheme="minorEastAsia"/>
          <w:b/>
          <w:color w:val="000000"/>
          <w:kern w:val="0"/>
          <w:sz w:val="44"/>
          <w:szCs w:val="44"/>
        </w:rPr>
        <w:t>部门整体支出绩效评价报告</w:t>
      </w:r>
    </w:p>
    <w:p>
      <w:pPr>
        <w:ind w:firstLine="640" w:firstLineChars="200"/>
        <w:jc w:val="center"/>
        <w:rPr>
          <w:rFonts w:hint="eastAsia" w:cs="黑体" w:asciiTheme="minorEastAsia" w:hAnsiTheme="minorEastAsia"/>
          <w:b/>
          <w:color w:val="000000"/>
          <w:kern w:val="0"/>
          <w:sz w:val="32"/>
          <w:szCs w:val="32"/>
        </w:rPr>
      </w:pPr>
    </w:p>
    <w:p>
      <w:pPr>
        <w:adjustRightInd w:val="0"/>
        <w:snapToGrid w:val="0"/>
        <w:spacing w:line="600" w:lineRule="exact"/>
        <w:ind w:firstLine="600" w:firstLineChars="200"/>
        <w:rPr>
          <w:rFonts w:ascii="Cambria Math" w:hAnsi="Cambria Math" w:cs="Cambria Math"/>
          <w:bCs/>
          <w:sz w:val="30"/>
          <w:szCs w:val="30"/>
        </w:rPr>
      </w:pPr>
      <w:r>
        <w:rPr>
          <w:rFonts w:hint="eastAsia" w:ascii="Cambria Math" w:hAnsi="Cambria Math" w:cs="Cambria Math"/>
          <w:bCs/>
          <w:sz w:val="30"/>
          <w:szCs w:val="30"/>
        </w:rPr>
        <w:t>一、部门概况</w:t>
      </w:r>
    </w:p>
    <w:p>
      <w:pPr>
        <w:adjustRightInd w:val="0"/>
        <w:snapToGrid w:val="0"/>
        <w:spacing w:line="600" w:lineRule="exact"/>
        <w:ind w:firstLine="600" w:firstLineChars="200"/>
        <w:rPr>
          <w:rFonts w:ascii="Cambria Math" w:hAnsi="Cambria Math" w:cs="Cambria Math"/>
          <w:bCs/>
          <w:sz w:val="30"/>
          <w:szCs w:val="30"/>
        </w:rPr>
      </w:pPr>
      <w:r>
        <w:rPr>
          <w:rFonts w:hint="eastAsia" w:ascii="Cambria Math" w:hAnsi="Cambria Math" w:cs="Cambria Math"/>
          <w:bCs/>
          <w:sz w:val="30"/>
          <w:szCs w:val="30"/>
        </w:rPr>
        <w:t>（一）部门基本情况</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拟定全县党史研究和地方志编修工作规划。</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val="en-US" w:eastAsia="zh-CN"/>
        </w:rPr>
        <w:t>2、</w:t>
      </w:r>
      <w:r>
        <w:rPr>
          <w:rFonts w:hint="eastAsia" w:asciiTheme="minorEastAsia" w:hAnsiTheme="minorEastAsia"/>
          <w:bCs/>
          <w:kern w:val="0"/>
          <w:sz w:val="32"/>
          <w:szCs w:val="32"/>
        </w:rPr>
        <w:t>征集、整理、研究中共道县地方史资料；总结历史经验，提供历史借鉴；编写道县地方史、党史大事记、组织史；编纂出版党史书刊，老同志回忆录；编写主要党史人物传记。</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运用党史、地方志资料和党史，地方志研究成果，开展各种形式的党史、地情宣传教育，努力发挥党史存史资政资料，重要党史人物纪念活动。</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val="en-US" w:eastAsia="zh-CN"/>
        </w:rPr>
        <w:t>4、</w:t>
      </w:r>
      <w:r>
        <w:rPr>
          <w:rFonts w:hint="eastAsia" w:asciiTheme="minorEastAsia" w:hAnsiTheme="minorEastAsia"/>
          <w:bCs/>
          <w:kern w:val="0"/>
          <w:sz w:val="32"/>
          <w:szCs w:val="32"/>
        </w:rPr>
        <w:t>承担全县党史联络工作。指导、组织对全县各部门专业志稿的评审、验收、出版、评奖；承担县党史联络组的日常事务性工作，组织离退休老同志做好党史联络组工作。</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val="en-US" w:eastAsia="zh-CN"/>
        </w:rPr>
        <w:t>5、</w:t>
      </w:r>
      <w:r>
        <w:rPr>
          <w:rFonts w:hint="eastAsia" w:asciiTheme="minorEastAsia" w:hAnsiTheme="minorEastAsia"/>
          <w:bCs/>
          <w:kern w:val="0"/>
          <w:sz w:val="32"/>
          <w:szCs w:val="32"/>
        </w:rPr>
        <w:t>负责组织编修《道县志》、部门志、专业志及县志简志工作。</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val="en-US" w:eastAsia="zh-CN"/>
        </w:rPr>
        <w:t>6、</w:t>
      </w:r>
      <w:r>
        <w:rPr>
          <w:rFonts w:hint="eastAsia" w:asciiTheme="minorEastAsia" w:hAnsiTheme="minorEastAsia"/>
          <w:bCs/>
          <w:kern w:val="0"/>
          <w:sz w:val="32"/>
          <w:szCs w:val="32"/>
        </w:rPr>
        <w:t>负责收集、整理。研究道县地方文献和县情资料，编辑出版《道县年鉴》。</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val="en-US" w:eastAsia="zh-CN"/>
        </w:rPr>
        <w:t>7、</w:t>
      </w:r>
      <w:r>
        <w:rPr>
          <w:rFonts w:hint="eastAsia" w:asciiTheme="minorEastAsia" w:hAnsiTheme="minorEastAsia"/>
          <w:bCs/>
          <w:kern w:val="0"/>
          <w:sz w:val="32"/>
          <w:szCs w:val="32"/>
        </w:rPr>
        <w:t>承办县委、县人民政府交办的其他事项。</w:t>
      </w:r>
    </w:p>
    <w:p>
      <w:pPr>
        <w:widowControl/>
        <w:spacing w:line="600" w:lineRule="atLeast"/>
        <w:ind w:firstLine="600" w:firstLineChars="200"/>
        <w:rPr>
          <w:rFonts w:hint="eastAsia" w:ascii="Cambria Math" w:hAnsi="Cambria Math" w:cs="Cambria Math"/>
          <w:bCs/>
          <w:sz w:val="30"/>
          <w:szCs w:val="30"/>
        </w:rPr>
      </w:pPr>
    </w:p>
    <w:p>
      <w:pPr>
        <w:adjustRightInd w:val="0"/>
        <w:snapToGrid w:val="0"/>
        <w:spacing w:line="600" w:lineRule="exact"/>
        <w:ind w:firstLine="600" w:firstLineChars="200"/>
        <w:rPr>
          <w:rFonts w:ascii="Cambria Math" w:hAnsi="Cambria Math" w:cs="Cambria Math"/>
          <w:bCs/>
          <w:sz w:val="30"/>
          <w:szCs w:val="30"/>
        </w:rPr>
      </w:pPr>
      <w:r>
        <w:rPr>
          <w:rFonts w:hint="eastAsia" w:ascii="Cambria Math" w:hAnsi="Cambria Math" w:cs="Cambria Math"/>
          <w:bCs/>
          <w:sz w:val="30"/>
          <w:szCs w:val="30"/>
        </w:rPr>
        <w:t>二、部门整体收支情况</w:t>
      </w:r>
    </w:p>
    <w:p>
      <w:pPr>
        <w:ind w:firstLine="600" w:firstLineChars="200"/>
        <w:rPr>
          <w:rFonts w:ascii="Cambria Math" w:hAnsi="Cambria Math" w:cs="Cambria Math"/>
          <w:bCs/>
          <w:sz w:val="30"/>
          <w:szCs w:val="30"/>
        </w:rPr>
      </w:pPr>
      <w:r>
        <w:rPr>
          <w:rFonts w:hint="eastAsia" w:ascii="Cambria Math" w:hAnsi="Cambria Math" w:cs="Cambria Math"/>
          <w:bCs/>
          <w:sz w:val="30"/>
          <w:szCs w:val="30"/>
        </w:rPr>
        <w:t>1.收入决算:20</w:t>
      </w:r>
      <w:r>
        <w:rPr>
          <w:rFonts w:hint="eastAsia" w:ascii="Cambria Math" w:hAnsi="Cambria Math" w:cs="Cambria Math"/>
          <w:bCs/>
          <w:sz w:val="30"/>
          <w:szCs w:val="30"/>
          <w:lang w:val="en-US" w:eastAsia="zh-CN"/>
        </w:rPr>
        <w:t>21</w:t>
      </w:r>
      <w:r>
        <w:rPr>
          <w:rFonts w:hint="eastAsia" w:ascii="Cambria Math" w:hAnsi="Cambria Math" w:cs="Cambria Math"/>
          <w:bCs/>
          <w:sz w:val="30"/>
          <w:szCs w:val="30"/>
        </w:rPr>
        <w:t>年本单位决算收入</w:t>
      </w:r>
      <w:r>
        <w:rPr>
          <w:rFonts w:hint="eastAsia" w:ascii="Cambria Math" w:hAnsi="Cambria Math" w:cs="Cambria Math"/>
          <w:bCs/>
          <w:sz w:val="30"/>
          <w:szCs w:val="30"/>
          <w:lang w:val="en-US" w:eastAsia="zh-CN"/>
        </w:rPr>
        <w:t>89.00</w:t>
      </w:r>
      <w:r>
        <w:rPr>
          <w:rFonts w:hint="eastAsia" w:ascii="Cambria Math" w:hAnsi="Cambria Math" w:cs="Cambria Math"/>
          <w:bCs/>
          <w:sz w:val="30"/>
          <w:szCs w:val="30"/>
        </w:rPr>
        <w:t>万元，其中：财政拨款收入</w:t>
      </w:r>
      <w:r>
        <w:rPr>
          <w:rFonts w:hint="eastAsia" w:ascii="Cambria Math" w:hAnsi="Cambria Math" w:cs="Cambria Math"/>
          <w:bCs/>
          <w:sz w:val="30"/>
          <w:szCs w:val="30"/>
          <w:lang w:val="en-US" w:eastAsia="zh-CN"/>
        </w:rPr>
        <w:t>89.00</w:t>
      </w:r>
      <w:r>
        <w:rPr>
          <w:rFonts w:hint="eastAsia" w:ascii="Cambria Math" w:hAnsi="Cambria Math" w:cs="Cambria Math"/>
          <w:bCs/>
          <w:sz w:val="30"/>
          <w:szCs w:val="30"/>
        </w:rPr>
        <w:t>万元。</w:t>
      </w:r>
    </w:p>
    <w:p>
      <w:pPr>
        <w:ind w:firstLine="600" w:firstLineChars="200"/>
        <w:rPr>
          <w:rFonts w:hint="eastAsia" w:ascii="Cambria Math" w:hAnsi="Cambria Math" w:cs="Cambria Math"/>
          <w:bCs/>
          <w:color w:val="auto"/>
          <w:sz w:val="30"/>
          <w:szCs w:val="30"/>
        </w:rPr>
      </w:pPr>
      <w:r>
        <w:rPr>
          <w:rFonts w:hint="eastAsia" w:ascii="Cambria Math" w:hAnsi="Cambria Math" w:cs="Cambria Math"/>
          <w:bCs/>
          <w:sz w:val="30"/>
          <w:szCs w:val="30"/>
        </w:rPr>
        <w:t>2.支出决算：20</w:t>
      </w:r>
      <w:r>
        <w:rPr>
          <w:rFonts w:hint="eastAsia" w:ascii="Cambria Math" w:hAnsi="Cambria Math" w:cs="Cambria Math"/>
          <w:bCs/>
          <w:sz w:val="30"/>
          <w:szCs w:val="30"/>
          <w:lang w:val="en-US" w:eastAsia="zh-CN"/>
        </w:rPr>
        <w:t>21</w:t>
      </w:r>
      <w:r>
        <w:rPr>
          <w:rFonts w:hint="eastAsia" w:ascii="Cambria Math" w:hAnsi="Cambria Math" w:cs="Cambria Math"/>
          <w:bCs/>
          <w:sz w:val="30"/>
          <w:szCs w:val="30"/>
        </w:rPr>
        <w:t>年支出决算数</w:t>
      </w:r>
      <w:r>
        <w:rPr>
          <w:rFonts w:hint="eastAsia" w:ascii="Cambria Math" w:hAnsi="Cambria Math" w:cs="Cambria Math"/>
          <w:bCs/>
          <w:sz w:val="30"/>
          <w:szCs w:val="30"/>
          <w:lang w:val="en-US" w:eastAsia="zh-CN"/>
        </w:rPr>
        <w:t>89.00</w:t>
      </w:r>
      <w:r>
        <w:rPr>
          <w:rFonts w:hint="eastAsia" w:ascii="Cambria Math" w:hAnsi="Cambria Math" w:cs="Cambria Math"/>
          <w:bCs/>
          <w:sz w:val="30"/>
          <w:szCs w:val="30"/>
        </w:rPr>
        <w:t>万元；其中：</w:t>
      </w:r>
      <w:r>
        <w:rPr>
          <w:rFonts w:hint="eastAsia" w:ascii="Cambria Math" w:hAnsi="Cambria Math" w:cs="Cambria Math"/>
          <w:bCs/>
          <w:color w:val="auto"/>
          <w:sz w:val="30"/>
          <w:szCs w:val="30"/>
        </w:rPr>
        <w:t>基本支出</w:t>
      </w:r>
      <w:r>
        <w:rPr>
          <w:rFonts w:hint="eastAsia" w:ascii="Cambria Math" w:hAnsi="Cambria Math" w:cs="Cambria Math"/>
          <w:bCs/>
          <w:color w:val="auto"/>
          <w:sz w:val="30"/>
          <w:szCs w:val="30"/>
          <w:lang w:val="en-US" w:eastAsia="zh-CN"/>
        </w:rPr>
        <w:t>85.36</w:t>
      </w:r>
      <w:r>
        <w:rPr>
          <w:rFonts w:hint="eastAsia" w:ascii="Cambria Math" w:hAnsi="Cambria Math" w:cs="Cambria Math"/>
          <w:bCs/>
          <w:color w:val="auto"/>
          <w:sz w:val="30"/>
          <w:szCs w:val="30"/>
        </w:rPr>
        <w:t>万元，项目支出</w:t>
      </w:r>
      <w:r>
        <w:rPr>
          <w:rFonts w:hint="eastAsia" w:ascii="Cambria Math" w:hAnsi="Cambria Math" w:cs="Cambria Math"/>
          <w:bCs/>
          <w:color w:val="auto"/>
          <w:sz w:val="30"/>
          <w:szCs w:val="30"/>
          <w:lang w:val="en-US" w:eastAsia="zh-CN"/>
        </w:rPr>
        <w:t>3.64</w:t>
      </w:r>
      <w:r>
        <w:rPr>
          <w:rFonts w:hint="eastAsia" w:ascii="Cambria Math" w:hAnsi="Cambria Math" w:cs="Cambria Math"/>
          <w:bCs/>
          <w:color w:val="auto"/>
          <w:sz w:val="30"/>
          <w:szCs w:val="30"/>
        </w:rPr>
        <w:t>万元。</w:t>
      </w:r>
    </w:p>
    <w:p>
      <w:pPr>
        <w:ind w:firstLine="600" w:firstLineChars="200"/>
        <w:rPr>
          <w:rFonts w:hint="eastAsia" w:ascii="Cambria Math" w:hAnsi="Cambria Math" w:cs="Cambria Math"/>
          <w:bCs/>
          <w:color w:val="auto"/>
          <w:sz w:val="30"/>
          <w:szCs w:val="30"/>
        </w:rPr>
      </w:pPr>
    </w:p>
    <w:p>
      <w:pPr>
        <w:ind w:firstLine="600" w:firstLineChars="200"/>
        <w:rPr>
          <w:rFonts w:ascii="Cambria Math" w:hAnsi="Cambria Math" w:cs="Cambria Math"/>
          <w:bCs/>
          <w:color w:val="auto"/>
          <w:sz w:val="30"/>
          <w:szCs w:val="30"/>
        </w:rPr>
      </w:pPr>
      <w:r>
        <w:rPr>
          <w:rFonts w:hint="eastAsia" w:ascii="Cambria Math" w:hAnsi="Cambria Math" w:cs="Cambria Math"/>
          <w:bCs/>
          <w:color w:val="auto"/>
          <w:sz w:val="30"/>
          <w:szCs w:val="30"/>
        </w:rPr>
        <w:t>三、一般公共预算拨款支出决算</w:t>
      </w:r>
    </w:p>
    <w:p>
      <w:pPr>
        <w:ind w:firstLine="600" w:firstLineChars="200"/>
        <w:rPr>
          <w:rFonts w:ascii="Cambria Math" w:hAnsi="Cambria Math" w:cs="Cambria Math"/>
          <w:bCs/>
          <w:color w:val="auto"/>
          <w:sz w:val="30"/>
          <w:szCs w:val="30"/>
        </w:rPr>
      </w:pPr>
      <w:r>
        <w:rPr>
          <w:rFonts w:hint="eastAsia" w:ascii="Cambria Math" w:hAnsi="Cambria Math" w:cs="Cambria Math"/>
          <w:bCs/>
          <w:color w:val="auto"/>
          <w:sz w:val="30"/>
          <w:szCs w:val="30"/>
        </w:rPr>
        <w:t>20</w:t>
      </w:r>
      <w:r>
        <w:rPr>
          <w:rFonts w:hint="eastAsia" w:ascii="Cambria Math" w:hAnsi="Cambria Math" w:cs="Cambria Math"/>
          <w:bCs/>
          <w:color w:val="auto"/>
          <w:sz w:val="30"/>
          <w:szCs w:val="30"/>
          <w:lang w:val="en-US" w:eastAsia="zh-CN"/>
        </w:rPr>
        <w:t>21</w:t>
      </w:r>
      <w:r>
        <w:rPr>
          <w:rFonts w:hint="eastAsia" w:ascii="Cambria Math" w:hAnsi="Cambria Math" w:cs="Cambria Math"/>
          <w:bCs/>
          <w:color w:val="auto"/>
          <w:sz w:val="30"/>
          <w:szCs w:val="30"/>
        </w:rPr>
        <w:t>年一般公共预算拨款支出</w:t>
      </w:r>
      <w:r>
        <w:rPr>
          <w:rFonts w:hint="eastAsia" w:ascii="Cambria Math" w:hAnsi="Cambria Math" w:cs="Cambria Math"/>
          <w:bCs/>
          <w:color w:val="auto"/>
          <w:sz w:val="30"/>
          <w:szCs w:val="30"/>
          <w:lang w:val="en-US" w:eastAsia="zh-CN"/>
        </w:rPr>
        <w:t>89.00</w:t>
      </w:r>
      <w:r>
        <w:rPr>
          <w:rFonts w:hint="eastAsia" w:ascii="Cambria Math" w:hAnsi="Cambria Math" w:cs="Cambria Math"/>
          <w:bCs/>
          <w:color w:val="auto"/>
          <w:sz w:val="30"/>
          <w:szCs w:val="30"/>
        </w:rPr>
        <w:t>万元，具体安排情况如下：</w:t>
      </w:r>
    </w:p>
    <w:p>
      <w:pPr>
        <w:numPr>
          <w:ilvl w:val="0"/>
          <w:numId w:val="3"/>
        </w:numPr>
        <w:ind w:firstLine="600" w:firstLineChars="200"/>
        <w:rPr>
          <w:rFonts w:ascii="Cambria Math" w:hAnsi="Cambria Math" w:cs="Cambria Math"/>
          <w:bCs/>
          <w:color w:val="auto"/>
          <w:sz w:val="30"/>
          <w:szCs w:val="30"/>
        </w:rPr>
      </w:pPr>
      <w:r>
        <w:rPr>
          <w:rFonts w:hint="eastAsia" w:ascii="Cambria Math" w:hAnsi="Cambria Math" w:cs="Cambria Math"/>
          <w:bCs/>
          <w:color w:val="auto"/>
          <w:sz w:val="30"/>
          <w:szCs w:val="30"/>
        </w:rPr>
        <w:t>基本支出：</w:t>
      </w:r>
      <w:r>
        <w:rPr>
          <w:rFonts w:hint="eastAsia" w:ascii="Cambria Math" w:hAnsi="Cambria Math" w:cs="Cambria Math"/>
          <w:bCs/>
          <w:color w:val="auto"/>
          <w:sz w:val="30"/>
          <w:szCs w:val="30"/>
          <w:lang w:val="en-US" w:eastAsia="zh-CN"/>
        </w:rPr>
        <w:t>85.36</w:t>
      </w:r>
      <w:r>
        <w:rPr>
          <w:rFonts w:hint="eastAsia" w:ascii="Cambria Math" w:hAnsi="Cambria Math" w:cs="Cambria Math"/>
          <w:bCs/>
          <w:color w:val="auto"/>
          <w:sz w:val="30"/>
          <w:szCs w:val="30"/>
        </w:rPr>
        <w:t>万元。其中</w:t>
      </w:r>
    </w:p>
    <w:p>
      <w:pPr>
        <w:pStyle w:val="9"/>
        <w:ind w:firstLine="600" w:firstLineChars="200"/>
        <w:rPr>
          <w:rFonts w:hint="eastAsia" w:asciiTheme="minorEastAsia" w:hAnsiTheme="minorEastAsia" w:eastAsiaTheme="minorEastAsia"/>
          <w:sz w:val="32"/>
          <w:szCs w:val="32"/>
        </w:rPr>
      </w:pPr>
      <w:r>
        <w:rPr>
          <w:rFonts w:hint="eastAsia" w:ascii="Cambria Math" w:hAnsi="Cambria Math" w:cs="Cambria Math"/>
          <w:bCs/>
          <w:sz w:val="30"/>
          <w:szCs w:val="30"/>
          <w:lang w:eastAsia="zh-CN"/>
        </w:rPr>
        <w:t>（</w:t>
      </w:r>
      <w:r>
        <w:rPr>
          <w:rFonts w:hint="eastAsia" w:ascii="Cambria Math" w:hAnsi="Cambria Math" w:cs="Cambria Math"/>
          <w:bCs/>
          <w:sz w:val="30"/>
          <w:szCs w:val="30"/>
          <w:lang w:val="en-US" w:eastAsia="zh-CN"/>
        </w:rPr>
        <w:t>1）</w:t>
      </w:r>
      <w:r>
        <w:rPr>
          <w:rFonts w:hint="eastAsia" w:ascii="Cambria Math" w:hAnsi="Cambria Math" w:cs="Cambria Math"/>
          <w:bCs/>
          <w:sz w:val="30"/>
          <w:szCs w:val="30"/>
        </w:rPr>
        <w:t>工资福利支出</w:t>
      </w:r>
      <w:r>
        <w:rPr>
          <w:rFonts w:hint="eastAsia" w:ascii="Cambria Math" w:hAnsi="Cambria Math" w:cs="Cambria Math"/>
          <w:bCs/>
          <w:sz w:val="30"/>
          <w:szCs w:val="30"/>
          <w:lang w:val="en-US" w:eastAsia="zh-CN"/>
        </w:rPr>
        <w:t>48.39</w:t>
      </w:r>
      <w:r>
        <w:rPr>
          <w:rFonts w:hint="eastAsia" w:ascii="Cambria Math" w:hAnsi="Cambria Math" w:cs="Cambria Math"/>
          <w:bCs/>
          <w:sz w:val="30"/>
          <w:szCs w:val="30"/>
        </w:rPr>
        <w:t>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56.69</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21.26万元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8.2万元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绩效工资1.5万元，养老保险4.37万元、职业年金0.81万元、医疗保险3.93万元、住房公积金2.92万元、其他工资福利支出5.40万元。</w:t>
      </w:r>
    </w:p>
    <w:p>
      <w:pPr>
        <w:pStyle w:val="9"/>
        <w:numPr>
          <w:ilvl w:val="0"/>
          <w:numId w:val="0"/>
        </w:numPr>
        <w:ind w:firstLine="600" w:firstLineChars="200"/>
        <w:rPr>
          <w:rFonts w:hint="eastAsia" w:asciiTheme="minorEastAsia" w:hAnsiTheme="minorEastAsia" w:eastAsiaTheme="minorEastAsia"/>
          <w:sz w:val="32"/>
          <w:szCs w:val="32"/>
        </w:rPr>
      </w:pPr>
      <w:r>
        <w:rPr>
          <w:rFonts w:hint="eastAsia" w:ascii="Cambria Math" w:hAnsi="Cambria Math" w:cs="Cambria Math"/>
          <w:bCs/>
          <w:sz w:val="30"/>
          <w:szCs w:val="30"/>
        </w:rPr>
        <w:t>（2）机关运行经费</w:t>
      </w:r>
      <w:r>
        <w:rPr>
          <w:rFonts w:hint="eastAsia" w:ascii="Cambria Math" w:hAnsi="Cambria Math" w:cs="Cambria Math"/>
          <w:bCs/>
          <w:sz w:val="30"/>
          <w:szCs w:val="30"/>
          <w:lang w:val="en-US" w:eastAsia="zh-CN"/>
        </w:rPr>
        <w:t>33.01</w:t>
      </w:r>
      <w:r>
        <w:rPr>
          <w:rFonts w:hint="eastAsia" w:ascii="Cambria Math" w:hAnsi="Cambria Math" w:cs="Cambria Math"/>
          <w:bCs/>
          <w:sz w:val="30"/>
          <w:szCs w:val="30"/>
        </w:rPr>
        <w:t>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38.67</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0.53万元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13.97万元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差旅费1.30万元、会议费1.26万元、培训费0.44万元、公务接待费1.85万元、劳务费5.40万元、工会经费2.00万元、其他交通费0.98万元、其他商品与服务支出5.28万元</w:t>
      </w:r>
      <w:r>
        <w:rPr>
          <w:rFonts w:hint="eastAsia" w:asciiTheme="minorEastAsia" w:hAnsiTheme="minorEastAsia" w:eastAsiaTheme="minorEastAsia"/>
          <w:sz w:val="32"/>
          <w:szCs w:val="32"/>
        </w:rPr>
        <w:t>。</w:t>
      </w:r>
    </w:p>
    <w:p>
      <w:pPr>
        <w:pStyle w:val="9"/>
        <w:ind w:firstLine="600" w:firstLineChars="200"/>
        <w:rPr>
          <w:rFonts w:hint="default" w:asciiTheme="minorEastAsia" w:hAnsiTheme="minorEastAsia" w:eastAsiaTheme="minorEastAsia"/>
          <w:sz w:val="32"/>
          <w:szCs w:val="32"/>
          <w:lang w:val="en-US" w:eastAsia="zh-CN"/>
        </w:rPr>
      </w:pPr>
      <w:r>
        <w:rPr>
          <w:rFonts w:hint="eastAsia" w:ascii="Cambria Math" w:hAnsi="Cambria Math" w:cs="Cambria Math"/>
          <w:bCs/>
          <w:sz w:val="30"/>
          <w:szCs w:val="30"/>
          <w:lang w:eastAsia="zh-CN"/>
        </w:rPr>
        <w:t>（</w:t>
      </w:r>
      <w:r>
        <w:rPr>
          <w:rFonts w:hint="eastAsia" w:ascii="Cambria Math" w:hAnsi="Cambria Math" w:cs="Cambria Math"/>
          <w:bCs/>
          <w:sz w:val="30"/>
          <w:szCs w:val="30"/>
          <w:lang w:val="en-US" w:eastAsia="zh-CN"/>
        </w:rPr>
        <w:t>3）资本性支出3.96万元。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4.54</w:t>
      </w:r>
      <w:r>
        <w:rPr>
          <w:rFonts w:hint="eastAsia" w:asciiTheme="minorEastAsia" w:hAnsiTheme="minorEastAsia" w:eastAsiaTheme="minorEastAsia"/>
          <w:sz w:val="32"/>
          <w:szCs w:val="32"/>
        </w:rPr>
        <w:t>%，主要包括办公</w:t>
      </w:r>
      <w:r>
        <w:rPr>
          <w:rFonts w:hint="eastAsia" w:asciiTheme="minorEastAsia" w:hAnsiTheme="minorEastAsia" w:eastAsiaTheme="minorEastAsia"/>
          <w:sz w:val="32"/>
          <w:szCs w:val="32"/>
          <w:lang w:val="en-US" w:eastAsia="zh-CN"/>
        </w:rPr>
        <w:t>设备购置3.96万元。</w:t>
      </w:r>
    </w:p>
    <w:p>
      <w:pPr>
        <w:pStyle w:val="9"/>
        <w:ind w:firstLine="750" w:firstLineChars="250"/>
        <w:rPr>
          <w:rFonts w:asciiTheme="minorEastAsia" w:hAnsiTheme="minorEastAsia" w:eastAsiaTheme="minorEastAsia"/>
          <w:sz w:val="32"/>
          <w:szCs w:val="32"/>
        </w:rPr>
      </w:pPr>
      <w:r>
        <w:rPr>
          <w:rFonts w:hint="eastAsia" w:ascii="Cambria Math" w:hAnsi="Cambria Math" w:cs="Cambria Math"/>
          <w:bCs/>
          <w:color w:val="auto"/>
          <w:kern w:val="2"/>
          <w:sz w:val="30"/>
          <w:szCs w:val="30"/>
          <w:lang w:val="en-US" w:eastAsia="zh-CN" w:bidi="ar-SA"/>
        </w:rPr>
        <w:t>2、</w:t>
      </w:r>
      <w:r>
        <w:rPr>
          <w:rFonts w:hint="eastAsia" w:cs="黑体" w:asciiTheme="minorEastAsia" w:hAnsiTheme="minorEastAsia" w:eastAsiaTheme="minorEastAsia"/>
          <w:color w:val="000000"/>
          <w:kern w:val="0"/>
          <w:sz w:val="32"/>
          <w:szCs w:val="32"/>
          <w:lang w:val="en-US" w:eastAsia="zh-CN" w:bidi="ar-SA"/>
        </w:rPr>
        <w:t>三公经费使用情况：2021年度本单位“三公”经费总额为</w:t>
      </w:r>
      <w:r>
        <w:rPr>
          <w:rFonts w:hint="eastAsia" w:cs="黑体" w:asciiTheme="minorEastAsia" w:hAnsiTheme="minorEastAsia"/>
          <w:color w:val="000000"/>
          <w:kern w:val="0"/>
          <w:sz w:val="32"/>
          <w:szCs w:val="32"/>
          <w:lang w:val="en-US" w:eastAsia="zh-CN" w:bidi="ar-SA"/>
        </w:rPr>
        <w:t>1.85</w:t>
      </w:r>
      <w:r>
        <w:rPr>
          <w:rFonts w:hint="eastAsia" w:cs="黑体" w:asciiTheme="minorEastAsia" w:hAnsiTheme="minorEastAsia" w:eastAsiaTheme="minorEastAsia"/>
          <w:color w:val="000000"/>
          <w:kern w:val="0"/>
          <w:sz w:val="32"/>
          <w:szCs w:val="32"/>
          <w:lang w:val="en-US" w:eastAsia="zh-CN" w:bidi="ar-SA"/>
        </w:rPr>
        <w:t>万元，其中：公务接待费</w:t>
      </w:r>
      <w:r>
        <w:rPr>
          <w:rFonts w:hint="eastAsia" w:cs="黑体" w:asciiTheme="minorEastAsia" w:hAnsiTheme="minorEastAsia"/>
          <w:color w:val="000000"/>
          <w:kern w:val="0"/>
          <w:sz w:val="32"/>
          <w:szCs w:val="32"/>
          <w:lang w:val="en-US" w:eastAsia="zh-CN" w:bidi="ar-SA"/>
        </w:rPr>
        <w:t>1.85</w:t>
      </w:r>
      <w:r>
        <w:rPr>
          <w:rFonts w:hint="eastAsia" w:cs="黑体" w:asciiTheme="minorEastAsia" w:hAnsiTheme="minorEastAsia" w:eastAsiaTheme="minorEastAsia"/>
          <w:color w:val="000000"/>
          <w:kern w:val="0"/>
          <w:sz w:val="32"/>
          <w:szCs w:val="32"/>
          <w:lang w:val="en-US" w:eastAsia="zh-CN" w:bidi="ar-SA"/>
        </w:rPr>
        <w:t>万元，与上年相比</w:t>
      </w:r>
      <w:r>
        <w:rPr>
          <w:rFonts w:hint="eastAsia" w:cs="黑体" w:asciiTheme="minorEastAsia" w:hAnsiTheme="minorEastAsia"/>
          <w:color w:val="000000"/>
          <w:kern w:val="0"/>
          <w:sz w:val="32"/>
          <w:szCs w:val="32"/>
          <w:lang w:val="en-US" w:eastAsia="zh-CN" w:bidi="ar-SA"/>
        </w:rPr>
        <w:t>持平</w:t>
      </w:r>
      <w:r>
        <w:rPr>
          <w:rFonts w:hint="eastAsia" w:cs="黑体" w:asciiTheme="minorEastAsia" w:hAnsiTheme="minorEastAsia" w:eastAsiaTheme="minorEastAsia"/>
          <w:color w:val="000000"/>
          <w:kern w:val="0"/>
          <w:sz w:val="32"/>
          <w:szCs w:val="32"/>
          <w:lang w:val="en-US" w:eastAsia="zh-CN" w:bidi="ar-SA"/>
        </w:rPr>
        <w:t>。国内公务接待23批次，接待人数206人。主要是业务交流、开展业务活动发生的接待支出</w:t>
      </w:r>
      <w:r>
        <w:rPr>
          <w:rFonts w:hint="eastAsia" w:cs="黑体" w:asciiTheme="minorEastAsia" w:hAnsiTheme="minorEastAsia"/>
          <w:color w:val="000000"/>
          <w:kern w:val="0"/>
          <w:sz w:val="32"/>
          <w:szCs w:val="32"/>
          <w:lang w:val="en-US" w:eastAsia="zh-CN" w:bidi="ar-SA"/>
        </w:rPr>
        <w:t>。</w:t>
      </w:r>
    </w:p>
    <w:p>
      <w:pPr>
        <w:widowControl/>
        <w:spacing w:line="600" w:lineRule="atLeast"/>
        <w:rPr>
          <w:rFonts w:hint="eastAsia" w:cs="黑体" w:asciiTheme="minorEastAsia" w:hAnsiTheme="minorEastAsia" w:eastAsiaTheme="minorEastAsia"/>
          <w:color w:val="000000"/>
          <w:kern w:val="0"/>
          <w:sz w:val="32"/>
          <w:szCs w:val="32"/>
          <w:lang w:val="en-US" w:eastAsia="zh-CN" w:bidi="ar-SA"/>
        </w:rPr>
      </w:pPr>
    </w:p>
    <w:p>
      <w:pPr>
        <w:widowControl/>
        <w:spacing w:line="600" w:lineRule="atLeas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四、部门整体支出管理情况</w:t>
      </w:r>
    </w:p>
    <w:p>
      <w:pPr>
        <w:widowControl/>
        <w:shd w:val="clear" w:color="auto" w:fill="FFFFFF"/>
        <w:ind w:firstLine="57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领导高度重视，遵守中央八项规定，厉行节约，减少了公务接待活动，“三公”经费实现了有效压缩。</w:t>
      </w:r>
    </w:p>
    <w:p>
      <w:pPr>
        <w:widowControl/>
        <w:shd w:val="clear" w:color="auto" w:fill="FFFFFF"/>
        <w:ind w:firstLine="570"/>
        <w:jc w:val="left"/>
        <w:rPr>
          <w:rFonts w:hint="eastAsia" w:cs="黑体" w:asciiTheme="minorEastAsia" w:hAnsiTheme="minorEastAsia" w:eastAsiaTheme="minorEastAsia"/>
          <w:color w:val="000000"/>
          <w:kern w:val="0"/>
          <w:sz w:val="32"/>
          <w:szCs w:val="32"/>
          <w:lang w:val="en-US" w:eastAsia="zh-CN" w:bidi="ar-SA"/>
        </w:rPr>
      </w:pPr>
    </w:p>
    <w:p>
      <w:pPr>
        <w:widowControl/>
        <w:spacing w:line="600" w:lineRule="atLeast"/>
        <w:ind w:firstLine="480" w:firstLineChars="15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五、部门整体支出绩效情况</w:t>
      </w:r>
    </w:p>
    <w:p>
      <w:pPr>
        <w:adjustRightInd w:val="0"/>
        <w:snapToGrid w:val="0"/>
        <w:spacing w:line="600" w:lineRule="exac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1、确保了干部职工工资正常发放和机关的正常运转，有利于社会稳定和单位团结。</w:t>
      </w:r>
    </w:p>
    <w:p>
      <w:pPr>
        <w:adjustRightInd w:val="0"/>
        <w:snapToGrid w:val="0"/>
        <w:spacing w:line="600" w:lineRule="exac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2、保障社会保障就业支出，职工的医疗保险和养老保险支出得到保障。</w:t>
      </w:r>
    </w:p>
    <w:p>
      <w:pPr>
        <w:adjustRightInd w:val="0"/>
        <w:snapToGrid w:val="0"/>
        <w:spacing w:line="600" w:lineRule="exac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3、项目经费</w:t>
      </w:r>
      <w:r>
        <w:rPr>
          <w:rFonts w:hint="eastAsia" w:cs="黑体" w:asciiTheme="minorEastAsia" w:hAnsiTheme="minorEastAsia"/>
          <w:color w:val="000000"/>
          <w:kern w:val="0"/>
          <w:sz w:val="32"/>
          <w:szCs w:val="32"/>
          <w:lang w:val="en-US" w:eastAsia="zh-CN" w:bidi="ar-SA"/>
        </w:rPr>
        <w:t>3.64</w:t>
      </w:r>
      <w:r>
        <w:rPr>
          <w:rFonts w:hint="eastAsia" w:cs="黑体" w:asciiTheme="minorEastAsia" w:hAnsiTheme="minorEastAsia" w:eastAsiaTheme="minorEastAsia"/>
          <w:color w:val="000000"/>
          <w:kern w:val="0"/>
          <w:sz w:val="32"/>
          <w:szCs w:val="32"/>
          <w:lang w:val="en-US" w:eastAsia="zh-CN" w:bidi="ar-SA"/>
        </w:rPr>
        <w:t>万元全部用于2021年度《</w:t>
      </w:r>
      <w:r>
        <w:rPr>
          <w:rFonts w:hint="eastAsia" w:cs="黑体" w:asciiTheme="minorEastAsia" w:hAnsiTheme="minorEastAsia"/>
          <w:color w:val="000000"/>
          <w:kern w:val="0"/>
          <w:sz w:val="32"/>
          <w:szCs w:val="32"/>
          <w:lang w:val="en-US" w:eastAsia="zh-CN" w:bidi="ar-SA"/>
        </w:rPr>
        <w:t>道县年鉴</w:t>
      </w:r>
      <w:r>
        <w:rPr>
          <w:rFonts w:hint="eastAsia" w:cs="黑体" w:asciiTheme="minorEastAsia" w:hAnsiTheme="minorEastAsia" w:eastAsiaTheme="minorEastAsia"/>
          <w:color w:val="000000"/>
          <w:kern w:val="0"/>
          <w:sz w:val="32"/>
          <w:szCs w:val="32"/>
          <w:lang w:val="en-US" w:eastAsia="zh-CN" w:bidi="ar-SA"/>
        </w:rPr>
        <w:t>》</w:t>
      </w:r>
      <w:r>
        <w:rPr>
          <w:rFonts w:hint="eastAsia" w:cs="黑体" w:asciiTheme="minorEastAsia" w:hAnsiTheme="minorEastAsia"/>
          <w:color w:val="000000"/>
          <w:kern w:val="0"/>
          <w:sz w:val="32"/>
          <w:szCs w:val="32"/>
          <w:lang w:val="en-US" w:eastAsia="zh-CN" w:bidi="ar-SA"/>
        </w:rPr>
        <w:t>编纂</w:t>
      </w:r>
      <w:r>
        <w:rPr>
          <w:rFonts w:hint="eastAsia" w:cs="黑体" w:asciiTheme="minorEastAsia" w:hAnsiTheme="minorEastAsia" w:eastAsiaTheme="minorEastAsia"/>
          <w:color w:val="000000"/>
          <w:kern w:val="0"/>
          <w:sz w:val="32"/>
          <w:szCs w:val="32"/>
          <w:lang w:val="en-US" w:eastAsia="zh-CN" w:bidi="ar-SA"/>
        </w:rPr>
        <w:t>，保障工作的顺利完成。</w:t>
      </w:r>
    </w:p>
    <w:p>
      <w:pPr>
        <w:widowControl/>
        <w:spacing w:line="600" w:lineRule="atLeast"/>
        <w:rPr>
          <w:rFonts w:hint="eastAsia" w:ascii="Cambria Math" w:hAnsi="Cambria Math" w:cs="Cambria Math"/>
          <w:bCs/>
          <w:sz w:val="30"/>
          <w:szCs w:val="30"/>
        </w:rPr>
      </w:pPr>
    </w:p>
    <w:p>
      <w:pPr>
        <w:widowControl/>
        <w:spacing w:line="600" w:lineRule="atLeast"/>
        <w:rPr>
          <w:rFonts w:ascii="Cambria Math" w:hAnsi="Cambria Math" w:cs="Cambria Math"/>
          <w:bCs/>
          <w:sz w:val="30"/>
          <w:szCs w:val="30"/>
        </w:rPr>
      </w:pPr>
      <w:r>
        <w:rPr>
          <w:rFonts w:hint="eastAsia" w:ascii="Cambria Math" w:hAnsi="Cambria Math" w:cs="Cambria Math"/>
          <w:bCs/>
          <w:sz w:val="30"/>
          <w:szCs w:val="30"/>
        </w:rPr>
        <w:t>六、结合《部门整体支出绩效评价指标表》评价得分8</w:t>
      </w:r>
      <w:r>
        <w:rPr>
          <w:rFonts w:ascii="Cambria Math" w:hAnsi="Cambria Math" w:cs="Cambria Math"/>
          <w:bCs/>
          <w:sz w:val="30"/>
          <w:szCs w:val="30"/>
        </w:rPr>
        <w:t>6.4</w:t>
      </w:r>
      <w:r>
        <w:rPr>
          <w:rFonts w:hint="eastAsia" w:ascii="Cambria Math" w:hAnsi="Cambria Math" w:cs="Cambria Math"/>
          <w:bCs/>
          <w:sz w:val="30"/>
          <w:szCs w:val="30"/>
        </w:rPr>
        <w:t>分（见附件）。</w:t>
      </w:r>
    </w:p>
    <w:p>
      <w:pPr>
        <w:spacing w:line="360" w:lineRule="auto"/>
        <w:ind w:right="480" w:firstLine="640" w:firstLineChars="200"/>
        <w:jc w:val="center"/>
        <w:rPr>
          <w:rFonts w:hint="eastAsia" w:ascii="宋体" w:hAnsi="宋体" w:eastAsia="宋体" w:cs="Times New Roman"/>
          <w:b/>
          <w:bCs/>
          <w:sz w:val="32"/>
          <w:szCs w:val="32"/>
        </w:rPr>
      </w:pPr>
      <w:r>
        <w:rPr>
          <w:rFonts w:hint="eastAsia" w:ascii="宋体" w:hAnsi="宋体" w:eastAsia="宋体" w:cs="Times New Roman"/>
          <w:b/>
          <w:bCs/>
          <w:sz w:val="32"/>
          <w:szCs w:val="32"/>
        </w:rPr>
        <w:t>20</w:t>
      </w:r>
      <w:r>
        <w:rPr>
          <w:rFonts w:hint="eastAsia" w:ascii="宋体" w:hAnsi="宋体" w:eastAsia="宋体" w:cs="Times New Roman"/>
          <w:b/>
          <w:bCs/>
          <w:sz w:val="32"/>
          <w:szCs w:val="32"/>
          <w:lang w:val="en-US" w:eastAsia="zh-CN"/>
        </w:rPr>
        <w:t>21</w:t>
      </w:r>
      <w:r>
        <w:rPr>
          <w:rFonts w:hint="eastAsia" w:ascii="宋体" w:hAnsi="宋体" w:eastAsia="宋体" w:cs="Times New Roman"/>
          <w:b/>
          <w:bCs/>
          <w:sz w:val="32"/>
          <w:szCs w:val="32"/>
        </w:rPr>
        <w:t>年</w:t>
      </w:r>
      <w:r>
        <w:rPr>
          <w:rFonts w:hint="eastAsia" w:ascii="宋体" w:hAnsi="宋体" w:eastAsia="宋体" w:cs="Times New Roman"/>
          <w:b/>
          <w:bCs/>
          <w:sz w:val="32"/>
          <w:szCs w:val="32"/>
          <w:lang w:val="en-US" w:eastAsia="zh-CN"/>
        </w:rPr>
        <w:t>党史研究室</w:t>
      </w:r>
      <w:r>
        <w:rPr>
          <w:rFonts w:hint="eastAsia" w:ascii="宋体" w:hAnsi="宋体" w:eastAsia="宋体" w:cs="Times New Roman"/>
          <w:b/>
          <w:bCs/>
          <w:sz w:val="32"/>
          <w:szCs w:val="32"/>
        </w:rPr>
        <w:t>部门整体支出绩效评价指标表</w:t>
      </w:r>
    </w:p>
    <w:p>
      <w:pPr>
        <w:spacing w:line="360" w:lineRule="auto"/>
        <w:ind w:right="480" w:firstLine="480" w:firstLineChars="200"/>
        <w:jc w:val="center"/>
        <w:rPr>
          <w:rFonts w:ascii="黑体" w:hAnsi="黑体" w:eastAsia="黑体" w:cs="Arial"/>
          <w:sz w:val="24"/>
        </w:rPr>
      </w:pPr>
    </w:p>
    <w:tbl>
      <w:tblPr>
        <w:tblStyle w:val="5"/>
        <w:tblW w:w="0" w:type="auto"/>
        <w:tblInd w:w="0" w:type="dxa"/>
        <w:tblLayout w:type="fixed"/>
        <w:tblCellMar>
          <w:top w:w="0" w:type="dxa"/>
          <w:left w:w="108" w:type="dxa"/>
          <w:bottom w:w="0" w:type="dxa"/>
          <w:right w:w="108" w:type="dxa"/>
        </w:tblCellMar>
      </w:tblPr>
      <w:tblGrid>
        <w:gridCol w:w="660"/>
        <w:gridCol w:w="725"/>
        <w:gridCol w:w="712"/>
        <w:gridCol w:w="3682"/>
        <w:gridCol w:w="2888"/>
        <w:gridCol w:w="654"/>
      </w:tblGrid>
      <w:tr>
        <w:tblPrEx>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一级指标</w:t>
            </w:r>
          </w:p>
        </w:tc>
        <w:tc>
          <w:tcPr>
            <w:tcW w:w="72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二级指标</w:t>
            </w: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三级指标</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评价标准</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备注</w:t>
            </w: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得分</w:t>
            </w:r>
          </w:p>
        </w:tc>
      </w:tr>
      <w:tr>
        <w:tblPrEx>
          <w:tblCellMar>
            <w:top w:w="0" w:type="dxa"/>
            <w:left w:w="108" w:type="dxa"/>
            <w:bottom w:w="0" w:type="dxa"/>
            <w:right w:w="108" w:type="dxa"/>
          </w:tblCellMar>
        </w:tblPrEx>
        <w:trPr>
          <w:trHeight w:val="1520" w:hRule="atLeast"/>
        </w:trPr>
        <w:tc>
          <w:tcPr>
            <w:tcW w:w="660" w:type="dxa"/>
            <w:vMerge w:val="restart"/>
            <w:tcBorders>
              <w:top w:val="nil"/>
              <w:left w:val="single" w:color="auto" w:sz="4" w:space="0"/>
              <w:right w:val="single" w:color="auto" w:sz="4" w:space="0"/>
            </w:tcBorders>
            <w:noWrap w:val="0"/>
            <w:textDirection w:val="tbRlV"/>
            <w:vAlign w:val="center"/>
          </w:tcPr>
          <w:p>
            <w:pPr>
              <w:spacing w:line="400" w:lineRule="exact"/>
              <w:jc w:val="center"/>
              <w:rPr>
                <w:rFonts w:ascii="黑体" w:hAnsi="黑体" w:eastAsia="黑体" w:cs="宋体"/>
                <w:kern w:val="0"/>
                <w:szCs w:val="21"/>
              </w:rPr>
            </w:pPr>
            <w:r>
              <w:rPr>
                <w:rFonts w:hint="eastAsia" w:ascii="黑体" w:hAnsi="黑体" w:eastAsia="黑体" w:cs="宋体"/>
                <w:kern w:val="0"/>
                <w:szCs w:val="21"/>
              </w:rPr>
              <w:t>投    入</w:t>
            </w:r>
          </w:p>
        </w:tc>
        <w:tc>
          <w:tcPr>
            <w:tcW w:w="725" w:type="dxa"/>
            <w:tcBorders>
              <w:top w:val="nil"/>
              <w:left w:val="single" w:color="auto" w:sz="4" w:space="0"/>
              <w:bottom w:val="single" w:color="auto" w:sz="4" w:space="0"/>
              <w:right w:val="single" w:color="auto" w:sz="4" w:space="0"/>
            </w:tcBorders>
            <w:noWrap w:val="0"/>
            <w:vAlign w:val="center"/>
          </w:tcPr>
          <w:p>
            <w:pPr>
              <w:widowControl/>
              <w:spacing w:line="400" w:lineRule="exact"/>
              <w:rPr>
                <w:rFonts w:ascii="黑体" w:hAnsi="黑体" w:eastAsia="黑体" w:cs="宋体"/>
                <w:kern w:val="0"/>
                <w:szCs w:val="21"/>
              </w:rPr>
            </w:pPr>
            <w:r>
              <w:rPr>
                <w:rFonts w:hint="eastAsia" w:ascii="黑体" w:hAnsi="黑体" w:eastAsia="黑体" w:cs="宋体"/>
                <w:kern w:val="0"/>
                <w:szCs w:val="21"/>
              </w:rPr>
              <w:t>目标设定（8分）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绩效目标设定（8分）</w:t>
            </w:r>
          </w:p>
        </w:tc>
        <w:tc>
          <w:tcPr>
            <w:tcW w:w="3682" w:type="dxa"/>
            <w:tcBorders>
              <w:top w:val="nil"/>
              <w:left w:val="nil"/>
              <w:bottom w:val="single" w:color="auto" w:sz="4" w:space="0"/>
              <w:right w:val="single" w:color="auto" w:sz="4" w:space="0"/>
            </w:tcBorders>
            <w:noWrap w:val="0"/>
            <w:vAlign w:val="center"/>
          </w:tcPr>
          <w:p>
            <w:pPr>
              <w:widowControl/>
              <w:spacing w:line="400" w:lineRule="exact"/>
              <w:ind w:left="-531" w:leftChars="-253" w:firstLine="558" w:firstLineChars="266"/>
              <w:jc w:val="center"/>
              <w:rPr>
                <w:rFonts w:ascii="黑体" w:hAnsi="黑体" w:eastAsia="黑体" w:cs="宋体"/>
                <w:kern w:val="0"/>
                <w:szCs w:val="21"/>
              </w:rPr>
            </w:pPr>
            <w:r>
              <w:rPr>
                <w:rFonts w:hint="eastAsia" w:ascii="黑体" w:hAnsi="黑体" w:eastAsia="黑体" w:cs="宋体"/>
                <w:kern w:val="0"/>
                <w:szCs w:val="21"/>
              </w:rPr>
              <w:t>整体支出绩效目标设立是否符合国家法律法规和社会发展总的规划计4分；与部门“三定方案”和中远期发展相符计4分。</w:t>
            </w:r>
          </w:p>
        </w:tc>
        <w:tc>
          <w:tcPr>
            <w:tcW w:w="2888" w:type="dxa"/>
            <w:tcBorders>
              <w:top w:val="nil"/>
              <w:left w:val="nil"/>
              <w:bottom w:val="single" w:color="auto" w:sz="4" w:space="0"/>
              <w:right w:val="single" w:color="auto" w:sz="4" w:space="0"/>
            </w:tcBorders>
            <w:noWrap w:val="0"/>
            <w:vAlign w:val="center"/>
          </w:tcPr>
          <w:p>
            <w:pPr>
              <w:widowControl/>
              <w:numPr>
                <w:ilvl w:val="0"/>
                <w:numId w:val="4"/>
              </w:numPr>
              <w:spacing w:line="400" w:lineRule="exact"/>
              <w:ind w:right="-107" w:rightChars="-51"/>
              <w:jc w:val="left"/>
              <w:rPr>
                <w:rFonts w:ascii="黑体" w:hAnsi="黑体" w:eastAsia="黑体" w:cs="宋体"/>
                <w:kern w:val="0"/>
                <w:szCs w:val="21"/>
              </w:rPr>
            </w:pPr>
            <w:r>
              <w:rPr>
                <w:rFonts w:hint="eastAsia" w:ascii="黑体" w:hAnsi="黑体" w:eastAsia="黑体" w:cs="宋体"/>
                <w:kern w:val="0"/>
                <w:szCs w:val="21"/>
              </w:rPr>
              <w:t>按要求进行了绩效目标编制；</w:t>
            </w:r>
          </w:p>
          <w:p>
            <w:pPr>
              <w:widowControl/>
              <w:numPr>
                <w:ilvl w:val="0"/>
                <w:numId w:val="4"/>
              </w:numPr>
              <w:spacing w:line="400" w:lineRule="exact"/>
              <w:ind w:right="-107" w:rightChars="-51"/>
              <w:jc w:val="left"/>
              <w:rPr>
                <w:rFonts w:ascii="黑体" w:hAnsi="黑体" w:eastAsia="黑体" w:cs="宋体"/>
                <w:kern w:val="0"/>
                <w:szCs w:val="21"/>
              </w:rPr>
            </w:pPr>
            <w:r>
              <w:rPr>
                <w:rFonts w:hint="eastAsia" w:ascii="黑体" w:hAnsi="黑体" w:eastAsia="黑体" w:cs="宋体"/>
                <w:kern w:val="0"/>
                <w:szCs w:val="21"/>
              </w:rPr>
              <w:t>按“三定”方案确定职责；</w:t>
            </w:r>
          </w:p>
          <w:p>
            <w:pPr>
              <w:widowControl/>
              <w:numPr>
                <w:ilvl w:val="0"/>
                <w:numId w:val="4"/>
              </w:numPr>
              <w:spacing w:line="400" w:lineRule="exact"/>
              <w:ind w:right="-107" w:rightChars="-51"/>
              <w:jc w:val="left"/>
              <w:rPr>
                <w:rFonts w:ascii="黑体" w:hAnsi="黑体" w:eastAsia="黑体" w:cs="宋体"/>
                <w:kern w:val="0"/>
                <w:szCs w:val="21"/>
              </w:rPr>
            </w:pPr>
            <w:r>
              <w:rPr>
                <w:rFonts w:hint="eastAsia" w:ascii="黑体" w:hAnsi="黑体" w:eastAsia="黑体" w:cs="宋体"/>
                <w:kern w:val="0"/>
                <w:szCs w:val="21"/>
              </w:rPr>
              <w:t>制定了部门中远期发展规划。</w:t>
            </w: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7</w:t>
            </w:r>
          </w:p>
        </w:tc>
      </w:tr>
      <w:tr>
        <w:tblPrEx>
          <w:tblCellMar>
            <w:top w:w="0" w:type="dxa"/>
            <w:left w:w="108" w:type="dxa"/>
            <w:bottom w:w="0" w:type="dxa"/>
            <w:right w:w="108" w:type="dxa"/>
          </w:tblCellMar>
        </w:tblPrEx>
        <w:trPr>
          <w:trHeight w:val="1520" w:hRule="atLeast"/>
        </w:trPr>
        <w:tc>
          <w:tcPr>
            <w:tcW w:w="660" w:type="dxa"/>
            <w:vMerge w:val="continue"/>
            <w:tcBorders>
              <w:left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预算配置(12分)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财政供养人员控制率（3分）</w:t>
            </w:r>
          </w:p>
        </w:tc>
        <w:tc>
          <w:tcPr>
            <w:tcW w:w="3682" w:type="dxa"/>
            <w:tcBorders>
              <w:top w:val="nil"/>
              <w:left w:val="nil"/>
              <w:bottom w:val="single" w:color="auto" w:sz="4" w:space="0"/>
              <w:right w:val="single" w:color="auto" w:sz="4" w:space="0"/>
            </w:tcBorders>
            <w:noWrap w:val="0"/>
            <w:vAlign w:val="center"/>
          </w:tcPr>
          <w:p>
            <w:pPr>
              <w:widowControl/>
              <w:spacing w:line="400" w:lineRule="exact"/>
              <w:ind w:left="-531" w:leftChars="-253" w:firstLine="558" w:firstLineChars="266"/>
              <w:rPr>
                <w:rFonts w:ascii="黑体" w:hAnsi="黑体" w:eastAsia="黑体" w:cs="宋体"/>
                <w:kern w:val="0"/>
                <w:szCs w:val="21"/>
              </w:rPr>
            </w:pPr>
            <w:r>
              <w:rPr>
                <w:rFonts w:hint="eastAsia" w:ascii="黑体" w:hAnsi="黑体" w:eastAsia="黑体" w:cs="宋体"/>
                <w:kern w:val="0"/>
                <w:szCs w:val="21"/>
              </w:rPr>
              <w:t>以100%为标准。</w:t>
            </w:r>
          </w:p>
          <w:p>
            <w:pPr>
              <w:widowControl/>
              <w:spacing w:line="400" w:lineRule="exact"/>
              <w:ind w:left="-531" w:leftChars="-253" w:firstLine="558" w:firstLineChars="266"/>
              <w:rPr>
                <w:rFonts w:ascii="黑体" w:hAnsi="黑体" w:eastAsia="黑体" w:cs="宋体"/>
                <w:kern w:val="0"/>
                <w:szCs w:val="21"/>
              </w:rPr>
            </w:pPr>
            <w:r>
              <w:rPr>
                <w:rFonts w:hint="eastAsia" w:ascii="黑体" w:hAnsi="黑体" w:eastAsia="黑体" w:cs="宋体"/>
                <w:kern w:val="0"/>
                <w:szCs w:val="21"/>
              </w:rPr>
              <w:t>在职人员控制率≦  100%，计3分；</w:t>
            </w:r>
          </w:p>
          <w:p>
            <w:pPr>
              <w:widowControl/>
              <w:spacing w:line="400" w:lineRule="exact"/>
              <w:ind w:left="-531" w:leftChars="-253" w:firstLine="558" w:firstLineChars="266"/>
              <w:jc w:val="center"/>
              <w:rPr>
                <w:rFonts w:ascii="黑体" w:hAnsi="黑体" w:eastAsia="黑体" w:cs="宋体"/>
                <w:kern w:val="0"/>
                <w:szCs w:val="21"/>
              </w:rPr>
            </w:pPr>
            <w:r>
              <w:rPr>
                <w:rFonts w:hint="eastAsia" w:ascii="黑体" w:hAnsi="黑体" w:eastAsia="黑体" w:cs="宋体"/>
                <w:kern w:val="0"/>
                <w:szCs w:val="21"/>
              </w:rPr>
              <w:t>每超过一个百分点扣0.5分，扣完为止。</w:t>
            </w:r>
          </w:p>
        </w:tc>
        <w:tc>
          <w:tcPr>
            <w:tcW w:w="2888" w:type="dxa"/>
            <w:tcBorders>
              <w:top w:val="nil"/>
              <w:left w:val="nil"/>
              <w:bottom w:val="single" w:color="auto" w:sz="4" w:space="0"/>
              <w:right w:val="single" w:color="auto" w:sz="4" w:space="0"/>
            </w:tcBorders>
            <w:noWrap w:val="0"/>
            <w:vAlign w:val="center"/>
          </w:tcPr>
          <w:p>
            <w:pPr>
              <w:widowControl/>
              <w:spacing w:line="400" w:lineRule="exact"/>
              <w:ind w:left="210" w:right="-107" w:rightChars="-51" w:hanging="210" w:hangingChars="100"/>
              <w:jc w:val="left"/>
              <w:rPr>
                <w:rFonts w:ascii="黑体" w:hAnsi="黑体" w:eastAsia="黑体" w:cs="宋体"/>
                <w:kern w:val="0"/>
                <w:szCs w:val="21"/>
              </w:rPr>
            </w:pPr>
            <w:r>
              <w:rPr>
                <w:rFonts w:hint="eastAsia" w:ascii="黑体" w:hAnsi="黑体" w:eastAsia="黑体" w:cs="宋体"/>
                <w:kern w:val="0"/>
                <w:szCs w:val="21"/>
              </w:rPr>
              <w:t>财政预算</w:t>
            </w:r>
            <w:r>
              <w:rPr>
                <w:rFonts w:hint="eastAsia" w:ascii="黑体" w:hAnsi="黑体" w:eastAsia="黑体" w:cs="宋体"/>
                <w:kern w:val="0"/>
                <w:szCs w:val="21"/>
                <w:lang w:val="en-US" w:eastAsia="zh-CN"/>
              </w:rPr>
              <w:t>5</w:t>
            </w:r>
            <w:r>
              <w:rPr>
                <w:rFonts w:hint="eastAsia" w:ascii="黑体" w:hAnsi="黑体" w:eastAsia="黑体" w:cs="宋体"/>
                <w:kern w:val="0"/>
                <w:szCs w:val="21"/>
              </w:rPr>
              <w:t>人，实际在职</w:t>
            </w:r>
            <w:r>
              <w:rPr>
                <w:rFonts w:hint="eastAsia" w:ascii="黑体" w:hAnsi="黑体" w:eastAsia="黑体" w:cs="宋体"/>
                <w:kern w:val="0"/>
                <w:szCs w:val="21"/>
                <w:lang w:val="en-US" w:eastAsia="zh-CN"/>
              </w:rPr>
              <w:t>5</w:t>
            </w:r>
            <w:r>
              <w:rPr>
                <w:rFonts w:hint="eastAsia" w:ascii="黑体" w:hAnsi="黑体" w:eastAsia="黑体" w:cs="宋体"/>
                <w:kern w:val="0"/>
                <w:szCs w:val="21"/>
              </w:rPr>
              <w:t xml:space="preserve">人，在职控制率= </w:t>
            </w:r>
            <w:r>
              <w:rPr>
                <w:rFonts w:hint="eastAsia" w:ascii="黑体" w:hAnsi="黑体" w:eastAsia="黑体" w:cs="宋体"/>
                <w:kern w:val="0"/>
                <w:szCs w:val="21"/>
                <w:lang w:val="en-US" w:eastAsia="zh-CN"/>
              </w:rPr>
              <w:t>5</w:t>
            </w:r>
            <w:r>
              <w:rPr>
                <w:rFonts w:hint="eastAsia" w:ascii="黑体" w:hAnsi="黑体" w:eastAsia="黑体" w:cs="宋体"/>
                <w:kern w:val="0"/>
                <w:szCs w:val="21"/>
              </w:rPr>
              <w:t xml:space="preserve"> /</w:t>
            </w:r>
            <w:r>
              <w:rPr>
                <w:rFonts w:hint="eastAsia" w:ascii="黑体" w:hAnsi="黑体" w:eastAsia="黑体" w:cs="宋体"/>
                <w:kern w:val="0"/>
                <w:szCs w:val="21"/>
                <w:lang w:val="en-US" w:eastAsia="zh-CN"/>
              </w:rPr>
              <w:t>5</w:t>
            </w:r>
            <w:r>
              <w:rPr>
                <w:rFonts w:hint="eastAsia" w:ascii="黑体" w:hAnsi="黑体" w:eastAsia="黑体" w:cs="宋体"/>
                <w:kern w:val="0"/>
                <w:szCs w:val="21"/>
              </w:rPr>
              <w:t xml:space="preserve"> *100%=100 %</w:t>
            </w: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3</w:t>
            </w:r>
          </w:p>
        </w:tc>
      </w:tr>
      <w:tr>
        <w:tblPrEx>
          <w:tblCellMar>
            <w:top w:w="0" w:type="dxa"/>
            <w:left w:w="108" w:type="dxa"/>
            <w:bottom w:w="0" w:type="dxa"/>
            <w:right w:w="108" w:type="dxa"/>
          </w:tblCellMar>
        </w:tblPrEx>
        <w:trPr>
          <w:trHeight w:val="960" w:hRule="atLeast"/>
        </w:trPr>
        <w:tc>
          <w:tcPr>
            <w:tcW w:w="660" w:type="dxa"/>
            <w:vMerge w:val="continue"/>
            <w:tcBorders>
              <w:left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“三公经费”变动率（4分）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“三公经费”变动率≦0，计6分；“三公经费”＞0，每超过一个百分点扣0.6分，扣完为止。</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上年度三公经费支出公务用车运行维护费 0元，接待费   </w:t>
            </w:r>
            <w:r>
              <w:rPr>
                <w:rFonts w:hint="eastAsia" w:ascii="黑体" w:hAnsi="黑体" w:eastAsia="黑体" w:cs="宋体"/>
                <w:kern w:val="0"/>
                <w:szCs w:val="21"/>
                <w:lang w:val="en-US" w:eastAsia="zh-CN"/>
              </w:rPr>
              <w:t>1.85</w:t>
            </w:r>
            <w:r>
              <w:rPr>
                <w:rFonts w:hint="eastAsia" w:ascii="黑体" w:hAnsi="黑体" w:eastAsia="黑体" w:cs="宋体"/>
                <w:kern w:val="0"/>
                <w:szCs w:val="21"/>
              </w:rPr>
              <w:t>元，出国出境费，共计</w:t>
            </w:r>
            <w:r>
              <w:rPr>
                <w:rFonts w:hint="eastAsia" w:ascii="黑体" w:hAnsi="黑体" w:eastAsia="黑体" w:cs="宋体"/>
                <w:kern w:val="0"/>
                <w:szCs w:val="21"/>
                <w:lang w:val="en-US" w:eastAsia="zh-CN"/>
              </w:rPr>
              <w:t>1.85</w:t>
            </w:r>
            <w:r>
              <w:rPr>
                <w:rFonts w:hint="eastAsia" w:ascii="黑体" w:hAnsi="黑体" w:eastAsia="黑体" w:cs="宋体"/>
                <w:kern w:val="0"/>
                <w:szCs w:val="21"/>
              </w:rPr>
              <w:t xml:space="preserve">万元。本年公车运行维护费  </w:t>
            </w:r>
            <w:r>
              <w:rPr>
                <w:rFonts w:hint="eastAsia" w:ascii="黑体" w:hAnsi="黑体" w:eastAsia="黑体" w:cs="宋体"/>
                <w:kern w:val="0"/>
                <w:szCs w:val="21"/>
                <w:lang w:val="en-US" w:eastAsia="zh-CN"/>
              </w:rPr>
              <w:t>0</w:t>
            </w:r>
            <w:r>
              <w:rPr>
                <w:rFonts w:hint="eastAsia" w:ascii="黑体" w:hAnsi="黑体" w:eastAsia="黑体" w:cs="宋体"/>
                <w:kern w:val="0"/>
                <w:szCs w:val="21"/>
              </w:rPr>
              <w:t xml:space="preserve">万元，招待费 </w:t>
            </w:r>
            <w:r>
              <w:rPr>
                <w:rFonts w:hint="eastAsia" w:ascii="黑体" w:hAnsi="黑体" w:eastAsia="黑体" w:cs="宋体"/>
                <w:kern w:val="0"/>
                <w:szCs w:val="21"/>
                <w:lang w:val="en-US" w:eastAsia="zh-CN"/>
              </w:rPr>
              <w:t>1.85</w:t>
            </w:r>
            <w:r>
              <w:rPr>
                <w:rFonts w:hint="eastAsia" w:ascii="黑体" w:hAnsi="黑体" w:eastAsia="黑体" w:cs="宋体"/>
                <w:kern w:val="0"/>
                <w:szCs w:val="21"/>
              </w:rPr>
              <w:t>万元，共计</w:t>
            </w:r>
            <w:r>
              <w:rPr>
                <w:rFonts w:hint="eastAsia" w:ascii="黑体" w:hAnsi="黑体" w:eastAsia="黑体" w:cs="宋体"/>
                <w:kern w:val="0"/>
                <w:szCs w:val="21"/>
                <w:lang w:val="en-US" w:eastAsia="zh-CN"/>
              </w:rPr>
              <w:t>1.85</w:t>
            </w:r>
            <w:r>
              <w:rPr>
                <w:rFonts w:hint="eastAsia" w:ascii="黑体" w:hAnsi="黑体" w:eastAsia="黑体" w:cs="宋体"/>
                <w:kern w:val="0"/>
                <w:szCs w:val="21"/>
              </w:rPr>
              <w:t>万元。三公经费变动率=（本年</w:t>
            </w:r>
            <w:r>
              <w:rPr>
                <w:rFonts w:hint="eastAsia" w:ascii="黑体" w:hAnsi="黑体" w:eastAsia="黑体" w:cs="宋体"/>
                <w:kern w:val="0"/>
                <w:szCs w:val="21"/>
                <w:lang w:val="en-US" w:eastAsia="zh-CN"/>
              </w:rPr>
              <w:t>1.85</w:t>
            </w:r>
            <w:r>
              <w:rPr>
                <w:rFonts w:hint="eastAsia" w:ascii="黑体" w:hAnsi="黑体" w:eastAsia="黑体" w:cs="宋体"/>
                <w:kern w:val="0"/>
                <w:szCs w:val="21"/>
              </w:rPr>
              <w:t>-</w:t>
            </w:r>
            <w:r>
              <w:rPr>
                <w:rFonts w:hint="eastAsia" w:ascii="黑体" w:hAnsi="黑体" w:eastAsia="黑体" w:cs="宋体"/>
                <w:kern w:val="0"/>
                <w:szCs w:val="21"/>
                <w:lang w:val="en-US" w:eastAsia="zh-CN"/>
              </w:rPr>
              <w:t>1.85</w:t>
            </w:r>
            <w:r>
              <w:rPr>
                <w:rFonts w:hint="eastAsia" w:ascii="黑体" w:hAnsi="黑体" w:eastAsia="黑体" w:cs="宋体"/>
                <w:kern w:val="0"/>
                <w:szCs w:val="21"/>
              </w:rPr>
              <w:t xml:space="preserve">上年度）/上年度= </w:t>
            </w:r>
            <w:r>
              <w:rPr>
                <w:rFonts w:hint="eastAsia" w:ascii="黑体" w:hAnsi="黑体" w:eastAsia="黑体" w:cs="宋体"/>
                <w:kern w:val="0"/>
                <w:szCs w:val="21"/>
                <w:lang w:val="en-US" w:eastAsia="zh-CN"/>
              </w:rPr>
              <w:t>0</w:t>
            </w:r>
            <w:r>
              <w:rPr>
                <w:rFonts w:hint="eastAsia" w:ascii="黑体" w:hAnsi="黑体" w:eastAsia="黑体" w:cs="宋体"/>
                <w:kern w:val="0"/>
                <w:szCs w:val="21"/>
              </w:rPr>
              <w:t xml:space="preserve"> %</w:t>
            </w: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2160" w:hRule="atLeast"/>
        </w:trPr>
        <w:tc>
          <w:tcPr>
            <w:tcW w:w="66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重点支出安排率（5分）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重点支出安排率≥90%，计5分；</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80%（含）-90%，计4分；                           70%（含）-80%，计3分；                           60%（含）-70%，计2分；                            低于60%不得分。</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841" w:hRule="atLeast"/>
        </w:trPr>
        <w:tc>
          <w:tcPr>
            <w:tcW w:w="66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过    程</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预算执行（20分）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预算调整率（5分）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预算调整率=0，计5分；                       0-10%（含），计4分；                          10-20%（含），计3分；                                     20-30%（含），计2分；                             大于30%不得分。</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预算调整率为=调整数/2015年预算执行数*100%=    %</w:t>
            </w: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168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支出进度（4分）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每年春节前下达全部专项资金的50%；9月底前所有专项资金指标全部下达完。 每出现一个专项未按进度完成资金下达扣0.5分，扣完为止。</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kern w:val="0"/>
                <w:szCs w:val="21"/>
                <w:lang w:eastAsia="zh-CN"/>
              </w:rPr>
            </w:pPr>
            <w:r>
              <w:rPr>
                <w:rFonts w:hint="eastAsia" w:ascii="黑体" w:hAnsi="黑体" w:eastAsia="黑体" w:cs="宋体"/>
                <w:kern w:val="0"/>
                <w:szCs w:val="21"/>
                <w:lang w:val="en-US" w:eastAsia="zh-CN"/>
              </w:rPr>
              <w:t>3</w:t>
            </w:r>
          </w:p>
        </w:tc>
      </w:tr>
      <w:tr>
        <w:tblPrEx>
          <w:tblCellMar>
            <w:top w:w="0" w:type="dxa"/>
            <w:left w:w="108" w:type="dxa"/>
            <w:bottom w:w="0" w:type="dxa"/>
            <w:right w:w="108" w:type="dxa"/>
          </w:tblCellMar>
        </w:tblPrEx>
        <w:trPr>
          <w:trHeight w:val="416"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资金结余（5分）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无结余，5分；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有结余，但不超过上年结转，4分；                       结余超过上年结转，不得分。</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5</w:t>
            </w:r>
          </w:p>
        </w:tc>
      </w:tr>
      <w:tr>
        <w:tblPrEx>
          <w:tblCellMar>
            <w:top w:w="0" w:type="dxa"/>
            <w:left w:w="108" w:type="dxa"/>
            <w:bottom w:w="0" w:type="dxa"/>
            <w:right w:w="108" w:type="dxa"/>
          </w:tblCellMar>
        </w:tblPrEx>
        <w:trPr>
          <w:trHeight w:val="96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“三公经费”控制率（6分）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以100%为标准。三公经费控制率≦100%，计6分；每超过一个百分点扣1分，扣完为止。</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kern w:val="0"/>
                <w:szCs w:val="21"/>
                <w:lang w:eastAsia="zh-CN"/>
              </w:rPr>
            </w:pPr>
            <w:r>
              <w:rPr>
                <w:rFonts w:hint="eastAsia" w:ascii="黑体" w:hAnsi="黑体" w:eastAsia="黑体" w:cs="宋体"/>
                <w:kern w:val="0"/>
                <w:szCs w:val="21"/>
                <w:lang w:val="en-US" w:eastAsia="zh-CN"/>
              </w:rPr>
              <w:t>6</w:t>
            </w:r>
          </w:p>
        </w:tc>
      </w:tr>
      <w:tr>
        <w:tblPrEx>
          <w:tblCellMar>
            <w:top w:w="0" w:type="dxa"/>
            <w:left w:w="108" w:type="dxa"/>
            <w:bottom w:w="0" w:type="dxa"/>
            <w:right w:w="108" w:type="dxa"/>
          </w:tblCellMar>
        </w:tblPrEx>
        <w:trPr>
          <w:trHeight w:val="1920" w:hRule="atLeast"/>
        </w:trPr>
        <w:tc>
          <w:tcPr>
            <w:tcW w:w="66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过      程</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预算管理（21分）</w:t>
            </w: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管理制度健全性（6分）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1、制定或具有预算资金管理办法，内部财务管理制度、会计核算制度等管理制度，2分； 2、相关管理制度合法、合规、完整，2分； 3、相关管理制度得到有效执行，2分。</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6</w:t>
            </w:r>
          </w:p>
        </w:tc>
      </w:tr>
      <w:tr>
        <w:tblPrEx>
          <w:tblCellMar>
            <w:top w:w="0" w:type="dxa"/>
            <w:left w:w="108" w:type="dxa"/>
            <w:bottom w:w="0" w:type="dxa"/>
            <w:right w:w="108" w:type="dxa"/>
          </w:tblCellMar>
        </w:tblPrEx>
        <w:trPr>
          <w:trHeight w:val="416"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资金使用合规性（10分）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1、支出符合国家财经法规和财务管理制度规定以及有关专项资金管理办法的规定；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2、资金拨付有完整的审批程序和手续；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3、项目支出按规定经过评估论证；                      4、支出按照部门预算批复的用途使用；                      5、资金使用无截留、挤占、挪用、虚列支出等情况。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6、按《采购法》实行政府采购；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7、按照《湖南省非税收入管理条例》规范收费的。 以上情况每出现一例不符合要求的扣1分，扣完为止。</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ascii="黑体" w:hAnsi="黑体" w:eastAsia="黑体" w:cs="宋体"/>
                <w:kern w:val="0"/>
                <w:szCs w:val="21"/>
              </w:rPr>
              <w:t>9</w:t>
            </w:r>
          </w:p>
        </w:tc>
      </w:tr>
      <w:tr>
        <w:tblPrEx>
          <w:tblCellMar>
            <w:top w:w="0" w:type="dxa"/>
            <w:left w:w="108" w:type="dxa"/>
            <w:bottom w:w="0" w:type="dxa"/>
            <w:right w:w="108" w:type="dxa"/>
          </w:tblCellMar>
        </w:tblPrEx>
        <w:trPr>
          <w:trHeight w:val="240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预决算信息公开性和完善性（5分）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1、按规定内容公开预决算信息，1分； 2、按规定时限公开预决算信息，1分；3、基础数据信息和会计信息资料真实，1分；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4、基础数据信息和会计信息资料完整，1分；                            5、基础数据信息和汇集信息资料准确，1分。      </w:t>
            </w:r>
          </w:p>
          <w:p>
            <w:pPr>
              <w:widowControl/>
              <w:spacing w:line="400" w:lineRule="exact"/>
              <w:jc w:val="left"/>
              <w:rPr>
                <w:rFonts w:ascii="黑体" w:hAnsi="黑体" w:eastAsia="黑体" w:cs="宋体"/>
                <w:kern w:val="0"/>
                <w:szCs w:val="21"/>
              </w:rPr>
            </w:pP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ascii="黑体" w:hAnsi="黑体" w:eastAsia="黑体" w:cs="宋体"/>
                <w:kern w:val="0"/>
                <w:szCs w:val="21"/>
              </w:rPr>
              <w:t>4</w:t>
            </w:r>
          </w:p>
        </w:tc>
      </w:tr>
      <w:tr>
        <w:tblPrEx>
          <w:tblCellMar>
            <w:top w:w="0" w:type="dxa"/>
            <w:left w:w="108" w:type="dxa"/>
            <w:bottom w:w="0" w:type="dxa"/>
            <w:right w:w="108" w:type="dxa"/>
          </w:tblCellMar>
        </w:tblPrEx>
        <w:trPr>
          <w:trHeight w:val="1905"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资产管理（10分）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管理制度健全性（3分）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1、已制定资产管理制度1分；</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 2、相关资产管理制度合法、合规、完整，2分；                        3、相关资产管理制度得到有效执行，1分。</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2.5</w:t>
            </w:r>
          </w:p>
        </w:tc>
      </w:tr>
      <w:tr>
        <w:tblPrEx>
          <w:tblCellMar>
            <w:top w:w="0" w:type="dxa"/>
            <w:left w:w="108" w:type="dxa"/>
            <w:bottom w:w="0" w:type="dxa"/>
            <w:right w:w="108" w:type="dxa"/>
          </w:tblCellMar>
        </w:tblPrEx>
        <w:trPr>
          <w:trHeight w:val="1833"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资产管理安全性（5分）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1、资产保存完整和资产信息系统建立、运用；</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2、资产配置合理；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3、资产处置规范；</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4、资产账务管理合规，帐实相符；                      5、国有资产有偿使用收入和处置收入及时足额上缴；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以上情况每出现一例不符合有关要求的扣1分，扣完为止。</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1395"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固定资产利用率（2分）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每低于100%一个百分点扣0.2分，扣完为止。</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kern w:val="0"/>
                <w:szCs w:val="21"/>
                <w:lang w:eastAsia="zh-CN"/>
              </w:rPr>
            </w:pPr>
            <w:r>
              <w:rPr>
                <w:rFonts w:hint="eastAsia" w:ascii="黑体" w:hAnsi="黑体" w:eastAsia="黑体" w:cs="宋体"/>
                <w:kern w:val="0"/>
                <w:szCs w:val="21"/>
                <w:lang w:val="en-US" w:eastAsia="zh-CN"/>
              </w:rPr>
              <w:t>2</w:t>
            </w:r>
          </w:p>
        </w:tc>
      </w:tr>
      <w:tr>
        <w:tblPrEx>
          <w:tblCellMar>
            <w:top w:w="0" w:type="dxa"/>
            <w:left w:w="108" w:type="dxa"/>
            <w:bottom w:w="0" w:type="dxa"/>
            <w:right w:w="108" w:type="dxa"/>
          </w:tblCellMar>
        </w:tblPrEx>
        <w:trPr>
          <w:trHeight w:val="416" w:hRule="atLeast"/>
        </w:trPr>
        <w:tc>
          <w:tcPr>
            <w:tcW w:w="66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产   出</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职责履行（12分）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工作实际完成率（6分）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根据评价部门制定的计划工作任务及内容考核实际完成情况及质量。该项得分=（实际完成情况/计划工作内容）*6</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ascii="黑体" w:hAnsi="黑体" w:eastAsia="黑体" w:cs="宋体"/>
                <w:kern w:val="0"/>
                <w:szCs w:val="21"/>
              </w:rPr>
              <w:t>5</w:t>
            </w:r>
          </w:p>
        </w:tc>
      </w:tr>
      <w:tr>
        <w:tblPrEx>
          <w:tblCellMar>
            <w:top w:w="0" w:type="dxa"/>
            <w:left w:w="108" w:type="dxa"/>
            <w:bottom w:w="0" w:type="dxa"/>
            <w:right w:w="108" w:type="dxa"/>
          </w:tblCellMar>
        </w:tblPrEx>
        <w:trPr>
          <w:trHeight w:val="168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重点工作质量达标率（6分）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质量达标率达到100%，计6分；每低于100%一个百分点扣0.5分，扣完为止。</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ascii="黑体" w:hAnsi="黑体" w:eastAsia="黑体" w:cs="宋体"/>
                <w:kern w:val="0"/>
                <w:szCs w:val="21"/>
              </w:rPr>
              <w:t>4</w:t>
            </w:r>
          </w:p>
        </w:tc>
      </w:tr>
      <w:tr>
        <w:tblPrEx>
          <w:tblCellMar>
            <w:top w:w="0" w:type="dxa"/>
            <w:left w:w="108" w:type="dxa"/>
            <w:bottom w:w="0" w:type="dxa"/>
            <w:right w:w="108" w:type="dxa"/>
          </w:tblCellMar>
        </w:tblPrEx>
        <w:trPr>
          <w:trHeight w:val="1191" w:hRule="atLeast"/>
        </w:trPr>
        <w:tc>
          <w:tcPr>
            <w:tcW w:w="66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效  果</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履职效益（17分）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经济效益（4分）</w:t>
            </w:r>
          </w:p>
        </w:tc>
        <w:tc>
          <w:tcPr>
            <w:tcW w:w="3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360"/>
              <w:jc w:val="left"/>
              <w:rPr>
                <w:rFonts w:ascii="黑体" w:hAnsi="黑体" w:eastAsia="黑体" w:cs="宋体"/>
                <w:kern w:val="0"/>
                <w:szCs w:val="21"/>
              </w:rPr>
            </w:pPr>
            <w:r>
              <w:rPr>
                <w:rFonts w:hint="eastAsia" w:ascii="黑体" w:hAnsi="黑体" w:eastAsia="黑体" w:cs="宋体"/>
                <w:kern w:val="0"/>
                <w:szCs w:val="21"/>
              </w:rPr>
              <w:t>此条单位若没产生“经济效益”和“生态效益” ,社会效益从以下5个方面评价:1.在中央、省、政府考核中评为良以上；2.在部门考核中被评良以上；3.在市政府绩效评估中考核为优秀的；4.全年无违反党的“八项规定”的；5.无违反财政法规等行为的；</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3</w:t>
            </w:r>
          </w:p>
        </w:tc>
      </w:tr>
      <w:tr>
        <w:tblPrEx>
          <w:tblCellMar>
            <w:top w:w="0" w:type="dxa"/>
            <w:left w:w="108" w:type="dxa"/>
            <w:bottom w:w="0" w:type="dxa"/>
            <w:right w:w="108" w:type="dxa"/>
          </w:tblCellMar>
        </w:tblPrEx>
        <w:trPr>
          <w:trHeight w:val="1407"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社会效益（4分)</w:t>
            </w:r>
          </w:p>
        </w:tc>
        <w:tc>
          <w:tcPr>
            <w:tcW w:w="3682" w:type="dxa"/>
            <w:vMerge w:val="continue"/>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3</w:t>
            </w:r>
          </w:p>
        </w:tc>
      </w:tr>
      <w:tr>
        <w:tblPrEx>
          <w:tblCellMar>
            <w:top w:w="0" w:type="dxa"/>
            <w:left w:w="108" w:type="dxa"/>
            <w:bottom w:w="0" w:type="dxa"/>
            <w:right w:w="108" w:type="dxa"/>
          </w:tblCellMar>
        </w:tblPrEx>
        <w:trPr>
          <w:trHeight w:val="84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生态效益(4分)</w:t>
            </w:r>
          </w:p>
        </w:tc>
        <w:tc>
          <w:tcPr>
            <w:tcW w:w="3682" w:type="dxa"/>
            <w:vMerge w:val="continue"/>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kern w:val="0"/>
                <w:szCs w:val="21"/>
                <w:lang w:eastAsia="zh-CN"/>
              </w:rPr>
            </w:pPr>
            <w:r>
              <w:rPr>
                <w:rFonts w:hint="eastAsia" w:ascii="黑体" w:hAnsi="黑体" w:eastAsia="黑体" w:cs="宋体"/>
                <w:kern w:val="0"/>
                <w:szCs w:val="21"/>
                <w:lang w:val="en-US" w:eastAsia="zh-CN"/>
              </w:rPr>
              <w:t>4</w:t>
            </w:r>
          </w:p>
        </w:tc>
      </w:tr>
      <w:tr>
        <w:tblPrEx>
          <w:tblCellMar>
            <w:top w:w="0" w:type="dxa"/>
            <w:left w:w="108" w:type="dxa"/>
            <w:bottom w:w="0" w:type="dxa"/>
            <w:right w:w="108" w:type="dxa"/>
          </w:tblCellMar>
        </w:tblPrEx>
        <w:trPr>
          <w:trHeight w:val="120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社会公众或服务对象满意度（5分）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90%（含）以上计5分；80%（含）-90%，计3分；70%（含）-80%，计1分；低于70%计0分。</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78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合计</w:t>
            </w: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100</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黑体" w:hAnsi="黑体" w:eastAsia="黑体" w:cs="宋体"/>
                <w:kern w:val="0"/>
                <w:szCs w:val="21"/>
                <w:lang w:eastAsia="zh-CN"/>
              </w:rPr>
            </w:pPr>
            <w:r>
              <w:rPr>
                <w:rFonts w:ascii="黑体" w:hAnsi="黑体" w:eastAsia="黑体" w:cs="宋体"/>
                <w:kern w:val="0"/>
                <w:szCs w:val="21"/>
              </w:rPr>
              <w:t>8</w:t>
            </w:r>
            <w:r>
              <w:rPr>
                <w:rFonts w:hint="eastAsia" w:ascii="黑体" w:hAnsi="黑体" w:eastAsia="黑体" w:cs="宋体"/>
                <w:kern w:val="0"/>
                <w:szCs w:val="21"/>
                <w:lang w:val="en-US" w:eastAsia="zh-CN"/>
              </w:rPr>
              <w:t>6</w:t>
            </w:r>
          </w:p>
        </w:tc>
      </w:tr>
    </w:tbl>
    <w:p>
      <w:pPr>
        <w:spacing w:line="360" w:lineRule="auto"/>
        <w:ind w:right="480" w:firstLine="640" w:firstLineChars="200"/>
        <w:jc w:val="center"/>
        <w:rPr>
          <w:rFonts w:hint="eastAsia" w:ascii="宋体" w:hAnsi="宋体" w:eastAsia="宋体" w:cs="Times New Roman"/>
          <w:b/>
          <w:bCs/>
          <w:sz w:val="32"/>
          <w:szCs w:val="32"/>
        </w:rPr>
      </w:pPr>
    </w:p>
    <w:p>
      <w:pPr>
        <w:adjustRightInd w:val="0"/>
        <w:snapToGrid w:val="0"/>
        <w:rPr>
          <w:rFonts w:hint="eastAsia" w:ascii="Cambria Math" w:hAnsi="Cambria Math" w:cs="Cambria Math"/>
          <w:bCs/>
          <w:sz w:val="30"/>
          <w:szCs w:val="30"/>
        </w:rPr>
      </w:pPr>
    </w:p>
    <w:p>
      <w:pPr>
        <w:adjustRightInd w:val="0"/>
        <w:snapToGrid w:val="0"/>
        <w:rPr>
          <w:rFonts w:ascii="Cambria Math" w:hAnsi="Cambria Math" w:cs="Cambria Math"/>
          <w:bCs/>
          <w:sz w:val="30"/>
          <w:szCs w:val="30"/>
        </w:rPr>
      </w:pPr>
      <w:r>
        <w:rPr>
          <w:rFonts w:hint="eastAsia" w:ascii="Cambria Math" w:hAnsi="Cambria Math" w:cs="Cambria Math"/>
          <w:bCs/>
          <w:sz w:val="30"/>
          <w:szCs w:val="30"/>
        </w:rPr>
        <w:t>七、改进措施和有关建议</w:t>
      </w:r>
    </w:p>
    <w:p>
      <w:pPr>
        <w:widowControl/>
        <w:rPr>
          <w:rFonts w:ascii="Cambria Math" w:hAnsi="Cambria Math" w:cs="Cambria Math"/>
          <w:bCs/>
          <w:kern w:val="0"/>
          <w:sz w:val="30"/>
          <w:szCs w:val="30"/>
        </w:rPr>
      </w:pPr>
      <w:r>
        <w:rPr>
          <w:rFonts w:hint="eastAsia" w:ascii="Cambria Math" w:hAnsi="Cambria Math" w:cs="Cambria Math"/>
          <w:bCs/>
          <w:kern w:val="0"/>
          <w:sz w:val="30"/>
          <w:szCs w:val="30"/>
          <w:lang w:eastAsia="zh-CN"/>
        </w:rPr>
        <w:t>（</w:t>
      </w:r>
      <w:r>
        <w:rPr>
          <w:rFonts w:hint="eastAsia" w:ascii="Cambria Math" w:hAnsi="Cambria Math" w:cs="Cambria Math"/>
          <w:bCs/>
          <w:kern w:val="0"/>
          <w:sz w:val="30"/>
          <w:szCs w:val="30"/>
          <w:lang w:val="en-US" w:eastAsia="zh-CN"/>
        </w:rPr>
        <w:t>一）</w:t>
      </w:r>
      <w:r>
        <w:rPr>
          <w:rFonts w:hint="eastAsia" w:ascii="Cambria Math" w:hAnsi="Cambria Math" w:cs="Cambria Math"/>
          <w:bCs/>
          <w:kern w:val="0"/>
          <w:sz w:val="30"/>
          <w:szCs w:val="30"/>
        </w:rPr>
        <w:t>规范账务处理，提高财务信息质量。</w:t>
      </w:r>
    </w:p>
    <w:p>
      <w:pPr>
        <w:widowControl/>
        <w:rPr>
          <w:rFonts w:ascii="Cambria Math" w:hAnsi="Cambria Math" w:cs="Cambria Math"/>
          <w:bCs/>
          <w:kern w:val="0"/>
          <w:sz w:val="30"/>
          <w:szCs w:val="30"/>
        </w:rPr>
      </w:pPr>
      <w:r>
        <w:rPr>
          <w:rFonts w:hint="eastAsia" w:ascii="Cambria Math" w:hAnsi="Cambria Math" w:cs="Cambria Math"/>
          <w:bCs/>
          <w:kern w:val="0"/>
          <w:sz w:val="30"/>
          <w:szCs w:val="30"/>
          <w:lang w:eastAsia="zh-CN"/>
        </w:rPr>
        <w:t>（</w:t>
      </w:r>
      <w:r>
        <w:rPr>
          <w:rFonts w:hint="eastAsia" w:ascii="Cambria Math" w:hAnsi="Cambria Math" w:cs="Cambria Math"/>
          <w:bCs/>
          <w:kern w:val="0"/>
          <w:sz w:val="30"/>
          <w:szCs w:val="30"/>
          <w:lang w:val="en-US" w:eastAsia="zh-CN"/>
        </w:rPr>
        <w:t>二）</w:t>
      </w:r>
      <w:r>
        <w:rPr>
          <w:rFonts w:hint="eastAsia" w:ascii="Cambria Math" w:hAnsi="Cambria Math" w:cs="Cambria Math"/>
          <w:bCs/>
          <w:kern w:val="0"/>
          <w:sz w:val="30"/>
          <w:szCs w:val="30"/>
        </w:rPr>
        <w:t>落实财务管理制度，进一步加强财务管理。</w:t>
      </w:r>
    </w:p>
    <w:p>
      <w:pPr>
        <w:widowControl/>
        <w:rPr>
          <w:rFonts w:ascii="Cambria Math" w:hAnsi="Cambria Math" w:cs="Cambria Math"/>
          <w:bCs/>
          <w:kern w:val="0"/>
          <w:sz w:val="30"/>
          <w:szCs w:val="30"/>
        </w:rPr>
      </w:pPr>
      <w:r>
        <w:rPr>
          <w:rFonts w:hint="eastAsia" w:ascii="Cambria Math" w:hAnsi="Cambria Math" w:cs="Cambria Math"/>
          <w:bCs/>
          <w:kern w:val="0"/>
          <w:sz w:val="30"/>
          <w:szCs w:val="30"/>
          <w:lang w:eastAsia="zh-CN"/>
        </w:rPr>
        <w:t>（</w:t>
      </w:r>
      <w:r>
        <w:rPr>
          <w:rFonts w:hint="eastAsia" w:ascii="Cambria Math" w:hAnsi="Cambria Math" w:cs="Cambria Math"/>
          <w:bCs/>
          <w:kern w:val="0"/>
          <w:sz w:val="30"/>
          <w:szCs w:val="30"/>
          <w:lang w:val="en-US" w:eastAsia="zh-CN"/>
        </w:rPr>
        <w:t>三）</w:t>
      </w:r>
      <w:r>
        <w:rPr>
          <w:rFonts w:hint="eastAsia" w:ascii="Cambria Math" w:hAnsi="Cambria Math" w:cs="Cambria Math"/>
          <w:bCs/>
          <w:kern w:val="0"/>
          <w:sz w:val="30"/>
          <w:szCs w:val="30"/>
        </w:rPr>
        <w:t>做好财务人员培训，加强会计队伍建设。</w:t>
      </w:r>
    </w:p>
    <w:p>
      <w:pPr>
        <w:widowControl/>
        <w:rPr>
          <w:rFonts w:ascii="Cambria Math" w:hAnsi="Cambria Math" w:cs="Cambria Math"/>
          <w:bCs/>
          <w:kern w:val="0"/>
          <w:sz w:val="30"/>
          <w:szCs w:val="30"/>
        </w:rPr>
      </w:pPr>
      <w:r>
        <w:rPr>
          <w:rFonts w:hint="eastAsia" w:ascii="Cambria Math" w:hAnsi="Cambria Math" w:cs="Cambria Math"/>
          <w:bCs/>
          <w:kern w:val="0"/>
          <w:sz w:val="30"/>
          <w:szCs w:val="30"/>
          <w:lang w:eastAsia="zh-CN"/>
        </w:rPr>
        <w:t>（</w:t>
      </w:r>
      <w:r>
        <w:rPr>
          <w:rFonts w:hint="eastAsia" w:ascii="Cambria Math" w:hAnsi="Cambria Math" w:cs="Cambria Math"/>
          <w:bCs/>
          <w:kern w:val="0"/>
          <w:sz w:val="30"/>
          <w:szCs w:val="30"/>
          <w:lang w:val="en-US" w:eastAsia="zh-CN"/>
        </w:rPr>
        <w:t>四）</w:t>
      </w:r>
      <w:r>
        <w:rPr>
          <w:rFonts w:hint="eastAsia" w:ascii="Cambria Math" w:hAnsi="Cambria Math" w:cs="Cambria Math"/>
          <w:bCs/>
          <w:kern w:val="0"/>
          <w:sz w:val="30"/>
          <w:szCs w:val="30"/>
        </w:rPr>
        <w:t>进一步建章立制，确保会计核算规范化，明确财务管理的责任和权力。</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AB73C"/>
    <w:multiLevelType w:val="singleLevel"/>
    <w:tmpl w:val="993AB73C"/>
    <w:lvl w:ilvl="0" w:tentative="0">
      <w:start w:val="7"/>
      <w:numFmt w:val="chineseCounting"/>
      <w:suff w:val="nothing"/>
      <w:lvlText w:val="%1、"/>
      <w:lvlJc w:val="left"/>
      <w:rPr>
        <w:rFonts w:hint="eastAsia"/>
      </w:rPr>
    </w:lvl>
  </w:abstractNum>
  <w:abstractNum w:abstractNumId="1">
    <w:nsid w:val="286B5710"/>
    <w:multiLevelType w:val="multilevel"/>
    <w:tmpl w:val="286B57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CCEC62"/>
    <w:multiLevelType w:val="singleLevel"/>
    <w:tmpl w:val="57CCEC62"/>
    <w:lvl w:ilvl="0" w:tentative="0">
      <w:start w:val="1"/>
      <w:numFmt w:val="decimal"/>
      <w:suff w:val="nothing"/>
      <w:lvlText w:val="%1、"/>
      <w:lvlJc w:val="left"/>
      <w:rPr>
        <w:rFonts w:cs="Tahom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FC5B33"/>
    <w:rsid w:val="0B62367F"/>
    <w:rsid w:val="0FAF09B5"/>
    <w:rsid w:val="12C85FCC"/>
    <w:rsid w:val="2D957F1C"/>
    <w:rsid w:val="31177EC6"/>
    <w:rsid w:val="36A94C1B"/>
    <w:rsid w:val="3C1F6635"/>
    <w:rsid w:val="416F6CFF"/>
    <w:rsid w:val="42A32F05"/>
    <w:rsid w:val="44A57426"/>
    <w:rsid w:val="4DDC2139"/>
    <w:rsid w:val="4EF873AC"/>
    <w:rsid w:val="59987F3E"/>
    <w:rsid w:val="5BD16F85"/>
    <w:rsid w:val="6E1B283F"/>
    <w:rsid w:val="6EF62875"/>
    <w:rsid w:val="74565D2D"/>
    <w:rsid w:val="7A78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p0"/>
    <w:basedOn w:val="1"/>
    <w:qFormat/>
    <w:uiPriority w:val="0"/>
    <w:pPr>
      <w:widowControl/>
    </w:pPr>
    <w:rPr>
      <w:rFonts w:ascii="Calibri" w:hAnsi="Calibri" w:cs="宋体"/>
      <w:kern w:val="0"/>
      <w:szCs w:val="21"/>
    </w:rPr>
  </w:style>
  <w:style w:type="paragraph" w:customStyle="1" w:styleId="13">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0</TotalTime>
  <ScaleCrop>false</ScaleCrop>
  <LinksUpToDate>false</LinksUpToDate>
  <CharactersWithSpaces>9714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2023-09-28T03:53:21Z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60CE132F4ABD4FBCA49649CA314F8BE4_13</vt:lpwstr>
  </property>
</Properties>
</file>