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lang w:eastAsia="zh-CN"/>
        </w:rPr>
      </w:pPr>
      <w:r>
        <w:rPr>
          <w:rFonts w:hint="eastAsia"/>
          <w:w w:val="85"/>
          <w:sz w:val="84"/>
          <w:szCs w:val="84"/>
          <w:lang w:eastAsia="zh-CN"/>
        </w:rPr>
        <w:t>道县城市管理综合行政执法大队</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道县城市管理综合行政执法大队</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w w:val="85"/>
          <w:sz w:val="84"/>
          <w:szCs w:val="84"/>
          <w:lang w:eastAsia="zh-CN"/>
        </w:rPr>
        <w:t>道县城市管理综合行政执法大队</w:t>
      </w:r>
      <w:r>
        <w:rPr>
          <w:rFonts w:hint="eastAsia"/>
          <w:w w:val="85"/>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27" w:firstLineChars="196"/>
        <w:jc w:val="left"/>
        <w:rPr>
          <w:rFonts w:asciiTheme="minorEastAsia" w:hAnsiTheme="minorEastAsia"/>
          <w:sz w:val="32"/>
          <w:szCs w:val="32"/>
        </w:rPr>
      </w:pPr>
      <w:r>
        <w:rPr>
          <w:rFonts w:hint="eastAsia" w:ascii="宋体" w:hAnsi="宋体" w:eastAsia="宋体" w:cs="宋体"/>
          <w:sz w:val="32"/>
          <w:szCs w:val="32"/>
          <w:lang w:eastAsia="zh-CN"/>
        </w:rPr>
        <w:t>贯彻落实中央、省、市、县关于城市管理执法工作的方针政策和决策部署，以县城市管理和综合执法局的名义统一行使城市管理领域的行政处罚权以及与之相关的行政检查权、行政强制权等执法职能，在履行职责过程中坚持和加强党对城市管理执法工作的集中统一领导。</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bCs/>
          <w:kern w:val="0"/>
          <w:sz w:val="32"/>
          <w:szCs w:val="32"/>
        </w:rPr>
        <w:t>（一）内设机构设置。</w:t>
      </w:r>
      <w:r>
        <w:rPr>
          <w:rFonts w:hint="eastAsia" w:asciiTheme="minorEastAsia" w:hAnsiTheme="minorEastAsia" w:eastAsiaTheme="minorEastAsia" w:cstheme="minorEastAsia"/>
          <w:sz w:val="32"/>
          <w:szCs w:val="32"/>
          <w:lang w:eastAsia="zh-CN"/>
        </w:rPr>
        <w:t>本大队</w:t>
      </w:r>
      <w:r>
        <w:rPr>
          <w:rFonts w:hint="eastAsia" w:asciiTheme="minorEastAsia" w:hAnsiTheme="minorEastAsia" w:eastAsiaTheme="minorEastAsia" w:cstheme="minorEastAsia"/>
          <w:sz w:val="32"/>
          <w:szCs w:val="32"/>
        </w:rPr>
        <w:t>内设</w:t>
      </w:r>
      <w:r>
        <w:rPr>
          <w:rFonts w:hint="eastAsia" w:asciiTheme="minorEastAsia" w:hAnsiTheme="minorEastAsia" w:cstheme="minorEastAsia"/>
          <w:sz w:val="32"/>
          <w:szCs w:val="32"/>
          <w:lang w:eastAsia="zh-CN"/>
        </w:rPr>
        <w:t>综合室</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案件审理室</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督察协调中心</w:t>
      </w:r>
      <w:r>
        <w:rPr>
          <w:rFonts w:hint="eastAsia" w:asciiTheme="minorEastAsia" w:hAnsiTheme="minorEastAsia" w:eastAsiaTheme="minorEastAsia" w:cstheme="minorEastAsia"/>
          <w:sz w:val="32"/>
          <w:szCs w:val="32"/>
          <w:lang w:eastAsia="zh-CN"/>
        </w:rPr>
        <w:t>，下辖万家庄、营江、东门、濂溪、富塘、上关、西洲</w:t>
      </w:r>
      <w:r>
        <w:rPr>
          <w:rFonts w:hint="eastAsia" w:asciiTheme="minorEastAsia" w:hAnsiTheme="minorEastAsia" w:eastAsiaTheme="minorEastAsia" w:cstheme="minorEastAsia"/>
          <w:sz w:val="32"/>
          <w:szCs w:val="32"/>
        </w:rPr>
        <w:t>等</w:t>
      </w:r>
      <w:r>
        <w:rPr>
          <w:rFonts w:hint="eastAsia" w:asciiTheme="minorEastAsia" w:hAnsiTheme="minorEastAsia" w:cstheme="minorEastAsia"/>
          <w:sz w:val="32"/>
          <w:szCs w:val="32"/>
          <w:lang w:eastAsia="zh-CN"/>
        </w:rPr>
        <w:t>七</w:t>
      </w:r>
      <w:r>
        <w:rPr>
          <w:rFonts w:hint="eastAsia" w:asciiTheme="minorEastAsia" w:hAnsiTheme="minorEastAsia" w:eastAsiaTheme="minorEastAsia" w:cstheme="minorEastAsia"/>
          <w:sz w:val="32"/>
          <w:szCs w:val="32"/>
        </w:rPr>
        <w:t>个</w:t>
      </w:r>
      <w:r>
        <w:rPr>
          <w:rFonts w:hint="eastAsia" w:asciiTheme="minorEastAsia" w:hAnsiTheme="minorEastAsia" w:eastAsiaTheme="minorEastAsia" w:cstheme="minorEastAsia"/>
          <w:sz w:val="32"/>
          <w:szCs w:val="32"/>
          <w:lang w:eastAsia="zh-CN"/>
        </w:rPr>
        <w:t>中队</w:t>
      </w:r>
      <w:r>
        <w:rPr>
          <w:rFonts w:hint="eastAsia" w:asciiTheme="minorEastAsia" w:hAnsiTheme="minorEastAsia" w:eastAsiaTheme="minorEastAsia" w:cstheme="minorEastAsia"/>
          <w:sz w:val="32"/>
          <w:szCs w:val="32"/>
        </w:rPr>
        <w:t>。</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道县城市管理综合行政执法大队</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道县城市管理综合行政执法大队</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道县城市管理综合行政执法大队</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1231.22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219.54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974.05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1,231.22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1,231.22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1,231.22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1,231.22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72" w:type="dxa"/>
        <w:tblInd w:w="0" w:type="dxa"/>
        <w:tblLayout w:type="autofit"/>
        <w:tblCellMar>
          <w:top w:w="0" w:type="dxa"/>
          <w:left w:w="0" w:type="dxa"/>
          <w:bottom w:w="0" w:type="dxa"/>
          <w:right w:w="0" w:type="dxa"/>
        </w:tblCellMar>
      </w:tblPr>
      <w:tblGrid>
        <w:gridCol w:w="992"/>
        <w:gridCol w:w="36"/>
        <w:gridCol w:w="2455"/>
        <w:gridCol w:w="1609"/>
        <w:gridCol w:w="1609"/>
        <w:gridCol w:w="1609"/>
        <w:gridCol w:w="1609"/>
        <w:gridCol w:w="1609"/>
        <w:gridCol w:w="1610"/>
        <w:gridCol w:w="2290"/>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sz w:val="18"/>
                <w:szCs w:val="18"/>
                <w:lang w:eastAsia="zh-CN"/>
              </w:rPr>
              <w:t>道县城市管理综合行政执法大队</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1,231.22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1,231.22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375"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219.54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219.54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r>
      <w:tr>
        <w:tblPrEx>
          <w:tblCellMar>
            <w:top w:w="0" w:type="dxa"/>
            <w:left w:w="0" w:type="dxa"/>
            <w:bottom w:w="0" w:type="dxa"/>
            <w:right w:w="0" w:type="dxa"/>
          </w:tblCellMar>
        </w:tblPrEx>
        <w:trPr>
          <w:trHeight w:val="375"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bidi w:val="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20103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219.54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219.54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bidi w:val="0"/>
              <w:rPr>
                <w:rFonts w:hint="eastAsia" w:ascii="宋体" w:hAnsi="宋体" w:eastAsia="宋体" w:cs="宋体"/>
                <w:sz w:val="22"/>
                <w:szCs w:val="22"/>
              </w:rPr>
            </w:pPr>
          </w:p>
        </w:tc>
      </w:tr>
      <w:tr>
        <w:tblPrEx>
          <w:tblCellMar>
            <w:top w:w="0" w:type="dxa"/>
            <w:left w:w="0" w:type="dxa"/>
            <w:bottom w:w="0" w:type="dxa"/>
            <w:right w:w="0" w:type="dxa"/>
          </w:tblCellMar>
        </w:tblPrEx>
        <w:trPr>
          <w:trHeight w:val="375"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trHeight w:val="375"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13.65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591"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974.05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974.05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974.05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974.05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611.92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611.92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324.63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324.63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16"/>
                <w:szCs w:val="16"/>
              </w:rPr>
              <w:t>部门：</w:t>
            </w:r>
            <w:r>
              <w:rPr>
                <w:rFonts w:hint="eastAsia" w:ascii="宋体" w:hAnsi="宋体" w:eastAsia="宋体" w:cs="宋体"/>
                <w:color w:val="000000"/>
                <w:kern w:val="0"/>
                <w:sz w:val="16"/>
                <w:szCs w:val="16"/>
                <w:lang w:eastAsia="zh-CN"/>
              </w:rPr>
              <w:t>道县城市管理综合行政执法大队</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1,231.22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1,231.22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bidi w:val="0"/>
              <w:rPr>
                <w:rFonts w:ascii="宋体" w:hAnsi="宋体" w:eastAsia="宋体" w:cs="宋体"/>
                <w:kern w:val="0"/>
                <w:sz w:val="24"/>
                <w:szCs w:val="24"/>
              </w:rPr>
            </w:pPr>
            <w:r>
              <w:rPr>
                <w:rFonts w:hint="eastAsia" w:ascii="宋体" w:hAnsi="宋体" w:eastAsia="宋体" w:cs="宋体"/>
                <w:sz w:val="22"/>
                <w:szCs w:val="22"/>
                <w:lang w:val="en-US" w:eastAsia="zh-CN"/>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bidi w:val="0"/>
              <w:rPr>
                <w:rFonts w:ascii="宋体" w:hAnsi="宋体" w:eastAsia="宋体" w:cs="宋体"/>
                <w:kern w:val="0"/>
                <w:sz w:val="24"/>
                <w:szCs w:val="24"/>
              </w:rPr>
            </w:pPr>
            <w:r>
              <w:rPr>
                <w:rFonts w:hint="eastAsia" w:ascii="宋体" w:hAnsi="宋体" w:eastAsia="宋体" w:cs="宋体"/>
                <w:sz w:val="22"/>
                <w:szCs w:val="22"/>
                <w:lang w:val="en-US" w:eastAsia="zh-CN"/>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bidi w:val="0"/>
              <w:jc w:val="right"/>
              <w:rPr>
                <w:rFonts w:ascii="宋体" w:hAnsi="宋体" w:eastAsia="宋体" w:cs="宋体"/>
                <w:kern w:val="0"/>
                <w:sz w:val="24"/>
                <w:szCs w:val="24"/>
              </w:rPr>
            </w:pPr>
            <w:r>
              <w:rPr>
                <w:rFonts w:hint="eastAsia" w:ascii="宋体" w:hAnsi="宋体" w:eastAsia="宋体" w:cs="宋体"/>
                <w:sz w:val="22"/>
                <w:szCs w:val="22"/>
                <w:lang w:val="en-US" w:eastAsia="zh-CN"/>
              </w:rPr>
              <w:t>219.54</w:t>
            </w:r>
          </w:p>
        </w:tc>
        <w:tc>
          <w:tcPr>
            <w:tcW w:w="1679" w:type="dxa"/>
            <w:tcBorders>
              <w:top w:val="nil"/>
              <w:left w:val="nil"/>
              <w:bottom w:val="single" w:color="auto" w:sz="4" w:space="0"/>
              <w:right w:val="single" w:color="auto" w:sz="4" w:space="0"/>
            </w:tcBorders>
            <w:shd w:val="clear" w:color="auto" w:fill="auto"/>
            <w:noWrap/>
            <w:vAlign w:val="center"/>
          </w:tcPr>
          <w:p>
            <w:pPr>
              <w:bidi w:val="0"/>
              <w:jc w:val="right"/>
              <w:rPr>
                <w:rFonts w:ascii="宋体" w:hAnsi="宋体" w:eastAsia="宋体" w:cs="宋体"/>
                <w:kern w:val="0"/>
                <w:sz w:val="24"/>
                <w:szCs w:val="24"/>
              </w:rPr>
            </w:pPr>
            <w:r>
              <w:rPr>
                <w:rFonts w:hint="eastAsia" w:ascii="宋体" w:hAnsi="宋体" w:eastAsia="宋体" w:cs="宋体"/>
                <w:sz w:val="22"/>
                <w:szCs w:val="22"/>
                <w:lang w:val="en-US" w:eastAsia="zh-CN"/>
              </w:rPr>
              <w:t>219.54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64"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bidi w:val="0"/>
              <w:rPr>
                <w:rFonts w:ascii="宋体" w:hAnsi="宋体" w:eastAsia="宋体" w:cs="宋体"/>
                <w:kern w:val="0"/>
                <w:sz w:val="24"/>
                <w:szCs w:val="24"/>
              </w:rPr>
            </w:pPr>
            <w:r>
              <w:rPr>
                <w:rFonts w:hint="eastAsia" w:ascii="宋体" w:hAnsi="宋体" w:eastAsia="宋体" w:cs="宋体"/>
                <w:sz w:val="22"/>
                <w:szCs w:val="22"/>
                <w:lang w:val="en-US" w:eastAsia="zh-CN"/>
              </w:rPr>
              <w:t>20103</w:t>
            </w:r>
          </w:p>
        </w:tc>
        <w:tc>
          <w:tcPr>
            <w:tcW w:w="2437" w:type="dxa"/>
            <w:gridSpan w:val="3"/>
            <w:tcBorders>
              <w:top w:val="nil"/>
              <w:left w:val="nil"/>
              <w:bottom w:val="single" w:color="auto" w:sz="4" w:space="0"/>
              <w:right w:val="single" w:color="auto" w:sz="4" w:space="0"/>
            </w:tcBorders>
            <w:shd w:val="clear" w:color="000000" w:fill="FFFFFF"/>
            <w:noWrap/>
            <w:vAlign w:val="center"/>
          </w:tcPr>
          <w:p>
            <w:pPr>
              <w:bidi w:val="0"/>
              <w:rPr>
                <w:rFonts w:ascii="宋体" w:hAnsi="宋体" w:eastAsia="宋体" w:cs="宋体"/>
                <w:kern w:val="0"/>
                <w:sz w:val="24"/>
                <w:szCs w:val="24"/>
              </w:rPr>
            </w:pPr>
            <w:r>
              <w:rPr>
                <w:rFonts w:hint="eastAsia" w:ascii="宋体" w:hAnsi="宋体" w:eastAsia="宋体" w:cs="宋体"/>
                <w:sz w:val="18"/>
                <w:szCs w:val="18"/>
                <w:lang w:val="en-US" w:eastAsia="zh-CN"/>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bidi w:val="0"/>
              <w:jc w:val="right"/>
              <w:rPr>
                <w:rFonts w:ascii="宋体" w:hAnsi="宋体" w:eastAsia="宋体" w:cs="宋体"/>
                <w:kern w:val="0"/>
                <w:sz w:val="24"/>
                <w:szCs w:val="24"/>
              </w:rPr>
            </w:pPr>
            <w:r>
              <w:rPr>
                <w:rFonts w:hint="eastAsia" w:ascii="宋体" w:hAnsi="宋体" w:eastAsia="宋体" w:cs="宋体"/>
                <w:sz w:val="22"/>
                <w:szCs w:val="22"/>
                <w:lang w:val="en-US" w:eastAsia="zh-CN"/>
              </w:rPr>
              <w:t>219.54</w:t>
            </w:r>
          </w:p>
        </w:tc>
        <w:tc>
          <w:tcPr>
            <w:tcW w:w="1679" w:type="dxa"/>
            <w:tcBorders>
              <w:top w:val="nil"/>
              <w:left w:val="nil"/>
              <w:bottom w:val="single" w:color="auto" w:sz="4" w:space="0"/>
              <w:right w:val="single" w:color="auto" w:sz="4" w:space="0"/>
            </w:tcBorders>
            <w:shd w:val="clear" w:color="auto" w:fill="auto"/>
            <w:noWrap/>
            <w:vAlign w:val="center"/>
          </w:tcPr>
          <w:p>
            <w:pPr>
              <w:bidi w:val="0"/>
              <w:jc w:val="right"/>
              <w:rPr>
                <w:rFonts w:ascii="宋体" w:hAnsi="宋体" w:eastAsia="宋体" w:cs="宋体"/>
                <w:kern w:val="0"/>
                <w:sz w:val="24"/>
                <w:szCs w:val="24"/>
              </w:rPr>
            </w:pPr>
            <w:r>
              <w:rPr>
                <w:rFonts w:hint="eastAsia" w:ascii="宋体" w:hAnsi="宋体" w:eastAsia="宋体" w:cs="宋体"/>
                <w:sz w:val="22"/>
                <w:szCs w:val="22"/>
                <w:lang w:val="en-US" w:eastAsia="zh-CN"/>
              </w:rPr>
              <w:t>219.54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9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ind w:firstLine="220" w:firstLineChars="10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29"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974.05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974.05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974.05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974.05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611.92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611.92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其他城乡社区管理事务支出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道县城市管理综合行政执法大队</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1231.22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219.54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219.54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37.63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37.63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974.05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974.05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1231.22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1231.22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1231.22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1231.22</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1231.22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1231.22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道县城市管理综合行政执法大队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975"/>
        <w:gridCol w:w="3290"/>
        <w:gridCol w:w="2855"/>
        <w:gridCol w:w="3309"/>
        <w:gridCol w:w="2804"/>
      </w:tblGrid>
      <w:tr>
        <w:tblPrEx>
          <w:tblCellMar>
            <w:top w:w="0" w:type="dxa"/>
            <w:left w:w="108" w:type="dxa"/>
            <w:bottom w:w="0" w:type="dxa"/>
            <w:right w:w="108" w:type="dxa"/>
          </w:tblCellMar>
        </w:tblPrEx>
        <w:trPr>
          <w:trHeight w:val="405" w:hRule="atLeast"/>
          <w:jc w:val="center"/>
        </w:trPr>
        <w:tc>
          <w:tcPr>
            <w:tcW w:w="525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0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1,231.22</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1,231.22</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bidi w:val="0"/>
              <w:rPr>
                <w:rFonts w:ascii="Times New Roman" w:hAnsi="Times New Roman" w:eastAsia="仿宋_GB2312" w:cs="Times New Roman"/>
                <w:kern w:val="0"/>
                <w:szCs w:val="21"/>
              </w:rPr>
            </w:pPr>
            <w:r>
              <w:rPr>
                <w:rFonts w:hint="eastAsia" w:ascii="宋体" w:hAnsi="宋体" w:eastAsia="宋体" w:cs="宋体"/>
                <w:sz w:val="22"/>
                <w:szCs w:val="22"/>
                <w:lang w:val="en-US" w:eastAsia="zh-CN"/>
              </w:rPr>
              <w:t>201</w:t>
            </w:r>
          </w:p>
        </w:tc>
        <w:tc>
          <w:tcPr>
            <w:tcW w:w="4265" w:type="dxa"/>
            <w:gridSpan w:val="2"/>
            <w:tcBorders>
              <w:top w:val="nil"/>
              <w:left w:val="nil"/>
              <w:bottom w:val="single" w:color="auto" w:sz="4" w:space="0"/>
              <w:right w:val="single" w:color="auto" w:sz="4" w:space="0"/>
            </w:tcBorders>
            <w:shd w:val="clear" w:color="auto" w:fill="auto"/>
            <w:vAlign w:val="center"/>
          </w:tcPr>
          <w:p>
            <w:pPr>
              <w:bidi w:val="0"/>
              <w:rPr>
                <w:rFonts w:ascii="Times New Roman" w:hAnsi="Times New Roman" w:eastAsia="仿宋_GB2312" w:cs="Times New Roman"/>
                <w:kern w:val="0"/>
                <w:szCs w:val="21"/>
              </w:rPr>
            </w:pPr>
            <w:r>
              <w:rPr>
                <w:rFonts w:hint="eastAsia" w:ascii="宋体" w:hAnsi="宋体" w:eastAsia="宋体" w:cs="宋体"/>
                <w:sz w:val="22"/>
                <w:szCs w:val="22"/>
                <w:lang w:val="en-US" w:eastAsia="zh-CN"/>
              </w:rPr>
              <w:t>一般公共服务支出</w:t>
            </w:r>
          </w:p>
        </w:tc>
        <w:tc>
          <w:tcPr>
            <w:tcW w:w="2855" w:type="dxa"/>
            <w:tcBorders>
              <w:top w:val="nil"/>
              <w:left w:val="nil"/>
              <w:bottom w:val="single" w:color="auto" w:sz="4" w:space="0"/>
              <w:right w:val="single" w:color="auto" w:sz="4" w:space="0"/>
            </w:tcBorders>
            <w:shd w:val="clear" w:color="auto" w:fill="auto"/>
            <w:vAlign w:val="center"/>
          </w:tcPr>
          <w:p>
            <w:pPr>
              <w:bidi w:val="0"/>
              <w:jc w:val="right"/>
              <w:rPr>
                <w:rFonts w:ascii="Times New Roman" w:hAnsi="Times New Roman" w:eastAsia="仿宋_GB2312" w:cs="Times New Roman"/>
                <w:kern w:val="0"/>
                <w:szCs w:val="21"/>
              </w:rPr>
            </w:pPr>
            <w:r>
              <w:rPr>
                <w:rFonts w:hint="eastAsia" w:ascii="宋体" w:hAnsi="宋体" w:eastAsia="宋体" w:cs="宋体"/>
                <w:sz w:val="22"/>
                <w:szCs w:val="22"/>
                <w:lang w:val="en-US" w:eastAsia="zh-CN"/>
              </w:rPr>
              <w:t>219.54</w:t>
            </w:r>
          </w:p>
        </w:tc>
        <w:tc>
          <w:tcPr>
            <w:tcW w:w="3309" w:type="dxa"/>
            <w:tcBorders>
              <w:top w:val="nil"/>
              <w:left w:val="nil"/>
              <w:bottom w:val="single" w:color="auto" w:sz="4" w:space="0"/>
              <w:right w:val="single" w:color="auto" w:sz="4" w:space="0"/>
            </w:tcBorders>
            <w:shd w:val="clear" w:color="auto" w:fill="auto"/>
            <w:vAlign w:val="center"/>
          </w:tcPr>
          <w:p>
            <w:pPr>
              <w:bidi w:val="0"/>
              <w:jc w:val="right"/>
              <w:rPr>
                <w:rFonts w:ascii="Times New Roman" w:hAnsi="Times New Roman" w:eastAsia="仿宋_GB2312" w:cs="Times New Roman"/>
                <w:kern w:val="0"/>
                <w:szCs w:val="21"/>
              </w:rPr>
            </w:pPr>
            <w:r>
              <w:rPr>
                <w:rFonts w:hint="eastAsia" w:ascii="宋体" w:hAnsi="宋体" w:eastAsia="宋体" w:cs="宋体"/>
                <w:sz w:val="22"/>
                <w:szCs w:val="22"/>
                <w:lang w:val="en-US" w:eastAsia="zh-CN"/>
              </w:rPr>
              <w:t>219.54</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bidi w:val="0"/>
              <w:rPr>
                <w:rFonts w:ascii="Times New Roman" w:hAnsi="Times New Roman" w:eastAsia="仿宋_GB2312" w:cs="Times New Roman"/>
                <w:kern w:val="0"/>
                <w:szCs w:val="21"/>
              </w:rPr>
            </w:pPr>
            <w:r>
              <w:rPr>
                <w:rFonts w:hint="eastAsia" w:ascii="宋体" w:hAnsi="宋体" w:eastAsia="宋体" w:cs="宋体"/>
                <w:sz w:val="22"/>
                <w:szCs w:val="22"/>
                <w:lang w:val="en-US" w:eastAsia="zh-CN"/>
              </w:rPr>
              <w:t>20103</w:t>
            </w:r>
          </w:p>
        </w:tc>
        <w:tc>
          <w:tcPr>
            <w:tcW w:w="4265" w:type="dxa"/>
            <w:gridSpan w:val="2"/>
            <w:tcBorders>
              <w:top w:val="nil"/>
              <w:left w:val="nil"/>
              <w:bottom w:val="single" w:color="auto" w:sz="4" w:space="0"/>
              <w:right w:val="single" w:color="auto" w:sz="4" w:space="0"/>
            </w:tcBorders>
            <w:shd w:val="clear" w:color="auto" w:fill="auto"/>
            <w:vAlign w:val="center"/>
          </w:tcPr>
          <w:p>
            <w:pPr>
              <w:bidi w:val="0"/>
              <w:rPr>
                <w:rFonts w:ascii="Times New Roman" w:hAnsi="Times New Roman" w:eastAsia="仿宋_GB2312" w:cs="Times New Roman"/>
                <w:kern w:val="0"/>
                <w:szCs w:val="21"/>
              </w:rPr>
            </w:pPr>
            <w:r>
              <w:rPr>
                <w:rFonts w:hint="eastAsia" w:ascii="宋体" w:hAnsi="宋体" w:eastAsia="宋体" w:cs="宋体"/>
                <w:sz w:val="18"/>
                <w:szCs w:val="18"/>
                <w:lang w:val="en-US" w:eastAsia="zh-CN"/>
              </w:rPr>
              <w:t>政府办公厅（室）及相关机构事务</w:t>
            </w:r>
          </w:p>
        </w:tc>
        <w:tc>
          <w:tcPr>
            <w:tcW w:w="2855" w:type="dxa"/>
            <w:tcBorders>
              <w:top w:val="nil"/>
              <w:left w:val="nil"/>
              <w:bottom w:val="single" w:color="auto" w:sz="4" w:space="0"/>
              <w:right w:val="single" w:color="auto" w:sz="4" w:space="0"/>
            </w:tcBorders>
            <w:shd w:val="clear" w:color="auto" w:fill="auto"/>
            <w:vAlign w:val="center"/>
          </w:tcPr>
          <w:p>
            <w:pPr>
              <w:bidi w:val="0"/>
              <w:jc w:val="right"/>
              <w:rPr>
                <w:rFonts w:ascii="Times New Roman" w:hAnsi="Times New Roman" w:eastAsia="仿宋_GB2312" w:cs="Times New Roman"/>
                <w:kern w:val="0"/>
                <w:szCs w:val="21"/>
              </w:rPr>
            </w:pPr>
            <w:r>
              <w:rPr>
                <w:rFonts w:hint="eastAsia" w:ascii="宋体" w:hAnsi="宋体" w:eastAsia="宋体" w:cs="宋体"/>
                <w:sz w:val="22"/>
                <w:szCs w:val="22"/>
                <w:lang w:val="en-US" w:eastAsia="zh-CN"/>
              </w:rPr>
              <w:t>219.54</w:t>
            </w:r>
          </w:p>
        </w:tc>
        <w:tc>
          <w:tcPr>
            <w:tcW w:w="3309" w:type="dxa"/>
            <w:tcBorders>
              <w:top w:val="nil"/>
              <w:left w:val="nil"/>
              <w:bottom w:val="single" w:color="auto" w:sz="4" w:space="0"/>
              <w:right w:val="single" w:color="auto" w:sz="4" w:space="0"/>
            </w:tcBorders>
            <w:shd w:val="clear" w:color="auto" w:fill="auto"/>
            <w:vAlign w:val="center"/>
          </w:tcPr>
          <w:p>
            <w:pPr>
              <w:bidi w:val="0"/>
              <w:jc w:val="right"/>
              <w:rPr>
                <w:rFonts w:ascii="Times New Roman" w:hAnsi="Times New Roman" w:eastAsia="仿宋_GB2312" w:cs="Times New Roman"/>
                <w:kern w:val="0"/>
                <w:szCs w:val="21"/>
              </w:rPr>
            </w:pPr>
            <w:r>
              <w:rPr>
                <w:rFonts w:hint="eastAsia" w:ascii="宋体" w:hAnsi="宋体" w:eastAsia="宋体" w:cs="宋体"/>
                <w:sz w:val="22"/>
                <w:szCs w:val="22"/>
                <w:lang w:val="en-US" w:eastAsia="zh-CN"/>
              </w:rPr>
              <w:t>219.54</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219.54</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219.54</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75"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37.63</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37.63</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13.65</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13.65</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23.98</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23.98</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5"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23.98</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23.98</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974.05</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974.05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974.05</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974.05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611.92</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611.92</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2120104</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324.63</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324.63</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37.50</w:t>
            </w:r>
          </w:p>
        </w:tc>
        <w:tc>
          <w:tcPr>
            <w:tcW w:w="3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37.50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262"/>
        <w:gridCol w:w="3140"/>
        <w:gridCol w:w="1039"/>
        <w:gridCol w:w="1156"/>
        <w:gridCol w:w="2169"/>
        <w:gridCol w:w="835"/>
        <w:gridCol w:w="1157"/>
        <w:gridCol w:w="3919"/>
        <w:gridCol w:w="93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道县城市管理综合行政执法大队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1066.662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92.543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504.73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208.19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14.48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106.20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53.10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57.05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26.61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22.41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1108.68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122.543</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道县城市管理综合行政执法大队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道县城市管理综合行政执法大队</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0"/>
        <w:gridCol w:w="1239"/>
        <w:gridCol w:w="1857"/>
        <w:gridCol w:w="1898"/>
        <w:gridCol w:w="1898"/>
        <w:gridCol w:w="1898"/>
        <w:gridCol w:w="1857"/>
        <w:gridCol w:w="18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5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6"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7" w:type="dxa"/>
            <w:vMerge w:val="continue"/>
            <w:vAlign w:val="center"/>
          </w:tcPr>
          <w:p>
            <w:pPr>
              <w:widowControl/>
              <w:jc w:val="left"/>
              <w:rPr>
                <w:rFonts w:ascii="Times New Roman" w:hAnsi="Times New Roman" w:eastAsia="仿宋_GB2312" w:cs="Times New Roman"/>
                <w:b/>
                <w:kern w:val="0"/>
                <w:szCs w:val="21"/>
              </w:rPr>
            </w:pPr>
          </w:p>
        </w:tc>
        <w:tc>
          <w:tcPr>
            <w:tcW w:w="1898" w:type="dxa"/>
            <w:vMerge w:val="continue"/>
            <w:vAlign w:val="center"/>
          </w:tcPr>
          <w:p>
            <w:pPr>
              <w:widowControl/>
              <w:jc w:val="left"/>
              <w:rPr>
                <w:rFonts w:ascii="Times New Roman" w:hAnsi="Times New Roman" w:eastAsia="仿宋_GB2312" w:cs="Times New Roman"/>
                <w:b/>
                <w:kern w:val="0"/>
                <w:szCs w:val="21"/>
              </w:rPr>
            </w:pPr>
          </w:p>
        </w:tc>
        <w:tc>
          <w:tcPr>
            <w:tcW w:w="189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5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7"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6" w:type="dxa"/>
            <w:gridSpan w:val="2"/>
            <w:vMerge w:val="continue"/>
            <w:vAlign w:val="center"/>
          </w:tcPr>
          <w:p>
            <w:pPr>
              <w:widowControl/>
              <w:jc w:val="left"/>
              <w:rPr>
                <w:rFonts w:ascii="Times New Roman" w:hAnsi="Times New Roman" w:eastAsia="仿宋_GB2312" w:cs="Times New Roman"/>
                <w:kern w:val="0"/>
                <w:szCs w:val="21"/>
              </w:rPr>
            </w:pPr>
          </w:p>
        </w:tc>
        <w:tc>
          <w:tcPr>
            <w:tcW w:w="1239"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6" w:type="dxa"/>
            <w:gridSpan w:val="2"/>
            <w:vMerge w:val="continue"/>
            <w:vAlign w:val="center"/>
          </w:tcPr>
          <w:p>
            <w:pPr>
              <w:widowControl/>
              <w:jc w:val="left"/>
              <w:rPr>
                <w:rFonts w:ascii="Times New Roman" w:hAnsi="Times New Roman" w:eastAsia="仿宋_GB2312" w:cs="Times New Roman"/>
                <w:kern w:val="0"/>
                <w:szCs w:val="21"/>
              </w:rPr>
            </w:pPr>
          </w:p>
        </w:tc>
        <w:tc>
          <w:tcPr>
            <w:tcW w:w="1239"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85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9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9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9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5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5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57"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道县城市管理综合行政执法大队</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560" w:type="dxa"/>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color w:val="000000"/>
                <w:kern w:val="0"/>
                <w:sz w:val="13"/>
                <w:szCs w:val="13"/>
              </w:rPr>
              <w:t>部门：</w:t>
            </w: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eastAsia="zh-CN"/>
              </w:rPr>
              <w:t>道县城市管理综合行政执法大队</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道县城市管理综合行政执法大队</w:t>
            </w:r>
            <w:r>
              <w:rPr>
                <w:rFonts w:hint="eastAsia" w:ascii="宋体" w:hAnsi="宋体" w:eastAsia="宋体" w:cs="宋体"/>
                <w:kern w:val="0"/>
                <w:sz w:val="24"/>
                <w:szCs w:val="24"/>
              </w:rPr>
              <w:t>没有</w:t>
            </w:r>
            <w:r>
              <w:rPr>
                <w:rFonts w:hint="eastAsia" w:ascii="宋体" w:hAnsi="宋体" w:eastAsia="宋体" w:cs="宋体"/>
                <w:kern w:val="0"/>
                <w:sz w:val="24"/>
                <w:szCs w:val="24"/>
                <w:lang w:eastAsia="zh-CN"/>
              </w:rPr>
              <w:t>国有资本经营</w:t>
            </w:r>
            <w:r>
              <w:rPr>
                <w:rFonts w:hint="eastAsia" w:ascii="宋体" w:hAnsi="宋体" w:eastAsia="宋体" w:cs="宋体"/>
                <w:kern w:val="0"/>
                <w:sz w:val="24"/>
                <w:szCs w:val="24"/>
              </w:rPr>
              <w:t>收入，也没有使用</w:t>
            </w:r>
            <w:r>
              <w:rPr>
                <w:rFonts w:hint="eastAsia" w:ascii="宋体" w:hAnsi="宋体" w:eastAsia="宋体" w:cs="宋体"/>
                <w:kern w:val="0"/>
                <w:sz w:val="24"/>
                <w:szCs w:val="24"/>
                <w:lang w:eastAsia="zh-CN"/>
              </w:rPr>
              <w:t>国有资本经营</w:t>
            </w:r>
            <w:r>
              <w:rPr>
                <w:rFonts w:hint="eastAsia" w:ascii="宋体" w:hAnsi="宋体" w:eastAsia="宋体" w:cs="宋体"/>
                <w:kern w:val="0"/>
                <w:sz w:val="24"/>
                <w:szCs w:val="24"/>
              </w:rPr>
              <w:t>安排的支出，故本表无数据。</w:t>
            </w:r>
          </w:p>
          <w:p>
            <w:pPr>
              <w:widowControl/>
              <w:jc w:val="left"/>
              <w:rPr>
                <w:rFonts w:hint="eastAsia"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ind w:firstLine="640" w:firstLineChars="200"/>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2462.44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119.46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5.10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人员经费与公用经费增加。</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1231.22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1231.22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1231.22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1231.22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2462.44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119.46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5.10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人员经费与公用经费增加。</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1231.22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59.73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5.10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人员经费与公用经费增加。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1231.22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219.54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17.83</w:t>
      </w:r>
      <w:r>
        <w:rPr>
          <w:rFonts w:hint="eastAsia" w:asciiTheme="minorEastAsia" w:hAnsiTheme="minorEastAsia" w:eastAsiaTheme="minorEastAsia"/>
          <w:sz w:val="32"/>
          <w:szCs w:val="32"/>
        </w:rPr>
        <w:t>%；社会保障和就业（类）支出</w:t>
      </w:r>
      <w:r>
        <w:rPr>
          <w:rFonts w:hint="eastAsia" w:asciiTheme="minorEastAsia" w:hAnsiTheme="minorEastAsia" w:eastAsiaTheme="minorEastAsia"/>
          <w:sz w:val="32"/>
          <w:szCs w:val="32"/>
          <w:lang w:val="en-US" w:eastAsia="zh-CN"/>
        </w:rPr>
        <w:t>37.63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974.05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79.11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1293.41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1231.22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95.19</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  行政运行（项）。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219.54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2、社会保障和就业支出（类）行政事业单位养老支出（款）机关事业单位基本养老保险缴费支出（项）。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13.65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、社会保障和就业支出（类）抚恤（款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死亡抚恤（项）。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23.98</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、城乡社区支出（类）城乡社区管理事务（款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行政运行（项）。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674.11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611.92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90.77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、城乡社区支出（类）城乡社区管理事务（款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城管执法（项）。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324.63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324.63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、城乡社区支出（类）城乡社区管理事务（款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其他城乡社区管理事务支出（项）。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37.50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37.50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1231.22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1108.68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90.05</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绩效工资、机关事业单位基本养老保险缴费、职工基本医疗保险缴费、其他社会保障缴费、其他工资福利支出、抚恤金、医疗费补助、其他对个人和家庭的补助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122.54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9.95</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电费、邮电费、差旅费、会议费、培训费、公务接待费、专用材料费、劳务费、工会经费、福利费、公务用车运行维护费、其他交通费用、专用设备购置</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13.85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89.35</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stheme="minorEastAsia"/>
          <w:color w:val="000000"/>
          <w:kern w:val="0"/>
          <w:sz w:val="32"/>
          <w:szCs w:val="32"/>
          <w:lang w:val="en-US" w:eastAsia="zh-CN" w:bidi="ar"/>
        </w:rPr>
        <w:t>2021年度我单位未开展因</w:t>
      </w:r>
      <w:r>
        <w:rPr>
          <w:rFonts w:hint="eastAsia" w:asciiTheme="minorEastAsia" w:hAnsiTheme="minorEastAsia" w:eastAsiaTheme="minorEastAsia"/>
          <w:sz w:val="32"/>
          <w:szCs w:val="32"/>
        </w:rPr>
        <w:t>公出国（境）</w:t>
      </w:r>
      <w:r>
        <w:rPr>
          <w:rFonts w:hint="eastAsia" w:asciiTheme="minorEastAsia" w:hAnsiTheme="minorEastAsia" w:eastAsiaTheme="minorEastAsia"/>
          <w:sz w:val="32"/>
          <w:szCs w:val="32"/>
          <w:lang w:eastAsia="zh-CN"/>
        </w:rPr>
        <w:t>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3.83</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14.50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13.20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91.03</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0.29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2.14</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13.20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95.31</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stheme="minorEastAsia"/>
          <w:color w:val="000000"/>
          <w:kern w:val="0"/>
          <w:sz w:val="32"/>
          <w:szCs w:val="32"/>
          <w:lang w:val="en-US" w:eastAsia="zh-CN" w:bidi="ar"/>
        </w:rPr>
        <w:t>2021年度我单位未开展因</w:t>
      </w:r>
      <w:r>
        <w:rPr>
          <w:rFonts w:hint="eastAsia" w:asciiTheme="minorEastAsia" w:hAnsiTheme="minorEastAsia" w:eastAsiaTheme="minorEastAsia"/>
          <w:sz w:val="32"/>
          <w:szCs w:val="32"/>
        </w:rPr>
        <w:t>公出国（境）</w:t>
      </w:r>
      <w:r>
        <w:rPr>
          <w:rFonts w:hint="eastAsia" w:asciiTheme="minorEastAsia" w:hAnsiTheme="minorEastAsia" w:eastAsiaTheme="minorEastAsia"/>
          <w:sz w:val="32"/>
          <w:szCs w:val="32"/>
          <w:lang w:eastAsia="zh-CN"/>
        </w:rPr>
        <w:t>活动。</w:t>
      </w:r>
    </w:p>
    <w:p>
      <w:pPr>
        <w:keepNext w:val="0"/>
        <w:keepLines w:val="0"/>
        <w:widowControl/>
        <w:suppressLineNumbers w:val="0"/>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sz w:val="32"/>
          <w:szCs w:val="32"/>
          <w:lang w:val="en-US" w:eastAsia="zh-CN"/>
        </w:rPr>
        <w:t>0.65</w:t>
      </w:r>
      <w:r>
        <w:rPr>
          <w:rFonts w:hint="eastAsia" w:asciiTheme="minorEastAsia" w:hAnsiTheme="minorEastAsia" w:eastAsiaTheme="minorEastAsia"/>
          <w:sz w:val="32"/>
          <w:szCs w:val="32"/>
        </w:rPr>
        <w:t>万元，全年共接待来访团组</w:t>
      </w:r>
      <w:r>
        <w:rPr>
          <w:rFonts w:hint="eastAsia" w:asciiTheme="minorEastAsia" w:hAnsiTheme="minorEastAsia"/>
          <w:sz w:val="32"/>
          <w:szCs w:val="32"/>
          <w:lang w:val="en-US" w:eastAsia="zh-CN"/>
        </w:rPr>
        <w:t>11</w:t>
      </w:r>
      <w:r>
        <w:rPr>
          <w:rFonts w:hint="eastAsia" w:asciiTheme="minorEastAsia" w:hAnsiTheme="minorEastAsia" w:eastAsiaTheme="minorEastAsia"/>
          <w:sz w:val="32"/>
          <w:szCs w:val="32"/>
        </w:rPr>
        <w:t>个、来宾</w:t>
      </w:r>
      <w:r>
        <w:rPr>
          <w:rFonts w:hint="eastAsia" w:asciiTheme="minorEastAsia" w:hAnsiTheme="minorEastAsia"/>
          <w:sz w:val="32"/>
          <w:szCs w:val="32"/>
          <w:lang w:val="en-US" w:eastAsia="zh-CN"/>
        </w:rPr>
        <w:t>89</w:t>
      </w:r>
      <w:r>
        <w:rPr>
          <w:rFonts w:hint="eastAsia" w:asciiTheme="minorEastAsia" w:hAnsiTheme="minorEastAsia" w:eastAsiaTheme="minorEastAsia"/>
          <w:sz w:val="32"/>
          <w:szCs w:val="32"/>
        </w:rPr>
        <w:t>人次，主要是</w:t>
      </w:r>
      <w:r>
        <w:rPr>
          <w:rFonts w:hint="eastAsia" w:asciiTheme="minorEastAsia" w:hAnsiTheme="minorEastAsia" w:eastAsiaTheme="minorEastAsia" w:cstheme="minorEastAsia"/>
          <w:color w:val="000000"/>
          <w:kern w:val="0"/>
          <w:sz w:val="32"/>
          <w:szCs w:val="32"/>
          <w:lang w:val="en-US" w:eastAsia="zh-CN" w:bidi="ar"/>
        </w:rPr>
        <w:t>学习交流、上级检查考察等</w:t>
      </w:r>
      <w:r>
        <w:rPr>
          <w:rFonts w:hint="eastAsia" w:asciiTheme="minorEastAsia" w:hAnsiTheme="minorEastAsia" w:eastAsiaTheme="minorEastAsia"/>
          <w:sz w:val="32"/>
          <w:szCs w:val="32"/>
        </w:rPr>
        <w:t>发生的接待支出。</w:t>
      </w:r>
    </w:p>
    <w:p>
      <w:pPr>
        <w:pStyle w:val="11"/>
        <w:ind w:firstLine="640" w:firstLineChars="200"/>
        <w:rPr>
          <w:rFonts w:hint="eastAsia" w:asciiTheme="minorEastAsia" w:hAnsiTheme="minorEastAsia"/>
          <w:sz w:val="32"/>
          <w:szCs w:val="32"/>
        </w:rPr>
      </w:pPr>
      <w:r>
        <w:rPr>
          <w:rFonts w:hint="eastAsia" w:asciiTheme="minorEastAsia" w:hAnsiTheme="minorEastAsia" w:eastAsiaTheme="minorEastAsia" w:cstheme="minorEastAsia"/>
          <w:sz w:val="32"/>
          <w:szCs w:val="32"/>
        </w:rPr>
        <w:t>3、公务用车购置费及运行维护费支出决算为</w:t>
      </w:r>
      <w:r>
        <w:rPr>
          <w:rFonts w:hint="eastAsia" w:asciiTheme="minorEastAsia" w:hAnsiTheme="minorEastAsia" w:eastAsiaTheme="minorEastAsia" w:cstheme="minorEastAsia"/>
          <w:sz w:val="32"/>
          <w:szCs w:val="32"/>
          <w:lang w:val="en-US" w:eastAsia="zh-CN"/>
        </w:rPr>
        <w:t>13.20</w:t>
      </w:r>
      <w:r>
        <w:rPr>
          <w:rFonts w:hint="eastAsia" w:asciiTheme="minorEastAsia" w:hAnsiTheme="minorEastAsia" w:eastAsiaTheme="minorEastAsia" w:cstheme="minorEastAsia"/>
          <w:sz w:val="32"/>
          <w:szCs w:val="32"/>
        </w:rPr>
        <w:t>万元，其中：公务用车购置费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公务用车购置</w:t>
      </w:r>
      <w:r>
        <w:rPr>
          <w:rFonts w:hint="eastAsia" w:asciiTheme="minorEastAsia" w:hAnsiTheme="minorEastAsia" w:eastAsiaTheme="minorEastAsia" w:cstheme="minorEastAsia"/>
          <w:sz w:val="32"/>
          <w:szCs w:val="32"/>
          <w:lang w:val="en-US" w:eastAsia="zh-CN"/>
        </w:rPr>
        <w:t>0辆</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sz w:val="32"/>
          <w:szCs w:val="32"/>
        </w:rPr>
        <w:t>公务用车运行维护费</w:t>
      </w:r>
      <w:r>
        <w:rPr>
          <w:rFonts w:hint="eastAsia" w:asciiTheme="minorEastAsia" w:hAnsiTheme="minorEastAsia" w:eastAsiaTheme="minorEastAsia" w:cstheme="minorEastAsia"/>
          <w:sz w:val="32"/>
          <w:szCs w:val="32"/>
          <w:lang w:val="en-US" w:eastAsia="zh-CN"/>
        </w:rPr>
        <w:t>13.20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主要是公务用车运行维护支出，</w:t>
      </w:r>
      <w:r>
        <w:rPr>
          <w:rFonts w:hint="eastAsia" w:asciiTheme="minorEastAsia" w:hAnsiTheme="minorEastAsia" w:eastAsiaTheme="minorEastAsia" w:cstheme="minorEastAsia"/>
          <w:sz w:val="32"/>
          <w:szCs w:val="32"/>
        </w:rPr>
        <w:t>截止2021年12月31日，我单位开支财政拨款的公务用车保有量为</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政府性基金预算财政拨款</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122.53</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27.84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29.40</w:t>
      </w:r>
      <w:r>
        <w:rPr>
          <w:rFonts w:hint="eastAsia" w:asciiTheme="minorEastAsia" w:hAnsiTheme="minorEastAsia" w:eastAsiaTheme="minorEastAsia"/>
          <w:sz w:val="32"/>
          <w:szCs w:val="32"/>
        </w:rPr>
        <w:t>%。主要原因是因工作需要，增加专用设备购置费用。</w:t>
      </w:r>
    </w:p>
    <w:p>
      <w:pPr>
        <w:pStyle w:val="11"/>
        <w:ind w:firstLine="640" w:firstLineChars="200"/>
        <w:rPr>
          <w:rFonts w:hAnsi="黑体"/>
          <w:b/>
          <w:sz w:val="32"/>
          <w:szCs w:val="32"/>
        </w:rPr>
      </w:pPr>
      <w:r>
        <w:rPr>
          <w:rFonts w:hint="eastAsia" w:hAnsi="黑体"/>
          <w:b/>
          <w:sz w:val="32"/>
          <w:szCs w:val="32"/>
        </w:rPr>
        <w:t>十、一般性支出情况说明</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2021年本部门开支会议费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cstheme="minorEastAsia"/>
          <w:sz w:val="32"/>
          <w:szCs w:val="32"/>
          <w:lang w:val="en-US" w:eastAsia="zh-CN"/>
        </w:rPr>
        <w:t>10</w:t>
      </w:r>
      <w:r>
        <w:rPr>
          <w:rFonts w:hint="eastAsia" w:asciiTheme="minorEastAsia" w:hAnsiTheme="minorEastAsia" w:eastAsiaTheme="minorEastAsia" w:cstheme="minorEastAsia"/>
          <w:sz w:val="32"/>
          <w:szCs w:val="32"/>
        </w:rPr>
        <w:t>万元，用于召开</w:t>
      </w:r>
      <w:r>
        <w:rPr>
          <w:rFonts w:hint="eastAsia" w:asciiTheme="minorEastAsia" w:hAnsiTheme="minorEastAsia" w:eastAsiaTheme="minorEastAsia" w:cstheme="minorEastAsia"/>
          <w:color w:val="000000"/>
          <w:kern w:val="0"/>
          <w:sz w:val="32"/>
          <w:szCs w:val="32"/>
          <w:lang w:val="en-US" w:eastAsia="zh-CN" w:bidi="ar"/>
        </w:rPr>
        <w:t>用于城市管理系统工作会议，人数</w:t>
      </w:r>
      <w:r>
        <w:rPr>
          <w:rFonts w:hint="eastAsia" w:asciiTheme="minorEastAsia" w:hAnsiTheme="minorEastAsia" w:cstheme="minorEastAsia"/>
          <w:color w:val="000000"/>
          <w:kern w:val="0"/>
          <w:sz w:val="32"/>
          <w:szCs w:val="32"/>
          <w:lang w:val="en-US" w:eastAsia="zh-CN" w:bidi="ar"/>
        </w:rPr>
        <w:t>120</w:t>
      </w:r>
      <w:r>
        <w:rPr>
          <w:rFonts w:hint="eastAsia" w:asciiTheme="minorEastAsia" w:hAnsiTheme="minorEastAsia" w:eastAsiaTheme="minorEastAsia" w:cstheme="minorEastAsia"/>
          <w:color w:val="000000"/>
          <w:kern w:val="0"/>
          <w:sz w:val="32"/>
          <w:szCs w:val="32"/>
          <w:lang w:val="en-US" w:eastAsia="zh-CN" w:bidi="ar"/>
        </w:rPr>
        <w:t>人，内容为创建国家文明城市工作与城市管理执法人员素质提升；开支培训费0.</w:t>
      </w:r>
      <w:r>
        <w:rPr>
          <w:rFonts w:hint="eastAsia" w:asciiTheme="minorEastAsia" w:hAnsiTheme="minorEastAsia" w:cstheme="minorEastAsia"/>
          <w:color w:val="000000"/>
          <w:kern w:val="0"/>
          <w:sz w:val="32"/>
          <w:szCs w:val="32"/>
          <w:lang w:val="en-US" w:eastAsia="zh-CN" w:bidi="ar"/>
        </w:rPr>
        <w:t>59</w:t>
      </w:r>
      <w:r>
        <w:rPr>
          <w:rFonts w:hint="eastAsia" w:asciiTheme="minorEastAsia" w:hAnsiTheme="minorEastAsia" w:eastAsiaTheme="minorEastAsia" w:cstheme="minorEastAsia"/>
          <w:color w:val="000000"/>
          <w:kern w:val="0"/>
          <w:sz w:val="32"/>
          <w:szCs w:val="32"/>
          <w:lang w:val="en-US" w:eastAsia="zh-CN" w:bidi="ar"/>
        </w:rPr>
        <w:t xml:space="preserve">万元，用于加强执法人员能力与素质培训，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人数</w:t>
      </w:r>
      <w:r>
        <w:rPr>
          <w:rFonts w:hint="eastAsia" w:asciiTheme="minorEastAsia" w:hAnsiTheme="minorEastAsia" w:cstheme="minorEastAsia"/>
          <w:color w:val="000000"/>
          <w:kern w:val="0"/>
          <w:sz w:val="32"/>
          <w:szCs w:val="32"/>
          <w:lang w:val="en-US" w:eastAsia="zh-CN" w:bidi="ar"/>
        </w:rPr>
        <w:t>150</w:t>
      </w:r>
      <w:r>
        <w:rPr>
          <w:rFonts w:hint="eastAsia" w:asciiTheme="minorEastAsia" w:hAnsiTheme="minorEastAsia" w:eastAsiaTheme="minorEastAsia" w:cstheme="minorEastAsia"/>
          <w:color w:val="000000"/>
          <w:kern w:val="0"/>
          <w:sz w:val="32"/>
          <w:szCs w:val="32"/>
          <w:lang w:val="en-US" w:eastAsia="zh-CN" w:bidi="ar"/>
        </w:rPr>
        <w:t>人，内容为培训资料与授课费的支出；未举办节庆、晚会、论坛、赛事活动。</w:t>
      </w:r>
    </w:p>
    <w:p>
      <w:pPr>
        <w:pStyle w:val="11"/>
        <w:ind w:firstLine="640" w:firstLineChars="200"/>
        <w:rPr>
          <w:rFonts w:hAnsi="黑体"/>
          <w:b/>
          <w:sz w:val="32"/>
          <w:szCs w:val="32"/>
        </w:rPr>
      </w:pPr>
      <w:r>
        <w:rPr>
          <w:rFonts w:hint="eastAsia" w:hAnsi="黑体"/>
          <w:b/>
          <w:sz w:val="32"/>
          <w:szCs w:val="32"/>
        </w:rPr>
        <w:t>十一、政府采购支出说明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12.00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12.00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12.00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12.00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用于市容市貌日常维护和整治</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hint="eastAsia" w:cs="黑体" w:asciiTheme="minorEastAsia" w:hAnsiTheme="minorEastAsia"/>
          <w:color w:val="000000"/>
          <w:kern w:val="0"/>
          <w:sz w:val="32"/>
          <w:szCs w:val="32"/>
          <w:lang w:eastAsia="zh-CN"/>
        </w:rPr>
        <w:t>本单位</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年度开展整体支出绩效评价，涉及一般公共预算支出</w:t>
      </w:r>
      <w:r>
        <w:rPr>
          <w:rFonts w:hint="eastAsia" w:cs="黑体" w:asciiTheme="minorEastAsia" w:hAnsiTheme="minorEastAsia"/>
          <w:color w:val="000000"/>
          <w:kern w:val="0"/>
          <w:sz w:val="32"/>
          <w:szCs w:val="32"/>
          <w:lang w:val="en-US" w:eastAsia="zh-CN"/>
        </w:rPr>
        <w:t>1231.22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val="en-US" w:eastAsia="zh-CN" w:bidi="ar"/>
        </w:rPr>
        <w:t xml:space="preserve">财政拨款收入：指单位本年度从同级财政部门取得的各类财政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拨款。</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val="en-US" w:eastAsia="zh-CN" w:bidi="ar"/>
        </w:rPr>
        <w:t xml:space="preserve">机关运行经费：指行政单位（含参照公务员法管理的事业单位）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公务用车运行维护费及其他费用。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三、</w:t>
      </w:r>
      <w:r>
        <w:rPr>
          <w:rFonts w:hint="eastAsia" w:asciiTheme="minorEastAsia" w:hAnsiTheme="minorEastAsia" w:eastAsiaTheme="minorEastAsia" w:cstheme="minorEastAsia"/>
          <w:color w:val="000000"/>
          <w:kern w:val="0"/>
          <w:sz w:val="32"/>
          <w:szCs w:val="32"/>
          <w:lang w:val="en-US" w:eastAsia="zh-CN" w:bidi="ar"/>
        </w:rPr>
        <w:t xml:space="preserve">“三公”经费：指单位用一般公共预算财政拨款安排的因公出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用。</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四、基本支出：指为保障机构正常运转、完成日常工作任务而发生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 xml:space="preserve">的支出，包括人员经费和公用经费。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五、项目支出：指在为完成特定的工作任务和事业发展目标所发生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的支出。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numPr>
          <w:ilvl w:val="0"/>
          <w:numId w:val="1"/>
        </w:numPr>
        <w:spacing w:line="540"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sz w:val="32"/>
          <w:szCs w:val="32"/>
        </w:rPr>
        <w:t>市容秩序管理日益规范。</w:t>
      </w:r>
      <w:r>
        <w:rPr>
          <w:rFonts w:hint="eastAsia" w:asciiTheme="minorEastAsia" w:hAnsiTheme="minorEastAsia" w:eastAsiaTheme="minorEastAsia" w:cstheme="minorEastAsia"/>
          <w:b/>
          <w:bCs/>
          <w:color w:val="000000"/>
          <w:sz w:val="32"/>
          <w:szCs w:val="32"/>
        </w:rPr>
        <w:t>实施便民工程。</w:t>
      </w:r>
      <w:r>
        <w:rPr>
          <w:rFonts w:hint="eastAsia" w:asciiTheme="minorEastAsia" w:hAnsiTheme="minorEastAsia" w:eastAsiaTheme="minorEastAsia" w:cstheme="minorEastAsia"/>
          <w:color w:val="000000"/>
          <w:sz w:val="32"/>
          <w:szCs w:val="32"/>
        </w:rPr>
        <w:t>设置自产自销便民服务点，规范农副产品经营；夜市、烧烤摊点等集中经营；制作20块百姓信息发布栏，方便市民粘贴广告信息，减少“牛皮癣”。</w:t>
      </w:r>
    </w:p>
    <w:p>
      <w:pPr>
        <w:numPr>
          <w:ilvl w:val="0"/>
          <w:numId w:val="1"/>
        </w:numPr>
        <w:spacing w:line="540" w:lineRule="exact"/>
        <w:ind w:left="0" w:leftChars="0" w:firstLine="640" w:firstLineChars="200"/>
        <w:rPr>
          <w:rFonts w:hint="eastAsia" w:asciiTheme="minorEastAsia" w:hAnsiTheme="minorEastAsia" w:eastAsiaTheme="minorEastAsia" w:cstheme="minorEastAsia"/>
          <w:color w:val="232323"/>
          <w:kern w:val="0"/>
          <w:sz w:val="32"/>
          <w:szCs w:val="32"/>
        </w:rPr>
      </w:pPr>
      <w:r>
        <w:rPr>
          <w:rFonts w:hint="eastAsia" w:asciiTheme="minorEastAsia" w:hAnsiTheme="minorEastAsia" w:eastAsiaTheme="minorEastAsia" w:cstheme="minorEastAsia"/>
          <w:b/>
          <w:bCs/>
          <w:color w:val="000000"/>
          <w:sz w:val="32"/>
          <w:szCs w:val="32"/>
        </w:rPr>
        <w:t>规范摊点管理，</w:t>
      </w:r>
      <w:r>
        <w:rPr>
          <w:rFonts w:hint="eastAsia" w:asciiTheme="minorEastAsia" w:hAnsiTheme="minorEastAsia" w:eastAsiaTheme="minorEastAsia" w:cstheme="minorEastAsia"/>
          <w:color w:val="232323"/>
          <w:kern w:val="0"/>
          <w:sz w:val="32"/>
          <w:szCs w:val="32"/>
        </w:rPr>
        <w:t>加强摊点入市、入店经营治理工作，对早点夜市进行全面规范，</w:t>
      </w:r>
      <w:r>
        <w:rPr>
          <w:rFonts w:hint="eastAsia" w:asciiTheme="minorEastAsia" w:hAnsiTheme="minorEastAsia" w:eastAsiaTheme="minorEastAsia" w:cstheme="minorEastAsia"/>
          <w:color w:val="000000"/>
          <w:sz w:val="32"/>
          <w:szCs w:val="32"/>
        </w:rPr>
        <w:t>清除出店、占道经营110余个，固定摊位91个，其它占道违章行为108起,取缔广场摊担、占道烧烤46处，</w:t>
      </w:r>
      <w:r>
        <w:rPr>
          <w:rFonts w:hint="eastAsia" w:asciiTheme="minorEastAsia" w:hAnsiTheme="minorEastAsia" w:eastAsiaTheme="minorEastAsia" w:cstheme="minorEastAsia"/>
          <w:color w:val="232323"/>
          <w:kern w:val="0"/>
          <w:sz w:val="32"/>
          <w:szCs w:val="32"/>
        </w:rPr>
        <w:t>基本做到定时定点和划线经营。</w:t>
      </w:r>
    </w:p>
    <w:p>
      <w:pPr>
        <w:numPr>
          <w:ilvl w:val="0"/>
          <w:numId w:val="1"/>
        </w:numPr>
        <w:spacing w:line="540" w:lineRule="exact"/>
        <w:ind w:left="0" w:leftChars="0"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color w:val="232323"/>
          <w:kern w:val="0"/>
          <w:sz w:val="32"/>
          <w:szCs w:val="32"/>
        </w:rPr>
        <w:t>规范</w:t>
      </w:r>
      <w:r>
        <w:rPr>
          <w:rFonts w:hint="eastAsia" w:asciiTheme="minorEastAsia" w:hAnsiTheme="minorEastAsia" w:eastAsiaTheme="minorEastAsia" w:cstheme="minorEastAsia"/>
          <w:b/>
          <w:bCs/>
          <w:color w:val="000000"/>
          <w:sz w:val="32"/>
          <w:szCs w:val="32"/>
        </w:rPr>
        <w:t>户外广告，</w:t>
      </w:r>
      <w:r>
        <w:rPr>
          <w:rFonts w:hint="eastAsia" w:asciiTheme="minorEastAsia" w:hAnsiTheme="minorEastAsia" w:eastAsiaTheme="minorEastAsia" w:cstheme="minorEastAsia"/>
          <w:color w:val="000000"/>
          <w:sz w:val="32"/>
          <w:szCs w:val="32"/>
        </w:rPr>
        <w:t>累计清除商业条幅8600余条，清理乱吊挂、乱张贴460余处，收缴违规小广告牌、灯箱等74块，拆除和规范广告牌匾210余块，拆除违章电线杆广告牌81块，拆除破损店招120余块，改造濂溪南北路广告牌匾37块。</w:t>
      </w:r>
    </w:p>
    <w:p>
      <w:pPr>
        <w:numPr>
          <w:ilvl w:val="0"/>
          <w:numId w:val="1"/>
        </w:numPr>
        <w:spacing w:line="540" w:lineRule="exact"/>
        <w:ind w:left="0" w:leftChars="0"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更换门店招牌，</w:t>
      </w:r>
      <w:r>
        <w:rPr>
          <w:rFonts w:hint="eastAsia" w:asciiTheme="minorEastAsia" w:hAnsiTheme="minorEastAsia" w:eastAsiaTheme="minorEastAsia" w:cstheme="minorEastAsia"/>
          <w:sz w:val="32"/>
          <w:szCs w:val="32"/>
        </w:rPr>
        <w:t>共摸底1567户，整治街道4条，共发放告知书1366份，收回申请表793份，已审批792份，自行整改940块，自行拆除2152块，组织拆除布幔、橱窗、纸质等广告191块，完成老旧小区改造门店招牌206块。</w:t>
      </w:r>
    </w:p>
    <w:p>
      <w:pPr>
        <w:numPr>
          <w:ilvl w:val="0"/>
          <w:numId w:val="1"/>
        </w:numPr>
        <w:spacing w:line="540" w:lineRule="exact"/>
        <w:ind w:left="0" w:leftChars="0"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取缔马路市场，</w:t>
      </w:r>
      <w:r>
        <w:rPr>
          <w:rFonts w:hint="eastAsia" w:asciiTheme="minorEastAsia" w:hAnsiTheme="minorEastAsia" w:eastAsiaTheme="minorEastAsia" w:cstheme="minorEastAsia"/>
          <w:color w:val="232323"/>
          <w:kern w:val="0"/>
          <w:sz w:val="32"/>
          <w:szCs w:val="32"/>
        </w:rPr>
        <w:t>按照县委县政府“六出城、六取缔”的相关规定，先后取缔了敦颐广场鱼市场等13个马路市场，营江路、爱莲路、人民医院门口、西洲公园、濂溪河南北两岸等重点地段得到有效规范。</w:t>
      </w:r>
    </w:p>
    <w:p>
      <w:pPr>
        <w:numPr>
          <w:ilvl w:val="0"/>
          <w:numId w:val="1"/>
        </w:numPr>
        <w:spacing w:line="540" w:lineRule="exact"/>
        <w:ind w:left="0" w:leftChars="0"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color w:val="000000"/>
          <w:sz w:val="32"/>
          <w:szCs w:val="32"/>
          <w:shd w:val="clear" w:color="auto" w:fill="FFFFFF"/>
        </w:rPr>
        <w:t>持续禁燃禁放</w:t>
      </w:r>
      <w:r>
        <w:rPr>
          <w:rFonts w:hint="eastAsia" w:asciiTheme="minorEastAsia" w:hAnsiTheme="minorEastAsia" w:eastAsiaTheme="minorEastAsia" w:cstheme="minorEastAsia"/>
          <w:color w:val="000000"/>
          <w:sz w:val="32"/>
          <w:szCs w:val="32"/>
          <w:shd w:val="clear" w:color="auto" w:fill="FFFFFF"/>
        </w:rPr>
        <w:t>，传统节日（春节、中元节）禁止燃放烟花爆竹26起，千百年陋习基本改变。</w:t>
      </w:r>
    </w:p>
    <w:p>
      <w:pPr>
        <w:numPr>
          <w:ilvl w:val="0"/>
          <w:numId w:val="1"/>
        </w:numPr>
        <w:spacing w:line="540" w:lineRule="exact"/>
        <w:ind w:left="0" w:leftChars="0"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color w:val="000000"/>
          <w:sz w:val="32"/>
          <w:szCs w:val="32"/>
        </w:rPr>
        <w:t>城区立面整洁</w:t>
      </w:r>
      <w:r>
        <w:rPr>
          <w:rFonts w:hint="eastAsia" w:asciiTheme="minorEastAsia" w:hAnsiTheme="minorEastAsia" w:eastAsiaTheme="minorEastAsia" w:cstheme="minorEastAsia"/>
          <w:color w:val="000000"/>
          <w:sz w:val="32"/>
          <w:szCs w:val="32"/>
        </w:rPr>
        <w:t>，清洗牛皮癣广告145.6万余条，改善了城市立面面貌。</w:t>
      </w:r>
    </w:p>
    <w:p>
      <w:pPr>
        <w:numPr>
          <w:ilvl w:val="0"/>
          <w:numId w:val="1"/>
        </w:numPr>
        <w:spacing w:line="540" w:lineRule="exact"/>
        <w:ind w:left="0" w:leftChars="0"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color w:val="232323"/>
          <w:kern w:val="0"/>
          <w:sz w:val="32"/>
          <w:szCs w:val="32"/>
        </w:rPr>
        <w:t>治理城市乱象</w:t>
      </w:r>
      <w:r>
        <w:rPr>
          <w:rFonts w:hint="eastAsia" w:asciiTheme="minorEastAsia" w:hAnsiTheme="minorEastAsia" w:eastAsiaTheme="minorEastAsia" w:cstheme="minorEastAsia"/>
          <w:color w:val="000000"/>
          <w:sz w:val="32"/>
          <w:szCs w:val="32"/>
        </w:rPr>
        <w:t>，教育劝导违章停放6500余台次，处罚违章停放摩托车520台次、小车350台次；吊离占道堆放报废车37台，移走摆放在人行道上的搅拌拖车18台、履带传输机26台。</w:t>
      </w:r>
    </w:p>
    <w:p>
      <w:pPr>
        <w:numPr>
          <w:ilvl w:val="0"/>
          <w:numId w:val="1"/>
        </w:numPr>
        <w:spacing w:line="540" w:lineRule="exact"/>
        <w:ind w:left="0" w:leftChars="0"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color w:val="000000"/>
          <w:sz w:val="32"/>
          <w:szCs w:val="32"/>
        </w:rPr>
        <w:t>遏制乱搭乱建，</w:t>
      </w:r>
      <w:r>
        <w:rPr>
          <w:rFonts w:hint="eastAsia" w:asciiTheme="minorEastAsia" w:hAnsiTheme="minorEastAsia" w:eastAsiaTheme="minorEastAsia" w:cstheme="minorEastAsia"/>
          <w:sz w:val="32"/>
          <w:szCs w:val="32"/>
        </w:rPr>
        <w:t>严格做到宣传无死角、巡查无盲区、管理无漏洞、执法无情面、执行无条件，以“零容忍”的态度实行严管重罚。</w:t>
      </w:r>
    </w:p>
    <w:p>
      <w:pPr>
        <w:numPr>
          <w:ilvl w:val="0"/>
          <w:numId w:val="0"/>
        </w:numPr>
        <w:spacing w:line="580" w:lineRule="exact"/>
        <w:ind w:firstLine="640" w:firstLineChars="200"/>
        <w:rPr>
          <w:rFonts w:hint="eastAsia" w:ascii="楷体" w:hAnsi="楷体" w:eastAsia="楷体" w:cs="楷体"/>
          <w:b/>
          <w:sz w:val="32"/>
          <w:szCs w:val="32"/>
          <w:lang w:val="en-US" w:eastAsia="zh-CN"/>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64584"/>
    <w:multiLevelType w:val="singleLevel"/>
    <w:tmpl w:val="CD7645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9E2010"/>
    <w:rsid w:val="03E5769A"/>
    <w:rsid w:val="079B4EA4"/>
    <w:rsid w:val="0BDC31C7"/>
    <w:rsid w:val="1BF92D97"/>
    <w:rsid w:val="1C063A19"/>
    <w:rsid w:val="20306704"/>
    <w:rsid w:val="219B16EB"/>
    <w:rsid w:val="240D10DB"/>
    <w:rsid w:val="2455194A"/>
    <w:rsid w:val="2E4651F7"/>
    <w:rsid w:val="30656A38"/>
    <w:rsid w:val="382466B0"/>
    <w:rsid w:val="3BFA615B"/>
    <w:rsid w:val="409C7D1F"/>
    <w:rsid w:val="417D160D"/>
    <w:rsid w:val="44E126D9"/>
    <w:rsid w:val="4B423B1E"/>
    <w:rsid w:val="4D492D2C"/>
    <w:rsid w:val="52A76CBB"/>
    <w:rsid w:val="54084068"/>
    <w:rsid w:val="56E1231F"/>
    <w:rsid w:val="6550205D"/>
    <w:rsid w:val="69AC1575"/>
    <w:rsid w:val="6B620FDE"/>
    <w:rsid w:val="6C110DB7"/>
    <w:rsid w:val="6EDF710D"/>
    <w:rsid w:val="6F2A26E8"/>
    <w:rsid w:val="740B073B"/>
    <w:rsid w:val="7AAB0966"/>
    <w:rsid w:val="7D79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spacing w:line="360" w:lineRule="auto"/>
      <w:ind w:firstLine="420" w:firstLineChars="100"/>
    </w:pPr>
    <w:rPr>
      <w:rFonts w:eastAsia="华文仿宋"/>
      <w:sz w:val="30"/>
      <w:szCs w:val="21"/>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2023-09-28T03:41:30Z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