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600" w:beforeAutospacing="0" w:after="150" w:afterAutospacing="0" w:line="450" w:lineRule="atLeast"/>
        <w:ind w:right="0"/>
        <w:jc w:val="center"/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  <w:t>20</w:t>
      </w: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/>
        </w:rPr>
        <w:t>21</w:t>
      </w: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  <w:t>年度</w:t>
      </w:r>
      <w:r>
        <w:rPr>
          <w:rFonts w:hint="eastAsia" w:ascii="黑体" w:hAnsi="宋体" w:eastAsia="黑体"/>
          <w:bCs/>
          <w:sz w:val="36"/>
          <w:szCs w:val="36"/>
        </w:rPr>
        <w:t>道县</w:t>
      </w:r>
      <w:r>
        <w:rPr>
          <w:rFonts w:hint="eastAsia" w:ascii="黑体" w:hAnsi="宋体" w:eastAsia="黑体"/>
          <w:bCs/>
          <w:sz w:val="36"/>
          <w:szCs w:val="36"/>
          <w:lang w:val="en-US" w:eastAsia="zh-CN"/>
        </w:rPr>
        <w:t>旅游发展服务中心</w:t>
      </w: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  <w:t>部门整体支出</w:t>
      </w:r>
    </w:p>
    <w:p>
      <w:pPr>
        <w:pStyle w:val="3"/>
        <w:widowControl/>
        <w:spacing w:before="600" w:beforeAutospacing="0" w:after="150" w:afterAutospacing="0" w:line="450" w:lineRule="atLeast"/>
        <w:ind w:right="0"/>
        <w:jc w:val="center"/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  <w:t>绩效</w:t>
      </w: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  <w:lang w:val="en-US" w:eastAsia="zh-CN"/>
        </w:rPr>
        <w:t>自</w:t>
      </w:r>
      <w:r>
        <w:rPr>
          <w:rStyle w:val="6"/>
          <w:rFonts w:hint="eastAsia" w:ascii="宋体" w:hAnsi="宋体" w:eastAsia="宋体" w:cs="宋体"/>
          <w:b/>
          <w:bCs w:val="0"/>
          <w:sz w:val="36"/>
          <w:szCs w:val="36"/>
          <w:shd w:val="clear" w:color="auto" w:fill="FFFFFF"/>
        </w:rPr>
        <w:t>评报告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基本情况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（一）部门（单位）基本情况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>1、机构设置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和</w:t>
      </w:r>
      <w:r>
        <w:rPr>
          <w:rFonts w:hint="eastAsia" w:ascii="宋体" w:hAnsi="宋体" w:eastAsia="宋体" w:cs="仿宋"/>
          <w:sz w:val="32"/>
          <w:szCs w:val="32"/>
        </w:rPr>
        <w:t>在职人员情况：我单位为县政府直属正科级事业单位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,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  <w:lang w:val="en-US" w:eastAsia="zh-CN"/>
        </w:rPr>
        <w:t>下设综合股、政工财务股、市场营销股和产业发展股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20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仿宋"/>
          <w:sz w:val="32"/>
          <w:szCs w:val="32"/>
        </w:rPr>
        <w:t>事业编制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仿宋"/>
          <w:sz w:val="32"/>
          <w:szCs w:val="32"/>
        </w:rPr>
        <w:t>人，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在职人员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>2、部门主要职能：</w:t>
      </w:r>
      <w:r>
        <w:rPr>
          <w:rFonts w:hint="eastAsia" w:ascii="宋体" w:hAnsi="宋体" w:eastAsia="宋体" w:cs="宋体"/>
          <w:sz w:val="32"/>
          <w:szCs w:val="32"/>
        </w:rPr>
        <w:t>负责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全县旅游行业和旅游市场监管，旅游宣传推广，组织实施各类旅游规划，</w:t>
      </w:r>
      <w:r>
        <w:rPr>
          <w:rFonts w:hint="eastAsia" w:ascii="宋体" w:hAnsi="宋体" w:eastAsia="宋体" w:cs="宋体"/>
          <w:sz w:val="32"/>
          <w:szCs w:val="32"/>
        </w:rPr>
        <w:t>承办县委、县政府交办的其他事项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（二）部门（单位）年度整体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/>
          <w:b/>
          <w:sz w:val="32"/>
          <w:szCs w:val="32"/>
        </w:rPr>
        <w:t>支出绩效目标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目标1：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开展旅游招商工作。</w:t>
      </w:r>
      <w:r>
        <w:rPr>
          <w:rFonts w:hint="eastAsia" w:ascii="宋体" w:hAnsi="宋体" w:eastAsia="宋体" w:cs="宋体"/>
          <w:kern w:val="0"/>
          <w:sz w:val="32"/>
          <w:szCs w:val="32"/>
        </w:rPr>
        <w:t>目标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加强梅花镇修宜村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建设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目标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开展</w:t>
      </w:r>
      <w:r>
        <w:rPr>
          <w:rFonts w:hint="eastAsia" w:ascii="新宋体" w:hAnsi="新宋体" w:eastAsia="新宋体" w:cs="新宋体"/>
          <w:kern w:val="0"/>
          <w:sz w:val="32"/>
          <w:szCs w:val="32"/>
          <w:lang w:val="en-US" w:eastAsia="zh-CN"/>
        </w:rPr>
        <w:t>省市旅游展会、节庆活动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目标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推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长征国家文化公园建设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目标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开展</w:t>
      </w:r>
      <w:r>
        <w:rPr>
          <w:rFonts w:hint="eastAsia" w:ascii="新宋体" w:hAnsi="新宋体" w:eastAsia="新宋体" w:cs="新宋体"/>
          <w:kern w:val="0"/>
          <w:sz w:val="32"/>
          <w:szCs w:val="32"/>
          <w:lang w:val="en-US" w:eastAsia="zh-CN"/>
        </w:rPr>
        <w:t>新媒体旅游宣传推介大赛活动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一般公共预算支出情况</w:t>
      </w:r>
    </w:p>
    <w:p>
      <w:pPr>
        <w:numPr>
          <w:ilvl w:val="0"/>
          <w:numId w:val="2"/>
        </w:numPr>
        <w:rPr>
          <w:rFonts w:hint="eastAsia"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基本支出情况：</w:t>
      </w:r>
      <w:r>
        <w:rPr>
          <w:rFonts w:hint="eastAsia" w:ascii="宋体" w:hAnsi="宋体" w:eastAsia="宋体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仿宋"/>
          <w:sz w:val="32"/>
          <w:szCs w:val="32"/>
        </w:rPr>
        <w:t>基本支出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116.85</w:t>
      </w:r>
      <w:r>
        <w:rPr>
          <w:rFonts w:hint="eastAsia" w:ascii="宋体" w:hAnsi="宋体" w:eastAsia="宋体" w:cs="仿宋"/>
          <w:sz w:val="32"/>
          <w:szCs w:val="32"/>
        </w:rPr>
        <w:t>万元，</w:t>
      </w:r>
    </w:p>
    <w:p>
      <w:pPr>
        <w:snapToGrid w:val="0"/>
        <w:spacing w:line="520" w:lineRule="exact"/>
        <w:ind w:firstLine="640" w:firstLineChars="200"/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仿宋"/>
          <w:b/>
          <w:bCs w:val="0"/>
          <w:sz w:val="32"/>
          <w:szCs w:val="32"/>
        </w:rPr>
        <w:t>工资福利支出</w:t>
      </w:r>
      <w:r>
        <w:rPr>
          <w:rFonts w:hint="eastAsia" w:ascii="宋体" w:hAnsi="宋体" w:eastAsia="宋体" w:cs="仿宋"/>
          <w:bCs/>
          <w:sz w:val="32"/>
          <w:szCs w:val="32"/>
          <w:lang w:val="en-US" w:eastAsia="zh-CN"/>
        </w:rPr>
        <w:t>102.17</w:t>
      </w:r>
      <w:r>
        <w:rPr>
          <w:rFonts w:hint="eastAsia" w:ascii="宋体" w:hAnsi="宋体" w:eastAsia="宋体" w:cs="仿宋"/>
          <w:bCs/>
          <w:sz w:val="32"/>
          <w:szCs w:val="32"/>
        </w:rPr>
        <w:t>万元</w:t>
      </w:r>
      <w:r>
        <w:rPr>
          <w:rFonts w:hint="eastAsia" w:ascii="宋体" w:hAnsi="宋体" w:eastAsia="宋体" w:cs="仿宋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仿宋"/>
          <w:sz w:val="32"/>
          <w:szCs w:val="32"/>
        </w:rPr>
        <w:t>其</w:t>
      </w:r>
      <w:r>
        <w:rPr>
          <w:rFonts w:hint="eastAsia" w:ascii="宋体" w:hAnsi="宋体" w:eastAsia="宋体" w:cs="仿宋"/>
          <w:sz w:val="28"/>
          <w:szCs w:val="28"/>
        </w:rPr>
        <w:t>中：</w:t>
      </w:r>
      <w: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  <w:t>基本工资39.58万元，津补贴18.42万元，奖金8.43万元，伙食补助费1.54万元，绩效工资12万元，养老保险缴费9.27万元，医疗保险缴费3.81万元，住房公积金缴费7.38万元，医疗费1.56万元，其他工资支出0.18万元;</w:t>
      </w:r>
    </w:p>
    <w:p>
      <w:pPr>
        <w:snapToGrid w:val="0"/>
        <w:spacing w:line="520" w:lineRule="exact"/>
        <w:ind w:firstLine="643" w:firstLineChars="200"/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333333"/>
          <w:sz w:val="32"/>
          <w:szCs w:val="32"/>
          <w:lang w:val="en-US" w:eastAsia="zh-CN"/>
        </w:rPr>
        <w:t>2、商品和服务支出</w:t>
      </w:r>
      <w: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  <w:t>14.72万元，其中：办公费2.67万元，印刷费1.89万元，差旅费1.07万元，公务接待费3万元元，劳务费1.95万元，工会经费1.57万元，其他交通费2.57万元。</w:t>
      </w:r>
    </w:p>
    <w:p>
      <w:pP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333333"/>
          <w:sz w:val="32"/>
          <w:szCs w:val="32"/>
          <w:lang w:val="en-US" w:eastAsia="zh-CN"/>
        </w:rPr>
        <w:t>3、个人和家庭的补助</w:t>
      </w:r>
      <w: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  <w:t>0万元。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（二）项目支出情况：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新宋体" w:hAnsi="新宋体" w:eastAsia="新宋体" w:cs="新宋体"/>
          <w:color w:val="333333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333333"/>
          <w:sz w:val="32"/>
          <w:szCs w:val="32"/>
        </w:rPr>
        <w:t>20</w:t>
      </w:r>
      <w: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新宋体" w:hAnsi="新宋体" w:eastAsia="新宋体" w:cs="新宋体"/>
          <w:color w:val="333333"/>
          <w:sz w:val="32"/>
          <w:szCs w:val="32"/>
        </w:rPr>
        <w:t>年</w:t>
      </w:r>
      <w:r>
        <w:rPr>
          <w:rFonts w:hint="eastAsia" w:ascii="新宋体" w:hAnsi="新宋体" w:eastAsia="新宋体" w:cs="新宋体"/>
          <w:kern w:val="0"/>
          <w:sz w:val="32"/>
          <w:szCs w:val="32"/>
        </w:rPr>
        <w:t>项目支出</w:t>
      </w:r>
      <w:r>
        <w:rPr>
          <w:rFonts w:hint="eastAsia" w:ascii="新宋体" w:hAnsi="新宋体" w:eastAsia="新宋体" w:cs="新宋体"/>
          <w:color w:val="333333"/>
          <w:sz w:val="32"/>
          <w:szCs w:val="32"/>
          <w:lang w:val="en-US" w:eastAsia="zh-CN"/>
        </w:rPr>
        <w:t>147.47</w:t>
      </w:r>
      <w:r>
        <w:rPr>
          <w:rFonts w:hint="eastAsia" w:ascii="新宋体" w:hAnsi="新宋体" w:eastAsia="新宋体" w:cs="新宋体"/>
          <w:kern w:val="0"/>
          <w:sz w:val="32"/>
          <w:szCs w:val="32"/>
        </w:rPr>
        <w:t>万元</w:t>
      </w:r>
      <w:r>
        <w:rPr>
          <w:rFonts w:hint="eastAsia" w:ascii="新宋体" w:hAnsi="新宋体" w:eastAsia="新宋体" w:cs="新宋体"/>
          <w:kern w:val="0"/>
          <w:sz w:val="32"/>
          <w:szCs w:val="32"/>
          <w:lang w:eastAsia="zh-CN"/>
        </w:rPr>
        <w:t>。</w:t>
      </w:r>
      <w:r>
        <w:rPr>
          <w:rFonts w:hint="eastAsia" w:ascii="新宋体" w:hAnsi="新宋体" w:eastAsia="新宋体" w:cs="新宋体"/>
          <w:kern w:val="0"/>
          <w:sz w:val="32"/>
          <w:szCs w:val="32"/>
          <w:lang w:val="en-US" w:eastAsia="zh-CN"/>
        </w:rPr>
        <w:t>其中：1、旅游招商工作经费10万元，2、梅花镇修宜村设计费2万元，3省市旅游展会、节庆活动费20万元，4、长征国家公园设计费100.47万元，5、新媒体旅游宣传推介大赛经费15万元。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三、政府性基金预算支出情况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本单位202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年度无政府性基金预算支出。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四、国有资本经营预算支出情况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本单位202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年度无国有资本经营预算支出。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五、社会保险基金预算支出情况</w:t>
      </w:r>
    </w:p>
    <w:p>
      <w:pPr>
        <w:pStyle w:val="8"/>
        <w:spacing w:before="0" w:beforeAutospacing="0" w:after="0" w:afterAutospacing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本单位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年无社会保险基金预算支出。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部门整体支出绩效情况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left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  <w:lang w:val="en-US" w:eastAsia="zh-CN"/>
        </w:rPr>
        <w:t>一）经济效益评价</w:t>
      </w:r>
    </w:p>
    <w:p>
      <w:pPr>
        <w:snapToGrid w:val="0"/>
        <w:spacing w:line="520" w:lineRule="exact"/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仿宋"/>
          <w:kern w:val="0"/>
          <w:sz w:val="28"/>
          <w:szCs w:val="28"/>
        </w:rPr>
        <w:t>、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本年预算配置控制较好。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财政供养人员控制在预算编制以内，</w:t>
      </w:r>
      <w:r>
        <w:rPr>
          <w:rFonts w:hint="eastAsia" w:ascii="宋体" w:hAnsi="宋体" w:eastAsia="宋体" w:cs="宋体"/>
          <w:sz w:val="32"/>
          <w:szCs w:val="32"/>
        </w:rPr>
        <w:t>本年三公经费开支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万元，其中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务接待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与</w:t>
      </w:r>
      <w:r>
        <w:rPr>
          <w:rFonts w:hint="eastAsia" w:ascii="宋体" w:hAnsi="宋体" w:eastAsia="宋体" w:cs="宋体"/>
          <w:sz w:val="32"/>
          <w:szCs w:val="32"/>
        </w:rPr>
        <w:t>预算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持平</w:t>
      </w:r>
      <w:r>
        <w:rPr>
          <w:rFonts w:hint="eastAsia" w:ascii="宋体" w:hAnsi="宋体" w:eastAsia="宋体" w:cs="宋体"/>
          <w:sz w:val="32"/>
          <w:szCs w:val="32"/>
        </w:rPr>
        <w:t>。比上年决算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持平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left"/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预算执管理执行方面。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 w:firstLine="640" w:firstLineChars="200"/>
        <w:jc w:val="lef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shd w:val="clear" w:color="auto" w:fill="FFFFFF"/>
        </w:rPr>
        <w:t>履行职责职能,严格按财经法规及制度使用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shd w:val="clear" w:color="auto" w:fill="FFFFFF"/>
        </w:rPr>
        <w:t>管理资金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完成本单位预算收支计划，实现收支平衡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。支出总额控制在预算总额以内，由于旅游项目工程款和工作经费的增加，本单位预算年中进行增加预算相关事项的调整。</w:t>
      </w:r>
    </w:p>
    <w:p>
      <w:pPr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资产管理方面。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Chars="0" w:right="0" w:firstLine="640" w:firstLineChars="20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建立健全了资产管理制度，进行资产登记，据实记帐，进行了资产清理，做到帐实相符。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left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  <w:lang w:val="en-US" w:eastAsia="zh-CN"/>
        </w:rPr>
        <w:t>（二）效率性评价和有效性评价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科学规划统筹全县旅游建设，旅游宣传效果明显，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推动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长征国家文化公园建设，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推动4A景区创建，完成旅游资源调查，开展旅游招商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left"/>
        <w:rPr>
          <w:rFonts w:hint="eastAsia" w:ascii="新宋体" w:hAnsi="新宋体" w:eastAsia="新宋体" w:cs="新宋体"/>
          <w:b/>
          <w:bCs/>
          <w:sz w:val="32"/>
          <w:szCs w:val="32"/>
          <w:lang w:val="en-US"/>
        </w:rPr>
      </w:pPr>
      <w:r>
        <w:rPr>
          <w:rFonts w:hint="eastAsia" w:ascii="新宋体" w:hAnsi="新宋体" w:eastAsia="新宋体" w:cs="新宋体"/>
          <w:b/>
          <w:bCs/>
          <w:color w:val="222222"/>
          <w:kern w:val="0"/>
          <w:sz w:val="32"/>
          <w:szCs w:val="32"/>
          <w:shd w:val="clear" w:color="auto" w:fill="FFFFFF"/>
          <w:lang w:val="en-US" w:eastAsia="zh-CN"/>
        </w:rPr>
        <w:t xml:space="preserve">（三）社会公众满意度评价    </w:t>
      </w:r>
    </w:p>
    <w:p>
      <w:pPr>
        <w:ind w:firstLine="640" w:firstLineChars="200"/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制定全县旅游业工作中长期发展规划，负责旅游市场开发，对外宣传和重大促销活动，指导全县旅游新产品的开发；发展国际国内旅游市场，编制行业规划；进行全县旅游区质量等级评定，星级饭店评定复核工作；监督、检查旅游市场和服务质量；指导旅游教育、培训工作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得到了社会的很好评价。</w:t>
      </w:r>
    </w:p>
    <w:p>
      <w:pPr>
        <w:ind w:firstLine="643" w:firstLineChars="200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（四）完成产出指标任务，产生了很好的经济社会效益。</w:t>
      </w:r>
    </w:p>
    <w:p>
      <w:pPr>
        <w:spacing w:line="360" w:lineRule="auto"/>
        <w:ind w:firstLine="640" w:firstLineChars="200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完成了产出各项指标，产生了很好的经济社会效益。联系铜狮井村乡村振兴，促进了村级经济发展。</w:t>
      </w:r>
    </w:p>
    <w:p>
      <w:pPr>
        <w:pStyle w:val="3"/>
        <w:widowControl/>
        <w:spacing w:before="0" w:beforeAutospacing="0" w:after="0" w:afterAutospacing="0"/>
        <w:ind w:right="11"/>
        <w:rPr>
          <w:rFonts w:hint="eastAsia" w:ascii="宋体" w:hAnsi="宋体" w:eastAsia="宋体" w:cs="宋体"/>
          <w:b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10101"/>
          <w:sz w:val="32"/>
          <w:szCs w:val="32"/>
          <w:lang w:val="en-US" w:eastAsia="zh-CN"/>
        </w:rPr>
        <w:t>七、存在的问题及原因分析</w:t>
      </w:r>
    </w:p>
    <w:p>
      <w:pPr>
        <w:spacing w:line="360" w:lineRule="auto"/>
        <w:ind w:firstLine="640" w:firstLineChars="200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222222"/>
          <w:kern w:val="0"/>
          <w:sz w:val="32"/>
          <w:szCs w:val="32"/>
          <w:shd w:val="clear" w:color="auto" w:fill="FFFFFF"/>
          <w:lang w:val="en-US" w:eastAsia="zh-CN"/>
        </w:rPr>
        <w:t>由于年中预算支出的具体支出项目与年初预算指标有偏差，需要进行预算相关项目的调整，年中增加旅游项目工程款和工作经费，本年本单位年中进行本年预算的增加调整，是因为年中具体支出数的调整和旅游项目工程款和工作经费的增加。</w:t>
      </w:r>
    </w:p>
    <w:p>
      <w:pPr>
        <w:numPr>
          <w:ilvl w:val="0"/>
          <w:numId w:val="3"/>
        </w:numPr>
        <w:spacing w:line="360" w:lineRule="auto"/>
        <w:ind w:left="720" w:leftChars="0" w:hanging="720" w:firstLineChars="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下一步改进措施</w:t>
      </w:r>
    </w:p>
    <w:p>
      <w:pPr>
        <w:widowControl w:val="0"/>
        <w:numPr>
          <w:ilvl w:val="0"/>
          <w:numId w:val="6"/>
        </w:numPr>
        <w:wordWrap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规范财务管理，提高财务管理水平。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严格执行《会计法》、《事业单位财务规定》、《预算法》等规定执行财务核算，做好部门预算，严格按照年初资金的预算用途使用资金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10101"/>
          <w:kern w:val="0"/>
          <w:sz w:val="32"/>
          <w:szCs w:val="32"/>
        </w:rPr>
        <w:t>做到决算与预算相衔接</w:t>
      </w:r>
      <w:r>
        <w:rPr>
          <w:rFonts w:hint="eastAsia" w:ascii="宋体" w:hAnsi="宋体" w:eastAsia="宋体" w:cs="宋体"/>
          <w:color w:val="010101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color w:val="010101"/>
          <w:kern w:val="0"/>
          <w:sz w:val="32"/>
          <w:szCs w:val="32"/>
        </w:rPr>
        <w:t>提高财务信息质量</w:t>
      </w:r>
      <w:r>
        <w:rPr>
          <w:rFonts w:hint="eastAsia" w:ascii="宋体" w:hAnsi="宋体" w:eastAsia="宋体" w:cs="宋体"/>
          <w:color w:val="010101"/>
          <w:kern w:val="0"/>
          <w:sz w:val="32"/>
          <w:szCs w:val="32"/>
        </w:rPr>
        <w:t>。</w:t>
      </w:r>
    </w:p>
    <w:p>
      <w:pPr>
        <w:pStyle w:val="3"/>
        <w:widowControl/>
        <w:numPr>
          <w:ilvl w:val="0"/>
          <w:numId w:val="2"/>
        </w:numPr>
        <w:spacing w:before="0" w:beforeAutospacing="0" w:after="0" w:afterAutospacing="0" w:line="480" w:lineRule="auto"/>
        <w:ind w:left="0" w:leftChars="0" w:right="0" w:firstLine="0" w:firstLineChars="0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、</w:t>
      </w:r>
      <w:r>
        <w:rPr>
          <w:rFonts w:hint="eastAsia" w:ascii="新宋体" w:hAnsi="新宋体" w:eastAsia="新宋体" w:cs="新宋体"/>
          <w:sz w:val="32"/>
          <w:szCs w:val="32"/>
        </w:rPr>
        <w:t>加强新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政府</w:t>
      </w:r>
      <w:r>
        <w:rPr>
          <w:rFonts w:hint="eastAsia" w:ascii="新宋体" w:hAnsi="新宋体" w:eastAsia="新宋体" w:cs="新宋体"/>
          <w:sz w:val="32"/>
          <w:szCs w:val="32"/>
        </w:rPr>
        <w:t>事业单位会计制度、内控制度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、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固定资产管理制度等</w:t>
      </w:r>
      <w:r>
        <w:rPr>
          <w:rFonts w:hint="eastAsia" w:ascii="新宋体" w:hAnsi="新宋体" w:eastAsia="新宋体" w:cs="新宋体"/>
          <w:sz w:val="32"/>
          <w:szCs w:val="32"/>
        </w:rPr>
        <w:t>的学习培训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加强会计队伍建设，提高财务人员的业务水平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。</w:t>
      </w:r>
    </w:p>
    <w:p>
      <w:pPr>
        <w:pStyle w:val="3"/>
        <w:widowControl/>
        <w:numPr>
          <w:ilvl w:val="0"/>
          <w:numId w:val="2"/>
        </w:numPr>
        <w:spacing w:before="0" w:beforeAutospacing="0" w:after="0" w:afterAutospacing="0" w:line="480" w:lineRule="auto"/>
        <w:ind w:left="0" w:leftChars="0" w:right="0" w:firstLine="0" w:firstLineChars="0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健全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资产管理制度，加强资产管理。</w:t>
      </w: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九、绩效自评结果拟应用和公开情况</w:t>
      </w:r>
    </w:p>
    <w:p>
      <w:pPr>
        <w:spacing w:line="360" w:lineRule="auto"/>
        <w:ind w:left="210" w:firstLine="480" w:firstLineChars="15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根据202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道县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旅游发展服务中心</w:t>
      </w:r>
      <w:r>
        <w:rPr>
          <w:rFonts w:hint="eastAsia" w:ascii="宋体" w:hAnsi="宋体" w:eastAsia="宋体" w:cs="宋体"/>
          <w:sz w:val="32"/>
          <w:szCs w:val="32"/>
        </w:rPr>
        <w:t>部门整体支出绩效自评表打分，自评得分为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91</w:t>
      </w:r>
      <w:r>
        <w:rPr>
          <w:rFonts w:hint="eastAsia" w:ascii="宋体" w:hAnsi="宋体" w:eastAsia="宋体" w:cs="宋体"/>
          <w:sz w:val="32"/>
          <w:szCs w:val="32"/>
        </w:rPr>
        <w:t>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道县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旅游发展服务中心</w:t>
      </w:r>
    </w:p>
    <w:p>
      <w:pPr>
        <w:wordWrap w:val="0"/>
        <w:adjustRightInd w:val="0"/>
        <w:snapToGrid w:val="0"/>
        <w:spacing w:line="600" w:lineRule="exact"/>
        <w:ind w:firstLine="560" w:firstLineChars="200"/>
        <w:jc w:val="center"/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      202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仿宋"/>
          <w:sz w:val="28"/>
          <w:szCs w:val="28"/>
        </w:rPr>
        <w:t>年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仿宋"/>
          <w:sz w:val="28"/>
          <w:szCs w:val="28"/>
        </w:rPr>
        <w:t>月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2CBD4"/>
    <w:multiLevelType w:val="singleLevel"/>
    <w:tmpl w:val="8582CBD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324D1B8"/>
    <w:multiLevelType w:val="singleLevel"/>
    <w:tmpl w:val="F324D1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2496122"/>
    <w:multiLevelType w:val="multilevel"/>
    <w:tmpl w:val="3249612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1E0351"/>
    <w:multiLevelType w:val="multilevel"/>
    <w:tmpl w:val="391E0351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3832B"/>
    <w:multiLevelType w:val="singleLevel"/>
    <w:tmpl w:val="3B63832B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5953145E"/>
    <w:multiLevelType w:val="singleLevel"/>
    <w:tmpl w:val="5953145E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3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/>
      <w:jc w:val="left"/>
    </w:pPr>
    <w:rPr>
      <w:kern w:val="0"/>
      <w:sz w:val="24"/>
      <w:shd w:val="clear" w:color="auto" w:fill="auto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1714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2022-06-09T01:28:00Z</dcterms:created>
  <dc:creator>HeJS</dc:creator>
  <cp:lastModifiedBy>MR</cp:lastModifiedBy>
  <dcterms:modified xsi:type="dcterms:W3CDTF">2023-09-26T02:49:09Z</dcterms:modified>
  <dc:title>2021年度道县旅游发展服务中心部门整体支出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B6944A8F8EBB4CC28D4220ECF1DF3383_13</vt:lpwstr>
  </property>
</Properties>
</file>