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仿宋" w:hAnsi="仿宋" w:eastAsia="仿宋" w:cs="仿宋"/>
          <w:b/>
          <w:color w:val="000000" w:themeColor="text1"/>
          <w:sz w:val="36"/>
          <w:szCs w:val="36"/>
          <w:shd w:val="clear" w:color="auto" w:fill="FFFFFF"/>
        </w:rPr>
      </w:pPr>
      <w:r>
        <w:rPr>
          <w:rFonts w:ascii="仿宋" w:hAnsi="仿宋" w:eastAsia="仿宋" w:cs="仿宋"/>
          <w:b/>
          <w:color w:val="000000" w:themeColor="text1"/>
          <w:sz w:val="36"/>
          <w:szCs w:val="36"/>
          <w:shd w:val="clear" w:color="auto" w:fill="FFFFFF"/>
        </w:rPr>
        <w:t>20</w:t>
      </w:r>
      <w:r>
        <w:rPr>
          <w:rFonts w:hint="eastAsia" w:ascii="仿宋" w:hAnsi="仿宋" w:eastAsia="仿宋" w:cs="仿宋"/>
          <w:b/>
          <w:color w:val="000000" w:themeColor="text1"/>
          <w:sz w:val="36"/>
          <w:szCs w:val="36"/>
          <w:shd w:val="clear" w:color="auto" w:fill="FFFFFF"/>
          <w:lang w:val="en-US" w:eastAsia="zh-CN"/>
        </w:rPr>
        <w:t>21</w:t>
      </w:r>
      <w:r>
        <w:rPr>
          <w:rFonts w:hint="eastAsia" w:ascii="仿宋" w:hAnsi="仿宋" w:eastAsia="仿宋" w:cs="仿宋"/>
          <w:b/>
          <w:color w:val="000000" w:themeColor="text1"/>
          <w:sz w:val="36"/>
          <w:szCs w:val="36"/>
          <w:shd w:val="clear" w:color="auto" w:fill="FFFFFF"/>
        </w:rPr>
        <w:t>年度道县教育系统（除工贸学校一中二中</w:t>
      </w:r>
      <w:r>
        <w:rPr>
          <w:rFonts w:hint="eastAsia" w:ascii="仿宋" w:hAnsi="仿宋" w:eastAsia="仿宋" w:cs="仿宋"/>
          <w:b/>
          <w:color w:val="000000" w:themeColor="text1"/>
          <w:sz w:val="36"/>
          <w:szCs w:val="36"/>
          <w:shd w:val="clear" w:color="auto" w:fill="FFFFFF"/>
          <w:lang w:eastAsia="zh-CN"/>
        </w:rPr>
        <w:t>五中</w:t>
      </w:r>
    </w:p>
    <w:p>
      <w:pPr>
        <w:adjustRightInd w:val="0"/>
        <w:snapToGrid w:val="0"/>
        <w:spacing w:line="600" w:lineRule="exact"/>
        <w:jc w:val="center"/>
        <w:rPr>
          <w:rFonts w:ascii="仿宋" w:hAnsi="仿宋" w:eastAsia="仿宋" w:cs="仿宋"/>
          <w:b/>
          <w:color w:val="000000" w:themeColor="text1"/>
          <w:sz w:val="36"/>
          <w:szCs w:val="36"/>
          <w:shd w:val="clear" w:color="auto" w:fill="FFFFFF"/>
        </w:rPr>
      </w:pPr>
      <w:r>
        <w:rPr>
          <w:rFonts w:hint="eastAsia" w:ascii="仿宋" w:hAnsi="仿宋" w:eastAsia="仿宋" w:cs="仿宋"/>
          <w:b/>
          <w:color w:val="000000" w:themeColor="text1"/>
          <w:sz w:val="36"/>
          <w:szCs w:val="36"/>
          <w:shd w:val="clear" w:color="auto" w:fill="FFFFFF"/>
          <w:lang w:eastAsia="zh-CN"/>
        </w:rPr>
        <w:t>进修学校</w:t>
      </w:r>
      <w:r>
        <w:rPr>
          <w:rFonts w:hint="eastAsia" w:ascii="仿宋" w:hAnsi="仿宋" w:eastAsia="仿宋" w:cs="仿宋"/>
          <w:b/>
          <w:color w:val="000000" w:themeColor="text1"/>
          <w:sz w:val="36"/>
          <w:szCs w:val="36"/>
          <w:shd w:val="clear" w:color="auto" w:fill="FFFFFF"/>
        </w:rPr>
        <w:t>）部门整体支出绩效自评报告</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color w:val="auto"/>
          <w:sz w:val="36"/>
          <w:szCs w:val="36"/>
          <w:shd w:val="clear" w:color="auto" w:fill="FFFFFF"/>
        </w:rPr>
      </w:pPr>
    </w:p>
    <w:p>
      <w:pPr>
        <w:keepNext w:val="0"/>
        <w:keepLines w:val="0"/>
        <w:pageBreakBefore w:val="0"/>
        <w:kinsoku/>
        <w:wordWrap/>
        <w:overflowPunct/>
        <w:topLinePunct w:val="0"/>
        <w:autoSpaceDE/>
        <w:autoSpaceDN/>
        <w:bidi w:val="0"/>
        <w:adjustRightInd w:val="0"/>
        <w:snapToGrid w:val="0"/>
        <w:spacing w:line="500" w:lineRule="exact"/>
        <w:ind w:firstLine="602" w:firstLineChars="200"/>
        <w:textAlignment w:val="auto"/>
        <w:rPr>
          <w:rFonts w:hint="eastAsia" w:ascii="仿宋_GB2312" w:hAnsi="仿宋_GB2312" w:eastAsia="仿宋_GB2312" w:cs="仿宋_GB2312"/>
          <w:b/>
          <w:bCs/>
          <w:color w:val="auto"/>
          <w:sz w:val="30"/>
          <w:szCs w:val="30"/>
          <w:shd w:val="clear" w:color="auto" w:fill="FFFFFF"/>
          <w:lang w:eastAsia="zh-CN"/>
        </w:rPr>
      </w:pPr>
      <w:r>
        <w:rPr>
          <w:rFonts w:hint="eastAsia" w:ascii="仿宋_GB2312" w:hAnsi="仿宋_GB2312" w:eastAsia="仿宋_GB2312" w:cs="仿宋_GB2312"/>
          <w:b/>
          <w:bCs/>
          <w:color w:val="auto"/>
          <w:sz w:val="30"/>
          <w:szCs w:val="30"/>
          <w:shd w:val="clear" w:color="auto" w:fill="FFFFFF"/>
          <w:lang w:eastAsia="zh-CN"/>
        </w:rPr>
        <w:t>一、基本情况</w:t>
      </w:r>
    </w:p>
    <w:p>
      <w:pPr>
        <w:keepNext w:val="0"/>
        <w:keepLines w:val="0"/>
        <w:pageBreakBefore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（一）部门基本情况</w:t>
      </w:r>
    </w:p>
    <w:p>
      <w:pPr>
        <w:keepNext w:val="0"/>
        <w:keepLines w:val="0"/>
        <w:pageBreakBefore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shd w:val="clear" w:color="auto" w:fill="FFFFFF"/>
          <w:lang w:val="en-US" w:eastAsia="zh-CN"/>
        </w:rPr>
        <w:t>1、职责职能</w:t>
      </w:r>
    </w:p>
    <w:p>
      <w:pPr>
        <w:keepNext w:val="0"/>
        <w:keepLines w:val="0"/>
        <w:pageBreakBefore w:val="0"/>
        <w:kinsoku/>
        <w:wordWrap/>
        <w:overflowPunct/>
        <w:topLinePunct w:val="0"/>
        <w:autoSpaceDE/>
        <w:autoSpaceDN/>
        <w:bidi w:val="0"/>
        <w:spacing w:line="46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（1）贯彻落实国家、省、市关于教育工作的法律、法规和政策，拟订全县教育改革和发展战略规划，并组织实施。</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（2）负责各级各类教育的统筹规划和协调管理，组织实施各级各类学校设置标准，指导各级各类学校教育教学改革，负责教育基本信息的统计、分析和发布。</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负责推进义务教育均衡发展和促进教育公平，负责义务教育、高中教育、幼儿教育和特殊教育的管理、指导与协调。落实基础教育教学基本要求，制定全县中小学和职业学校招生计划，组织招生考试和录取工作，全面实施素质教育。</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（4）指导以就业为导向的职业教育的发展与改革，执行教学指导文件和教学评估标准。</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（5）负责组织大中专招生考试、成人高校招生考试、高等教育自学考试和自学考试学籍管理工作；负责大中专院校毕业生就业指导、服务和管理工作。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6）统筹管理本部门教育经费；参与拟订全县教育经费筹措、教育拨款、教育基建投资办法与措施；负责统计和监测全县教育经费的投入和使用情况；指导、管理全县资助经济困难学生工作；负责组织实施教育系统内部审计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（7）统筹指导少数民族教育工作。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（8）负责全县中、小学校的思想政治工作、德育工作、体育卫生与艺术教育以及国防教育工作，指导和协调教育系统的稳定工作。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9）依据《教师法》规定，在职责范围内，主管全县教师工作；贯彻实施各级各类教师资格标准，配合有关部门组织实施各级各类学校编制标准；负责普通中小学（含职业学校）、中等专业学校、幼儿园教师招聘录用、资格认定、培养培训、专业技术职务评聘、调动交流、工资福利、考核奖惩和新教师的转正定级工作；按照干部管理权限和程序，考核、呈报、任免全县各级各类学校的领导干部；；指导有关教育学会、基金会、关工委、退（教）协、团委、妇联等社会组织的工作；负责教育系统人才队伍建设。</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（10）负责组织全县教育督导工作。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（11）统筹管理全县语言文字工作，拟定全县语言文字规划并组织实施，负责指导推广普通话和规范字及普通话师资培训工作。</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（13）负责建立和完善全县教育系统学校安全工作监督管理体系，对全县各级各类学校法制安全管理工作实施监督管理；综合协调、指导、督促校（园）建立和完善安全工作责任管理制度。</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（14）承办县人民政府交办的其他事项。</w:t>
      </w:r>
    </w:p>
    <w:p>
      <w:pPr>
        <w:keepNext w:val="0"/>
        <w:keepLines w:val="0"/>
        <w:pageBreakBefore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机构情况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县教育局设内设机构及直属事业单位</w:t>
      </w:r>
      <w:r>
        <w:rPr>
          <w:rFonts w:hint="eastAsia" w:ascii="仿宋_GB2312" w:hAnsi="仿宋_GB2312" w:eastAsia="仿宋_GB2312" w:cs="仿宋_GB2312"/>
          <w:sz w:val="30"/>
          <w:szCs w:val="30"/>
          <w:lang w:eastAsia="zh-CN"/>
        </w:rPr>
        <w:t>包括</w:t>
      </w:r>
      <w:r>
        <w:rPr>
          <w:rFonts w:hint="eastAsia" w:ascii="仿宋_GB2312" w:hAnsi="仿宋_GB2312" w:eastAsia="仿宋_GB2312" w:cs="仿宋_GB2312"/>
          <w:sz w:val="30"/>
          <w:szCs w:val="30"/>
        </w:rPr>
        <w:t>：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全县有各级各类学校和幼儿园</w:t>
      </w:r>
      <w:r>
        <w:rPr>
          <w:rFonts w:hint="eastAsia" w:ascii="仿宋_GB2312" w:hAnsi="仿宋_GB2312" w:eastAsia="仿宋_GB2312" w:cs="仿宋_GB2312"/>
          <w:sz w:val="30"/>
          <w:szCs w:val="30"/>
          <w:lang w:val="en-US" w:eastAsia="zh-CN"/>
        </w:rPr>
        <w:t>306</w:t>
      </w:r>
      <w:r>
        <w:rPr>
          <w:rFonts w:hint="eastAsia" w:ascii="仿宋_GB2312" w:hAnsi="仿宋_GB2312" w:eastAsia="仿宋_GB2312" w:cs="仿宋_GB2312"/>
          <w:sz w:val="30"/>
          <w:szCs w:val="30"/>
        </w:rPr>
        <w:t>所,其中:幼儿园2</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所，普通高中</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所，完全中学1所，九年一贯制学校</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所，普通小学</w:t>
      </w:r>
      <w:r>
        <w:rPr>
          <w:rFonts w:hint="eastAsia" w:ascii="仿宋_GB2312" w:hAnsi="仿宋_GB2312" w:eastAsia="仿宋_GB2312" w:cs="仿宋_GB2312"/>
          <w:sz w:val="30"/>
          <w:szCs w:val="30"/>
          <w:lang w:val="en-US" w:eastAsia="zh-CN"/>
        </w:rPr>
        <w:t>45</w:t>
      </w:r>
      <w:r>
        <w:rPr>
          <w:rFonts w:hint="eastAsia" w:ascii="仿宋_GB2312" w:hAnsi="仿宋_GB2312" w:eastAsia="仿宋_GB2312" w:cs="仿宋_GB2312"/>
          <w:sz w:val="30"/>
          <w:szCs w:val="30"/>
        </w:rPr>
        <w:t>所，普通初中25所，中等职业学校、教师进修学校、特殊教育学校各1所。</w:t>
      </w:r>
      <w:r>
        <w:rPr>
          <w:rFonts w:hint="eastAsia" w:ascii="仿宋_GB2312" w:hAnsi="仿宋_GB2312" w:eastAsia="仿宋_GB2312" w:cs="仿宋_GB2312"/>
          <w:sz w:val="30"/>
          <w:szCs w:val="30"/>
          <w:lang w:eastAsia="zh-CN"/>
        </w:rPr>
        <w:t>全县在校学生</w:t>
      </w:r>
      <w:r>
        <w:rPr>
          <w:rFonts w:hint="eastAsia" w:ascii="仿宋_GB2312" w:hAnsi="仿宋_GB2312" w:eastAsia="仿宋_GB2312" w:cs="仿宋_GB2312"/>
          <w:sz w:val="30"/>
          <w:szCs w:val="30"/>
          <w:lang w:val="en-US" w:eastAsia="zh-CN"/>
        </w:rPr>
        <w:t>143780人，</w:t>
      </w:r>
      <w:r>
        <w:rPr>
          <w:rFonts w:hint="eastAsia" w:ascii="仿宋_GB2312" w:hAnsi="仿宋_GB2312" w:eastAsia="仿宋_GB2312" w:cs="仿宋_GB2312"/>
          <w:sz w:val="30"/>
          <w:szCs w:val="30"/>
        </w:rPr>
        <w:t>全县在职在编</w:t>
      </w:r>
      <w:r>
        <w:rPr>
          <w:rFonts w:hint="eastAsia" w:ascii="仿宋_GB2312" w:hAnsi="仿宋_GB2312" w:eastAsia="仿宋_GB2312" w:cs="仿宋_GB2312"/>
          <w:sz w:val="30"/>
          <w:szCs w:val="30"/>
          <w:lang w:eastAsia="zh-CN"/>
        </w:rPr>
        <w:t>教职员工</w:t>
      </w:r>
      <w:r>
        <w:rPr>
          <w:rFonts w:hint="eastAsia" w:ascii="仿宋_GB2312" w:hAnsi="仿宋_GB2312" w:eastAsia="仿宋_GB2312" w:cs="仿宋_GB2312"/>
          <w:sz w:val="30"/>
          <w:szCs w:val="30"/>
          <w:lang w:val="en-US" w:eastAsia="zh-CN"/>
        </w:rPr>
        <w:t>6009</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kern w:val="0"/>
          <w:sz w:val="30"/>
          <w:szCs w:val="30"/>
        </w:rPr>
        <w:t>合同制、返聘、特岗教师</w:t>
      </w:r>
      <w:r>
        <w:rPr>
          <w:rFonts w:hint="eastAsia" w:ascii="仿宋_GB2312" w:hAnsi="仿宋_GB2312" w:eastAsia="仿宋_GB2312" w:cs="仿宋_GB2312"/>
          <w:color w:val="auto"/>
          <w:kern w:val="0"/>
          <w:sz w:val="30"/>
          <w:szCs w:val="30"/>
          <w:lang w:val="en-US" w:eastAsia="zh-CN"/>
        </w:rPr>
        <w:t>1030</w:t>
      </w:r>
      <w:r>
        <w:rPr>
          <w:rFonts w:hint="eastAsia" w:ascii="仿宋_GB2312" w:hAnsi="仿宋_GB2312" w:eastAsia="仿宋_GB2312" w:cs="仿宋_GB2312"/>
          <w:color w:val="auto"/>
          <w:kern w:val="0"/>
          <w:sz w:val="30"/>
          <w:szCs w:val="30"/>
        </w:rPr>
        <w:t>人。</w:t>
      </w:r>
    </w:p>
    <w:p>
      <w:pPr>
        <w:keepNext w:val="0"/>
        <w:keepLines w:val="0"/>
        <w:pageBreakBefore w:val="0"/>
        <w:kinsoku/>
        <w:wordWrap/>
        <w:overflowPunct/>
        <w:topLinePunct w:val="0"/>
        <w:autoSpaceDE/>
        <w:autoSpaceDN/>
        <w:bidi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20</w:t>
      </w:r>
      <w:r>
        <w:rPr>
          <w:rFonts w:hint="eastAsia" w:ascii="仿宋_GB2312" w:hAnsi="仿宋_GB2312" w:eastAsia="仿宋_GB2312" w:cs="仿宋_GB2312"/>
          <w:color w:val="auto"/>
          <w:kern w:val="0"/>
          <w:sz w:val="30"/>
          <w:szCs w:val="30"/>
          <w:lang w:val="en-US" w:eastAsia="zh-CN"/>
        </w:rPr>
        <w:t>21</w:t>
      </w: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eastAsia="zh-CN"/>
        </w:rPr>
        <w:t>工贸学校、</w:t>
      </w:r>
      <w:r>
        <w:rPr>
          <w:rFonts w:hint="eastAsia" w:ascii="仿宋_GB2312" w:hAnsi="仿宋_GB2312" w:eastAsia="仿宋_GB2312" w:cs="仿宋_GB2312"/>
          <w:color w:val="auto"/>
          <w:kern w:val="0"/>
          <w:sz w:val="30"/>
          <w:szCs w:val="30"/>
        </w:rPr>
        <w:t>一中、二中、五中</w:t>
      </w:r>
      <w:r>
        <w:rPr>
          <w:rFonts w:hint="eastAsia" w:ascii="仿宋_GB2312" w:hAnsi="仿宋_GB2312" w:eastAsia="仿宋_GB2312" w:cs="仿宋_GB2312"/>
          <w:color w:val="auto"/>
          <w:kern w:val="0"/>
          <w:sz w:val="30"/>
          <w:szCs w:val="30"/>
          <w:lang w:eastAsia="zh-CN"/>
        </w:rPr>
        <w:t>、进修学校</w:t>
      </w:r>
      <w:r>
        <w:rPr>
          <w:rFonts w:hint="eastAsia" w:ascii="仿宋_GB2312" w:hAnsi="仿宋_GB2312" w:eastAsia="仿宋_GB2312" w:cs="仿宋_GB2312"/>
          <w:color w:val="auto"/>
          <w:kern w:val="0"/>
          <w:sz w:val="30"/>
          <w:szCs w:val="30"/>
        </w:rPr>
        <w:t>为一级预算单位，计财股预算编制范围为除上述五个单位外的其他道县教育部门办的各级各类学校。退休教师</w:t>
      </w:r>
      <w:r>
        <w:rPr>
          <w:rFonts w:hint="eastAsia" w:ascii="仿宋_GB2312" w:hAnsi="仿宋_GB2312" w:eastAsia="仿宋_GB2312" w:cs="仿宋_GB2312"/>
          <w:color w:val="auto"/>
          <w:kern w:val="0"/>
          <w:sz w:val="30"/>
          <w:szCs w:val="30"/>
          <w:lang w:eastAsia="zh-CN"/>
        </w:rPr>
        <w:t>退休金</w:t>
      </w:r>
      <w:r>
        <w:rPr>
          <w:rFonts w:hint="eastAsia" w:ascii="仿宋_GB2312" w:hAnsi="仿宋_GB2312" w:eastAsia="仿宋_GB2312" w:cs="仿宋_GB2312"/>
          <w:color w:val="auto"/>
          <w:kern w:val="0"/>
          <w:sz w:val="30"/>
          <w:szCs w:val="30"/>
        </w:rPr>
        <w:t>已由人社局发放，</w:t>
      </w:r>
      <w:r>
        <w:rPr>
          <w:rFonts w:hint="eastAsia" w:ascii="仿宋_GB2312" w:hAnsi="仿宋_GB2312" w:eastAsia="仿宋_GB2312" w:cs="仿宋_GB2312"/>
          <w:color w:val="auto"/>
          <w:kern w:val="0"/>
          <w:sz w:val="30"/>
          <w:szCs w:val="30"/>
          <w:highlight w:val="none"/>
        </w:rPr>
        <w:t>经费不在教育的决算中填报。</w:t>
      </w:r>
    </w:p>
    <w:p>
      <w:pPr>
        <w:numPr>
          <w:ilvl w:val="0"/>
          <w:numId w:val="0"/>
        </w:numPr>
        <w:adjustRightInd w:val="0"/>
        <w:snapToGrid w:val="0"/>
        <w:spacing w:line="600" w:lineRule="exact"/>
        <w:ind w:firstLine="600" w:firstLineChars="200"/>
        <w:rPr>
          <w:rFonts w:hint="eastAsia"/>
          <w:lang w:eastAsia="zh-CN"/>
        </w:rPr>
      </w:pPr>
      <w:r>
        <w:rPr>
          <w:rFonts w:hint="eastAsia" w:ascii="仿宋_GB2312" w:hAnsi="仿宋_GB2312" w:eastAsia="仿宋_GB2312" w:cs="仿宋_GB2312"/>
          <w:color w:val="auto"/>
          <w:sz w:val="30"/>
          <w:szCs w:val="30"/>
          <w:lang w:eastAsia="zh-CN"/>
        </w:rPr>
        <w:t>（二）部门年度整体支出绩效目标</w:t>
      </w:r>
    </w:p>
    <w:p>
      <w:pPr>
        <w:numPr>
          <w:ilvl w:val="0"/>
          <w:numId w:val="1"/>
        </w:numPr>
        <w:adjustRightInd w:val="0"/>
        <w:snapToGrid w:val="0"/>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年度总体目标</w:t>
      </w:r>
    </w:p>
    <w:p>
      <w:pPr>
        <w:numPr>
          <w:ilvl w:val="0"/>
          <w:numId w:val="0"/>
        </w:numPr>
        <w:adjustRightInd w:val="0"/>
        <w:snapToGrid w:val="0"/>
        <w:spacing w:line="600" w:lineRule="exact"/>
        <w:ind w:left="596" w:leftChars="284"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目标1：保障本单位和学校人员工资及经费正常运转。                                                    目标2：进一步规范财务管理，严格执行财务制度。                                                                                              目标3：改善和优化学校的办学条件，加快学校信息化建设，优化教育布局。                                    </w:t>
      </w:r>
    </w:p>
    <w:p>
      <w:pPr>
        <w:numPr>
          <w:ilvl w:val="0"/>
          <w:numId w:val="0"/>
        </w:numPr>
        <w:adjustRightInd w:val="0"/>
        <w:snapToGrid w:val="0"/>
        <w:spacing w:line="600" w:lineRule="exact"/>
        <w:ind w:left="596" w:leftChars="284"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目标</w:t>
      </w: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强化质量攻坚主观能动性，提升教育质量。</w:t>
      </w:r>
    </w:p>
    <w:p>
      <w:pPr>
        <w:adjustRightInd w:val="0"/>
        <w:snapToGrid w:val="0"/>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部门整体支出规模、使用方向和主要内容、涉及范围</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21</w:t>
      </w:r>
      <w:r>
        <w:rPr>
          <w:rFonts w:hint="eastAsia" w:ascii="仿宋_GB2312" w:hAnsi="仿宋_GB2312" w:eastAsia="仿宋_GB2312" w:cs="仿宋_GB2312"/>
          <w:color w:val="auto"/>
          <w:sz w:val="30"/>
          <w:szCs w:val="30"/>
          <w:shd w:val="clear" w:color="auto" w:fill="FFFFFF"/>
        </w:rPr>
        <w:t>年教育系统（除工贸学校一中二中</w:t>
      </w:r>
      <w:r>
        <w:rPr>
          <w:rFonts w:hint="eastAsia" w:ascii="仿宋_GB2312" w:hAnsi="仿宋_GB2312" w:eastAsia="仿宋_GB2312" w:cs="仿宋_GB2312"/>
          <w:color w:val="auto"/>
          <w:sz w:val="30"/>
          <w:szCs w:val="30"/>
          <w:shd w:val="clear" w:color="auto" w:fill="FFFFFF"/>
          <w:lang w:eastAsia="zh-CN"/>
        </w:rPr>
        <w:t>五中进修学校</w:t>
      </w: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eastAsia="zh-CN"/>
        </w:rPr>
        <w:t>整体</w:t>
      </w:r>
      <w:r>
        <w:rPr>
          <w:rFonts w:hint="eastAsia" w:ascii="仿宋_GB2312" w:hAnsi="仿宋_GB2312" w:eastAsia="仿宋_GB2312" w:cs="仿宋_GB2312"/>
          <w:color w:val="auto"/>
          <w:sz w:val="30"/>
          <w:szCs w:val="30"/>
          <w:shd w:val="clear" w:color="auto" w:fill="FFFFFF"/>
        </w:rPr>
        <w:t>支出资金构成：</w:t>
      </w:r>
    </w:p>
    <w:p>
      <w:pPr>
        <w:snapToGrid w:val="0"/>
        <w:spacing w:line="520" w:lineRule="exact"/>
        <w:ind w:firstLine="6900" w:firstLineChars="2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单位：万元</w:t>
      </w:r>
    </w:p>
    <w:tbl>
      <w:tblPr>
        <w:tblStyle w:val="8"/>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2"/>
        <w:gridCol w:w="1311"/>
        <w:gridCol w:w="1228"/>
        <w:gridCol w:w="1206"/>
        <w:gridCol w:w="986"/>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    标</w:t>
            </w:r>
          </w:p>
        </w:tc>
        <w:tc>
          <w:tcPr>
            <w:tcW w:w="1311"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年度</w:t>
            </w:r>
          </w:p>
        </w:tc>
        <w:tc>
          <w:tcPr>
            <w:tcW w:w="1228"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年度</w:t>
            </w:r>
          </w:p>
        </w:tc>
        <w:tc>
          <w:tcPr>
            <w:tcW w:w="120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比上年增减</w:t>
            </w:r>
          </w:p>
        </w:tc>
        <w:tc>
          <w:tcPr>
            <w:tcW w:w="98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w:t>
            </w:r>
          </w:p>
        </w:tc>
        <w:tc>
          <w:tcPr>
            <w:tcW w:w="1682" w:type="dxa"/>
            <w:vMerge w:val="restart"/>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28"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栏    次 </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一、年度收支情况（单位：元）</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1.本年收入</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人员经费、生平均公用经费增长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其中：一般公共预算财政拨款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819511631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783981348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33780283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人员经费、生平均公用经费增长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2021年无政府性基金预算财政拨款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*事业收入</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学前教育保育费收入增加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2.本年支出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819511631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718619431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686734048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31885383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4.64</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（1）人员经费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546581618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545165468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1416150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0.03</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（2）公用经费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172037813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141568580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30469233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21.52</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生平均公用经费增长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103292200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98997300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4294900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其中：基本建设类项目</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103292200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141568580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-38276380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化解大班额工作已经完成，上级及本级用于化解大班额的资金减少，新建的西洲芙蓉学校、谷源学校已经投入使用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二、年末资产负债信息（单位：元）</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1.货币资金</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2.财政应返还额度</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3.房屋</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567016899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494381287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72635612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学校新建校舍等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4.车辆</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5.在建工程</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6.借款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7.应缴财政款</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8.应付职工薪酬</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三、年末机构人员情况（单位：个、人）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1.独立编制机构数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学校数增加（增加4个公办幼儿园，2个小学,减少1个独立预决算学校）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2.独立核算机构数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学校数增加（增加4个公办幼儿园，2个小学,减少1个独立预决算学校）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3.年末实有人数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5322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新招聘教师增加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在职人员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5322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0.004</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新招聘教师增加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其中：行政人员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调出人员大于新调入人员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非参公事业人员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0.005</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新招聘教师增加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退休人员</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4.年末其他人员数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945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合同制教师增加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5.年末学生人数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123756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126111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四、补充资料（单位：元）</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1.固定资产情况</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房屋面积（平方米）</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973338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951097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22241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车辆数量（辆）</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2.“三公”经费支出</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1932700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1951575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-18875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其中：因公出国（境）费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公务用车购置及运行维护费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其中：公务用车购置费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1867000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1882575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-15575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3.培训费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11478620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10912694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565926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4.会议费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789500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808837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-19337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5.机关运行经费</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6.年初预算数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7.调整预算数</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131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821911631 </w:t>
            </w:r>
          </w:p>
        </w:tc>
        <w:tc>
          <w:tcPr>
            <w:tcW w:w="1228"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785731348 </w:t>
            </w:r>
          </w:p>
        </w:tc>
        <w:tc>
          <w:tcPr>
            <w:tcW w:w="120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36180283 </w:t>
            </w:r>
          </w:p>
        </w:tc>
        <w:tc>
          <w:tcPr>
            <w:tcW w:w="986"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2" w:type="dxa"/>
            <w:tcBorders>
              <w:top w:val="nil"/>
              <w:left w:val="nil"/>
              <w:bottom w:val="single" w:color="000000" w:sz="4"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dxa"/>
            <w:tcBorders>
              <w:top w:val="nil"/>
              <w:left w:val="single" w:color="000000" w:sz="4"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311"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8"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06"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86"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2"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2"/>
                <w:szCs w:val="22"/>
                <w:u w:val="none"/>
              </w:rPr>
            </w:pPr>
          </w:p>
        </w:tc>
      </w:tr>
    </w:tbl>
    <w:p>
      <w:pPr>
        <w:adjustRightInd w:val="0"/>
        <w:snapToGrid w:val="0"/>
        <w:spacing w:line="600" w:lineRule="exact"/>
        <w:rPr>
          <w:rFonts w:hint="eastAsia" w:ascii="仿宋_GB2312" w:hAnsi="仿宋_GB2312" w:eastAsia="仿宋_GB2312" w:cs="仿宋_GB2312"/>
          <w:color w:val="000000" w:themeColor="text1"/>
          <w:sz w:val="10"/>
          <w:szCs w:val="10"/>
          <w:shd w:val="clear" w:color="auto" w:fill="FFFFFF"/>
        </w:rPr>
      </w:pPr>
    </w:p>
    <w:p>
      <w:pPr>
        <w:adjustRightInd w:val="0"/>
        <w:snapToGrid w:val="0"/>
        <w:spacing w:line="600" w:lineRule="exact"/>
        <w:ind w:firstLine="602" w:firstLineChars="200"/>
        <w:rPr>
          <w:rFonts w:hint="eastAsia" w:ascii="仿宋_GB2312" w:hAnsi="仿宋_GB2312" w:eastAsia="仿宋_GB2312" w:cs="仿宋_GB2312"/>
          <w:b/>
          <w:bCs/>
          <w:color w:val="000000" w:themeColor="text1"/>
          <w:sz w:val="30"/>
          <w:szCs w:val="30"/>
          <w:shd w:val="clear" w:color="auto" w:fill="FFFFFF"/>
        </w:rPr>
      </w:pPr>
      <w:r>
        <w:rPr>
          <w:rFonts w:hint="eastAsia" w:ascii="仿宋_GB2312" w:hAnsi="仿宋_GB2312" w:eastAsia="仿宋_GB2312" w:cs="仿宋_GB2312"/>
          <w:b/>
          <w:bCs/>
          <w:color w:val="000000" w:themeColor="text1"/>
          <w:sz w:val="30"/>
          <w:szCs w:val="30"/>
          <w:shd w:val="clear" w:color="auto" w:fill="FFFFFF"/>
        </w:rPr>
        <w:t>二、一般公共预算支出情况</w:t>
      </w:r>
    </w:p>
    <w:p>
      <w:pPr>
        <w:snapToGrid w:val="0"/>
        <w:spacing w:line="520" w:lineRule="exact"/>
        <w:ind w:firstLine="600" w:firstLineChars="200"/>
        <w:rPr>
          <w:rFonts w:hint="eastAsia" w:ascii="仿宋_GB2312" w:hAnsi="仿宋_GB2312" w:eastAsia="仿宋_GB2312" w:cs="仿宋_GB2312"/>
          <w:color w:val="000000" w:themeColor="text1"/>
          <w:sz w:val="30"/>
          <w:szCs w:val="30"/>
          <w:shd w:val="clear" w:color="auto" w:fill="FFFFFF"/>
          <w:lang w:eastAsia="zh-CN"/>
        </w:rPr>
      </w:pPr>
      <w:r>
        <w:rPr>
          <w:rFonts w:hint="eastAsia" w:ascii="仿宋_GB2312" w:hAnsi="仿宋_GB2312" w:eastAsia="仿宋_GB2312" w:cs="仿宋_GB2312"/>
          <w:color w:val="000000" w:themeColor="text1"/>
          <w:sz w:val="30"/>
          <w:szCs w:val="30"/>
          <w:shd w:val="clear" w:color="auto" w:fill="FFFFFF"/>
          <w:lang w:eastAsia="zh-CN"/>
        </w:rPr>
        <w:t>（一）基本支出和项目支出情况</w:t>
      </w:r>
    </w:p>
    <w:p>
      <w:pPr>
        <w:snapToGrid w:val="0"/>
        <w:spacing w:line="520" w:lineRule="exact"/>
        <w:ind w:firstLine="6300" w:firstLineChars="21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7"/>
        <w:gridCol w:w="1974"/>
        <w:gridCol w:w="1755"/>
        <w:gridCol w:w="1755"/>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55"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 </w:t>
            </w:r>
          </w:p>
        </w:tc>
        <w:tc>
          <w:tcPr>
            <w:tcW w:w="5257" w:type="dxa"/>
            <w:gridSpan w:val="3"/>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cs="宋体"/>
                <w:kern w:val="0"/>
                <w:sz w:val="22"/>
                <w:szCs w:val="22"/>
                <w:lang w:val="en-US" w:eastAsia="zh-CN"/>
              </w:rPr>
              <w:t>2021</w:t>
            </w:r>
            <w:r>
              <w:rPr>
                <w:rFonts w:hint="eastAsia" w:ascii="宋体" w:hAnsi="宋体" w:eastAsia="宋体" w:cs="宋体"/>
                <w:kern w:val="0"/>
                <w:sz w:val="22"/>
                <w:szCs w:val="22"/>
              </w:rPr>
              <w:t xml:space="preserve">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5" w:type="dxa"/>
            <w:vMerge w:val="restart"/>
            <w:tcBorders>
              <w:top w:val="nil"/>
              <w:left w:val="single" w:color="666666" w:sz="6" w:space="0"/>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功能分类科目编码 </w:t>
            </w:r>
          </w:p>
        </w:tc>
        <w:tc>
          <w:tcPr>
            <w:tcW w:w="1970" w:type="dxa"/>
            <w:vMerge w:val="restart"/>
            <w:tcBorders>
              <w:top w:val="nil"/>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科目名称 </w:t>
            </w:r>
          </w:p>
        </w:tc>
        <w:tc>
          <w:tcPr>
            <w:tcW w:w="1752" w:type="dxa"/>
            <w:vMerge w:val="restart"/>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小计 </w:t>
            </w:r>
          </w:p>
        </w:tc>
        <w:tc>
          <w:tcPr>
            <w:tcW w:w="1752" w:type="dxa"/>
            <w:vMerge w:val="restart"/>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基本支出 </w:t>
            </w:r>
          </w:p>
        </w:tc>
        <w:tc>
          <w:tcPr>
            <w:tcW w:w="1753" w:type="dxa"/>
            <w:vMerge w:val="restart"/>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5" w:type="dxa"/>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970" w:type="dxa"/>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3"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5" w:type="dxa"/>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970" w:type="dxa"/>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2"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1753" w:type="dxa"/>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55"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栏次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55"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合计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81951.16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71621.94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10329.22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教育支出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77111.02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66781.80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b/>
                <w:bCs/>
                <w:kern w:val="0"/>
                <w:sz w:val="22"/>
                <w:szCs w:val="22"/>
              </w:rPr>
              <w:t>10329.2</w:t>
            </w:r>
            <w:r>
              <w:rPr>
                <w:rFonts w:hint="eastAsia" w:ascii="宋体" w:hAnsi="宋体" w:eastAsia="宋体" w:cs="宋体"/>
                <w:kern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教育管理事务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1719.00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1719.000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2050101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行政运行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1369.00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1369.00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2050199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其他教育管理事务支出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350.00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350.00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20502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普通教育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72365.40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63854.29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8511.11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2050201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学前教育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2006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1582.00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2050202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小学教育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38748.00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34275.04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4472.96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2050203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初中教育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26180.38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22566.23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3614.15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2050204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高中教育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177.02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177.02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2050299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其他普通教育支出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5254.00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5254.00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20507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特殊教育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2050701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特殊学校教育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117.00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20508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进修及培训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1091.52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1091.52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2050801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教师进修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841.52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841.52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2050803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培训支出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250.00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250.00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20509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教育费附加安排的支出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1818.10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1818.10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2050901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农村中小学校舍建设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630.00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630.00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2050903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城市中小学校舍建设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11881.10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11881.10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208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社会保障和就业支出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20808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抚恤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1148.17</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1148.17</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2080801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死亡抚恤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1148.17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221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住房保障支出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22102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住房改革支出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2210201 </w:t>
            </w:r>
          </w:p>
        </w:tc>
        <w:tc>
          <w:tcPr>
            <w:tcW w:w="1970" w:type="dxa"/>
            <w:tcBorders>
              <w:top w:val="single" w:color="666666" w:sz="6" w:space="0"/>
              <w:left w:val="nil"/>
              <w:bottom w:val="single" w:color="666666" w:sz="6" w:space="0"/>
              <w:right w:val="single" w:color="666666" w:sz="6" w:space="0"/>
            </w:tcBorders>
            <w:shd w:val="clear" w:color="auto" w:fill="auto"/>
            <w:vAlign w:val="center"/>
          </w:tcPr>
          <w:p>
            <w:pPr>
              <w:pStyle w:val="24"/>
              <w:rPr>
                <w:rFonts w:hint="eastAsia" w:ascii="宋体" w:hAnsi="宋体" w:eastAsia="宋体" w:cs="宋体"/>
                <w:kern w:val="0"/>
                <w:sz w:val="22"/>
                <w:szCs w:val="22"/>
              </w:rPr>
            </w:pPr>
            <w:r>
              <w:rPr>
                <w:rFonts w:hint="eastAsia" w:ascii="宋体" w:hAnsi="宋体" w:eastAsia="宋体" w:cs="宋体"/>
                <w:kern w:val="0"/>
                <w:sz w:val="22"/>
                <w:szCs w:val="22"/>
              </w:rPr>
              <w:t xml:space="preserve">住房公积金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2"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3691.97 </w:t>
            </w:r>
          </w:p>
        </w:tc>
        <w:tc>
          <w:tcPr>
            <w:tcW w:w="1753" w:type="dxa"/>
            <w:tcBorders>
              <w:top w:val="single" w:color="666666" w:sz="6" w:space="0"/>
              <w:left w:val="nil"/>
              <w:bottom w:val="single" w:color="666666" w:sz="6" w:space="0"/>
              <w:right w:val="single" w:color="666666" w:sz="6" w:space="0"/>
            </w:tcBorders>
            <w:shd w:val="clear" w:color="auto" w:fill="auto"/>
            <w:vAlign w:val="center"/>
          </w:tcPr>
          <w:p>
            <w:pPr>
              <w:pStyle w:val="24"/>
              <w:ind w:left="0" w:leftChars="0" w:right="0" w:rightChars="0"/>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0.00 </w:t>
            </w:r>
          </w:p>
        </w:tc>
      </w:tr>
    </w:tbl>
    <w:p>
      <w:pPr>
        <w:pStyle w:val="2"/>
        <w:rPr>
          <w:rFonts w:hint="eastAsia"/>
        </w:rPr>
      </w:pPr>
    </w:p>
    <w:p>
      <w:pPr>
        <w:snapToGrid w:val="0"/>
        <w:spacing w:line="520" w:lineRule="exact"/>
        <w:ind w:firstLine="600" w:firstLineChars="200"/>
        <w:rPr>
          <w:rFonts w:hint="eastAsia"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lang w:eastAsia="zh-CN"/>
        </w:rPr>
        <w:t>（二）</w:t>
      </w:r>
      <w:r>
        <w:rPr>
          <w:rFonts w:hint="eastAsia" w:ascii="仿宋_GB2312" w:hAnsi="仿宋_GB2312" w:eastAsia="仿宋_GB2312" w:cs="仿宋_GB2312"/>
          <w:color w:val="000000" w:themeColor="text1"/>
          <w:sz w:val="30"/>
          <w:szCs w:val="30"/>
          <w:shd w:val="clear" w:color="auto" w:fill="FFFFFF"/>
        </w:rPr>
        <w:t>20</w:t>
      </w:r>
      <w:r>
        <w:rPr>
          <w:rFonts w:hint="eastAsia" w:ascii="仿宋_GB2312" w:hAnsi="仿宋_GB2312" w:eastAsia="仿宋_GB2312" w:cs="仿宋_GB2312"/>
          <w:color w:val="000000" w:themeColor="text1"/>
          <w:sz w:val="30"/>
          <w:szCs w:val="30"/>
          <w:shd w:val="clear" w:color="auto" w:fill="FFFFFF"/>
          <w:lang w:val="en-US" w:eastAsia="zh-CN"/>
        </w:rPr>
        <w:t>21</w:t>
      </w:r>
      <w:r>
        <w:rPr>
          <w:rFonts w:hint="eastAsia" w:ascii="仿宋_GB2312" w:hAnsi="仿宋_GB2312" w:eastAsia="仿宋_GB2312" w:cs="仿宋_GB2312"/>
          <w:color w:val="000000" w:themeColor="text1"/>
          <w:sz w:val="30"/>
          <w:szCs w:val="30"/>
          <w:shd w:val="clear" w:color="auto" w:fill="FFFFFF"/>
        </w:rPr>
        <w:t>年“三公”经费、培训费、会议费经费支出情况</w:t>
      </w:r>
    </w:p>
    <w:p>
      <w:pPr>
        <w:snapToGrid w:val="0"/>
        <w:spacing w:line="520" w:lineRule="exact"/>
        <w:ind w:firstLine="6600" w:firstLineChars="2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单位：万元</w:t>
      </w:r>
    </w:p>
    <w:tbl>
      <w:tblPr>
        <w:tblStyle w:val="8"/>
        <w:tblW w:w="7875" w:type="dxa"/>
        <w:tblInd w:w="339" w:type="dxa"/>
        <w:tblLayout w:type="autofit"/>
        <w:tblCellMar>
          <w:top w:w="0" w:type="dxa"/>
          <w:left w:w="0" w:type="dxa"/>
          <w:bottom w:w="0" w:type="dxa"/>
          <w:right w:w="0" w:type="dxa"/>
        </w:tblCellMar>
      </w:tblPr>
      <w:tblGrid>
        <w:gridCol w:w="2046"/>
        <w:gridCol w:w="1080"/>
        <w:gridCol w:w="1080"/>
        <w:gridCol w:w="1080"/>
        <w:gridCol w:w="2589"/>
      </w:tblGrid>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2020年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2021年</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增减%</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变动原因</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公务用车运行维护费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6.57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单位租车费增多</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公务接待费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188.26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186.7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4"/>
                <w:szCs w:val="24"/>
                <w:u w:val="none"/>
                <w:lang w:val="en-US" w:eastAsia="zh-CN" w:bidi="ar"/>
              </w:rPr>
              <w:t>同城不接待，缩减开支</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培训费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1147.86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5.2</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4"/>
                <w:szCs w:val="24"/>
                <w:u w:val="none"/>
                <w:lang w:val="en-US" w:eastAsia="zh-CN" w:bidi="ar"/>
              </w:rPr>
              <w:t>公用经费提标，培训费增多</w:t>
            </w:r>
          </w:p>
        </w:tc>
      </w:tr>
      <w:tr>
        <w:tblPrEx>
          <w:tblCellMar>
            <w:top w:w="0" w:type="dxa"/>
            <w:left w:w="0" w:type="dxa"/>
            <w:bottom w:w="0" w:type="dxa"/>
            <w:right w:w="0" w:type="dxa"/>
          </w:tblCellMar>
        </w:tblPrEx>
        <w:trPr>
          <w:trHeight w:val="560" w:hRule="atLeast"/>
        </w:trPr>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会议费</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80.9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78.95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-0.2</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缩减开支</w:t>
            </w:r>
          </w:p>
        </w:tc>
      </w:tr>
    </w:tbl>
    <w:p>
      <w:pPr>
        <w:adjustRightInd w:val="0"/>
        <w:snapToGrid w:val="0"/>
        <w:spacing w:line="600" w:lineRule="exact"/>
        <w:rPr>
          <w:rFonts w:hint="eastAsia" w:ascii="仿宋_GB2312" w:hAnsi="仿宋_GB2312" w:eastAsia="仿宋_GB2312" w:cs="仿宋_GB2312"/>
          <w:b/>
          <w:color w:val="000000" w:themeColor="text1"/>
          <w:sz w:val="28"/>
          <w:szCs w:val="28"/>
        </w:rPr>
      </w:pP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000000" w:themeColor="text1"/>
          <w:sz w:val="30"/>
          <w:szCs w:val="30"/>
          <w:shd w:val="clear" w:color="auto" w:fill="FFFFFF"/>
          <w:lang w:eastAsia="zh-CN"/>
        </w:rPr>
        <w:t>政府性基金预算支出情况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道县教育系统2021年无政府性基金预算。</w:t>
      </w:r>
    </w:p>
    <w:p>
      <w:pPr>
        <w:keepNext w:val="0"/>
        <w:keepLines w:val="0"/>
        <w:pageBreakBefore w:val="0"/>
        <w:numPr>
          <w:ilvl w:val="0"/>
          <w:numId w:val="0"/>
        </w:numPr>
        <w:kinsoku/>
        <w:wordWrap/>
        <w:overflowPunct/>
        <w:topLinePunct w:val="0"/>
        <w:autoSpaceDE/>
        <w:autoSpaceDN/>
        <w:bidi w:val="0"/>
        <w:spacing w:line="520" w:lineRule="exact"/>
        <w:ind w:right="11" w:rightChars="0" w:firstLine="602" w:firstLineChars="200"/>
        <w:textAlignment w:val="auto"/>
        <w:rPr>
          <w:rFonts w:hint="eastAsia" w:ascii="仿宋_GB2312" w:hAnsi="仿宋_GB2312" w:eastAsia="仿宋_GB2312" w:cs="仿宋_GB2312"/>
          <w:b/>
          <w:bCs/>
          <w:color w:val="010101"/>
          <w:sz w:val="30"/>
          <w:szCs w:val="30"/>
          <w:lang w:val="en-US" w:eastAsia="zh-CN"/>
        </w:rPr>
      </w:pPr>
      <w:r>
        <w:rPr>
          <w:rFonts w:hint="eastAsia" w:ascii="仿宋_GB2312" w:hAnsi="仿宋_GB2312" w:eastAsia="仿宋_GB2312" w:cs="仿宋_GB2312"/>
          <w:b/>
          <w:bCs/>
          <w:color w:val="010101"/>
          <w:sz w:val="30"/>
          <w:szCs w:val="30"/>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pacing w:line="520" w:lineRule="exact"/>
        <w:ind w:right="11" w:rightChars="0" w:firstLine="600" w:firstLineChars="200"/>
        <w:textAlignment w:val="auto"/>
        <w:rPr>
          <w:rFonts w:hint="eastAsia" w:ascii="仿宋_GB2312" w:hAnsi="仿宋_GB2312" w:eastAsia="仿宋_GB2312" w:cs="仿宋_GB2312"/>
          <w:b w:val="0"/>
          <w:bCs w:val="0"/>
          <w:color w:val="010101"/>
          <w:sz w:val="30"/>
          <w:szCs w:val="30"/>
          <w:lang w:val="en-US" w:eastAsia="zh-CN"/>
        </w:rPr>
      </w:pPr>
      <w:r>
        <w:rPr>
          <w:rFonts w:hint="eastAsia" w:ascii="仿宋_GB2312" w:hAnsi="仿宋_GB2312" w:eastAsia="仿宋_GB2312" w:cs="仿宋_GB2312"/>
          <w:sz w:val="30"/>
          <w:szCs w:val="30"/>
          <w:lang w:val="en-US" w:eastAsia="zh-CN"/>
        </w:rPr>
        <w:t>道县教育系统</w:t>
      </w:r>
      <w:r>
        <w:rPr>
          <w:rFonts w:hint="eastAsia" w:ascii="仿宋_GB2312" w:hAnsi="仿宋_GB2312" w:eastAsia="仿宋_GB2312" w:cs="仿宋_GB2312"/>
          <w:b w:val="0"/>
          <w:bCs w:val="0"/>
          <w:color w:val="010101"/>
          <w:sz w:val="30"/>
          <w:szCs w:val="30"/>
          <w:lang w:val="en-US" w:eastAsia="zh-CN"/>
        </w:rPr>
        <w:t>2021年无国有资本经营预算支出。</w:t>
      </w:r>
    </w:p>
    <w:p>
      <w:pPr>
        <w:keepNext w:val="0"/>
        <w:keepLines w:val="0"/>
        <w:pageBreakBefore w:val="0"/>
        <w:numPr>
          <w:ilvl w:val="0"/>
          <w:numId w:val="0"/>
        </w:numPr>
        <w:kinsoku/>
        <w:wordWrap/>
        <w:overflowPunct/>
        <w:topLinePunct w:val="0"/>
        <w:autoSpaceDE/>
        <w:autoSpaceDN/>
        <w:bidi w:val="0"/>
        <w:spacing w:line="520" w:lineRule="exact"/>
        <w:ind w:right="11" w:rightChars="0" w:firstLine="602" w:firstLineChars="200"/>
        <w:textAlignment w:val="auto"/>
        <w:rPr>
          <w:rFonts w:hint="eastAsia" w:ascii="仿宋_GB2312" w:hAnsi="仿宋_GB2312" w:eastAsia="仿宋_GB2312" w:cs="仿宋_GB2312"/>
          <w:b/>
          <w:color w:val="010101"/>
          <w:sz w:val="30"/>
          <w:szCs w:val="30"/>
          <w:lang w:val="en-US" w:eastAsia="zh-CN"/>
        </w:rPr>
      </w:pPr>
      <w:r>
        <w:rPr>
          <w:rFonts w:hint="eastAsia" w:ascii="仿宋_GB2312" w:hAnsi="仿宋_GB2312" w:eastAsia="仿宋_GB2312" w:cs="仿宋_GB2312"/>
          <w:b/>
          <w:bCs/>
          <w:color w:val="010101"/>
          <w:sz w:val="30"/>
          <w:szCs w:val="30"/>
          <w:lang w:val="en-US" w:eastAsia="zh-CN"/>
        </w:rPr>
        <w:t>五</w:t>
      </w:r>
      <w:r>
        <w:rPr>
          <w:rFonts w:hint="eastAsia" w:ascii="仿宋_GB2312" w:hAnsi="仿宋_GB2312" w:eastAsia="仿宋_GB2312" w:cs="仿宋_GB2312"/>
          <w:b w:val="0"/>
          <w:bCs/>
          <w:color w:val="010101"/>
          <w:sz w:val="30"/>
          <w:szCs w:val="30"/>
          <w:lang w:val="en-US" w:eastAsia="zh-CN"/>
        </w:rPr>
        <w:t>、</w:t>
      </w:r>
      <w:r>
        <w:rPr>
          <w:rFonts w:hint="eastAsia" w:ascii="仿宋_GB2312" w:hAnsi="仿宋_GB2312" w:eastAsia="仿宋_GB2312" w:cs="仿宋_GB2312"/>
          <w:b/>
          <w:color w:val="010101"/>
          <w:sz w:val="30"/>
          <w:szCs w:val="30"/>
          <w:lang w:val="en-US" w:eastAsia="zh-CN"/>
        </w:rPr>
        <w:t>社会保险基金预算支出情况</w:t>
      </w:r>
    </w:p>
    <w:p>
      <w:pPr>
        <w:keepNext w:val="0"/>
        <w:keepLines w:val="0"/>
        <w:pageBreakBefore w:val="0"/>
        <w:numPr>
          <w:ilvl w:val="0"/>
          <w:numId w:val="0"/>
        </w:numPr>
        <w:kinsoku/>
        <w:wordWrap/>
        <w:overflowPunct/>
        <w:topLinePunct w:val="0"/>
        <w:autoSpaceDE/>
        <w:autoSpaceDN/>
        <w:bidi w:val="0"/>
        <w:spacing w:line="520" w:lineRule="exact"/>
        <w:ind w:right="11" w:rightChars="0" w:firstLine="600" w:firstLineChars="200"/>
        <w:textAlignment w:val="auto"/>
        <w:rPr>
          <w:rFonts w:hint="eastAsia" w:ascii="仿宋_GB2312" w:hAnsi="仿宋_GB2312" w:eastAsia="仿宋_GB2312" w:cs="仿宋_GB2312"/>
          <w:b/>
          <w:color w:val="010101"/>
          <w:sz w:val="30"/>
          <w:szCs w:val="30"/>
          <w:lang w:eastAsia="zh-CN"/>
        </w:rPr>
      </w:pPr>
      <w:r>
        <w:rPr>
          <w:rFonts w:hint="eastAsia" w:ascii="仿宋_GB2312" w:hAnsi="仿宋_GB2312" w:eastAsia="仿宋_GB2312" w:cs="仿宋_GB2312"/>
          <w:sz w:val="30"/>
          <w:szCs w:val="30"/>
          <w:lang w:val="en-US" w:eastAsia="zh-CN"/>
        </w:rPr>
        <w:t>道县教育系统</w:t>
      </w:r>
      <w:r>
        <w:rPr>
          <w:rFonts w:hint="eastAsia" w:ascii="仿宋_GB2312" w:hAnsi="仿宋_GB2312" w:eastAsia="仿宋_GB2312" w:cs="仿宋_GB2312"/>
          <w:b w:val="0"/>
          <w:bCs/>
          <w:color w:val="010101"/>
          <w:sz w:val="30"/>
          <w:szCs w:val="30"/>
          <w:lang w:val="en-US" w:eastAsia="zh-CN"/>
        </w:rPr>
        <w:t>2021年无社会保险基金预算支出。</w:t>
      </w:r>
    </w:p>
    <w:p>
      <w:pPr>
        <w:keepNext w:val="0"/>
        <w:keepLines w:val="0"/>
        <w:pageBreakBefore w:val="0"/>
        <w:kinsoku/>
        <w:wordWrap/>
        <w:overflowPunct/>
        <w:topLinePunct w:val="0"/>
        <w:autoSpaceDE/>
        <w:autoSpaceDN/>
        <w:bidi w:val="0"/>
        <w:spacing w:line="520" w:lineRule="exact"/>
        <w:ind w:right="11" w:firstLine="602" w:firstLineChars="200"/>
        <w:textAlignment w:val="auto"/>
        <w:rPr>
          <w:rFonts w:hint="eastAsia" w:ascii="仿宋_GB2312" w:hAnsi="仿宋_GB2312" w:eastAsia="仿宋_GB2312" w:cs="仿宋_GB2312"/>
          <w:b/>
          <w:color w:val="010101"/>
          <w:sz w:val="30"/>
          <w:szCs w:val="30"/>
        </w:rPr>
      </w:pPr>
      <w:r>
        <w:rPr>
          <w:rFonts w:hint="eastAsia" w:ascii="仿宋_GB2312" w:hAnsi="仿宋_GB2312" w:eastAsia="仿宋_GB2312" w:cs="仿宋_GB2312"/>
          <w:b/>
          <w:color w:val="010101"/>
          <w:sz w:val="30"/>
          <w:szCs w:val="30"/>
          <w:lang w:eastAsia="zh-CN"/>
        </w:rPr>
        <w:t>六</w:t>
      </w:r>
      <w:r>
        <w:rPr>
          <w:rFonts w:hint="eastAsia" w:ascii="仿宋_GB2312" w:hAnsi="仿宋_GB2312" w:eastAsia="仿宋_GB2312" w:cs="仿宋_GB2312"/>
          <w:b/>
          <w:color w:val="010101"/>
          <w:sz w:val="30"/>
          <w:szCs w:val="30"/>
        </w:rPr>
        <w:t>、部门整体支出绩效情况</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lang w:val="en-US" w:eastAsia="zh-CN"/>
        </w:rPr>
        <w:t>1、</w:t>
      </w:r>
      <w:r>
        <w:rPr>
          <w:rFonts w:hint="eastAsia" w:ascii="仿宋_GB2312" w:hAnsi="仿宋_GB2312" w:eastAsia="仿宋_GB2312" w:cs="仿宋_GB2312"/>
          <w:color w:val="000000" w:themeColor="text1"/>
          <w:sz w:val="30"/>
          <w:szCs w:val="30"/>
          <w:shd w:val="clear" w:color="auto" w:fill="FFFFFF"/>
        </w:rPr>
        <w:t>学校实行国库集中支付，各校均严格相关法律法规规定，按照县财政关于公务接待、会议费、差旅费等规定执行，厉行节约， “三公”经费实现了有效压减。</w:t>
      </w:r>
    </w:p>
    <w:p>
      <w:pPr>
        <w:spacing w:line="5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完善质量攻坚机制，落实质量攻坚举措，扎扎实实推进质量攻坚。全县高考本科上线人数突破1726人，二本同口径上线1205人，较去年净增179人，其中一本同口径上线501人，较去年增加151人，实现高考一、二本“五连增”；初三毕业合格率、选优秀率分别为58.7%、30.94%，较上年提高29.5%、25.37%，全科平均合格率、优秀率全市排名较上年均提升1个名次；小学六年级毕业合格率为84.6%，优秀率为63.68%，人均合格率、优秀率均较上年度有较大提高（21.02%、33.55%）。县教育局获评全省在线备课大赛优秀组织单位，县五中获评全国中小学中华优秀传统文化传承校，工贸学校在全省职业院校技能竞赛中获得殊荣。</w:t>
      </w:r>
    </w:p>
    <w:p>
      <w:pPr>
        <w:spacing w:line="5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按照保教保学要求，抓好城区学校扩容提质，启动敦颐学校、东洲学校、道县七小等配套基础设施建设和城南幼儿园迁建，西洲芙蓉学校、谷源学校启动招生办学；实施公办学前教育学位扩容，完成小甲中心幼儿园、六小、八小、岑江渡小学、新车小学附属幼儿园改扩建，新增学位662个；推进两类学校建设，实施洪塘营中心小学、白马渡中心小学等6所寄宿制学校建设，提质改造清溪小学、上李小学等20个教学点，落实了公办附设园独立办学，城乡教育布局持续优化。</w:t>
      </w:r>
    </w:p>
    <w:p>
      <w:pPr>
        <w:spacing w:line="5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4</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通过公开招聘、人才引进、特岗指标、接收公费定向培养示范毕业生、返聘退休教师、接收县外编制教师等途径补充教师1085人；采取校地联合培养方式，协调湖南科技学院等3所高等院校112名师范专业应届毕业生前来顶岗实习，送培公费定向师范生297名。组织开展教师继续教育培训、学科教师培训及新招录教师适岗培训18期，累计培训教师4600人次，组织开展了名师、名课评选，评选县级名师、骨干教师及学科带头人253人，评选县级名课93节。3名教师获得正高级职称，159名乡村教师获评专项副高职称。</w:t>
      </w:r>
    </w:p>
    <w:p>
      <w:pPr>
        <w:spacing w:line="5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5</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落实高考综合改革，圆满完成2021年湖南省3+1+2新高考首考组考任务，全县共有6391名高三阶段考生、9602名高一、高二考生参加新高考。围绕义务教育“双减”政策，推动课后服务和校外培训机构规范化管理，停办校外培训机构办学4所。严格控制民办义务教育学校招生比例，落实在民办义务教育学校教师返回公办学校任教。</w:t>
      </w:r>
    </w:p>
    <w:p>
      <w:pPr>
        <w:spacing w:line="5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6</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sz w:val="30"/>
          <w:szCs w:val="30"/>
        </w:rPr>
        <w:t>落实建档立卡学生和贫困生生活补贴发放及减免，发放各学段助学金及生活补助1802万元，减免学杂费及教科书231万元；发放高校新生交通补助12万元，新增生源地助学贷款2748人次，发放助学贷款2464万元。针对暑期防溺水工作压力大的形势，组织开展了“千师访万家”活动和县级领导带队督查防溺水工作，防学生溺水工作典型经验在全国、全省进行推广。</w:t>
      </w:r>
    </w:p>
    <w:p>
      <w:pPr>
        <w:keepNext w:val="0"/>
        <w:keepLines w:val="0"/>
        <w:pageBreakBefore w:val="0"/>
        <w:kinsoku/>
        <w:wordWrap/>
        <w:overflowPunct/>
        <w:topLinePunct w:val="0"/>
        <w:autoSpaceDE/>
        <w:autoSpaceDN/>
        <w:bidi w:val="0"/>
        <w:adjustRightInd w:val="0"/>
        <w:snapToGrid w:val="0"/>
        <w:spacing w:line="520" w:lineRule="exact"/>
        <w:ind w:firstLine="602" w:firstLineChars="200"/>
        <w:textAlignment w:val="auto"/>
        <w:rPr>
          <w:rFonts w:hint="eastAsia" w:ascii="仿宋_GB2312" w:hAnsi="仿宋_GB2312" w:eastAsia="仿宋_GB2312" w:cs="仿宋_GB2312"/>
          <w:b/>
          <w:bCs/>
          <w:color w:val="auto"/>
          <w:sz w:val="30"/>
          <w:szCs w:val="30"/>
          <w:shd w:val="clear" w:color="auto" w:fill="FFFFFF"/>
          <w:lang w:eastAsia="zh-CN"/>
        </w:rPr>
      </w:pPr>
      <w:r>
        <w:rPr>
          <w:rFonts w:hint="eastAsia" w:ascii="仿宋_GB2312" w:hAnsi="仿宋_GB2312" w:eastAsia="仿宋_GB2312" w:cs="仿宋_GB2312"/>
          <w:b/>
          <w:bCs/>
          <w:color w:val="auto"/>
          <w:sz w:val="30"/>
          <w:szCs w:val="30"/>
          <w:shd w:val="clear" w:color="auto" w:fill="FFFFFF"/>
          <w:lang w:eastAsia="zh-CN"/>
        </w:rPr>
        <w:t>七</w:t>
      </w:r>
      <w:r>
        <w:rPr>
          <w:rFonts w:hint="eastAsia" w:ascii="仿宋_GB2312" w:hAnsi="仿宋_GB2312" w:eastAsia="仿宋_GB2312" w:cs="仿宋_GB2312"/>
          <w:b/>
          <w:bCs/>
          <w:color w:val="auto"/>
          <w:sz w:val="30"/>
          <w:szCs w:val="30"/>
          <w:shd w:val="clear" w:color="auto" w:fill="FFFFFF"/>
        </w:rPr>
        <w:t>、存在的问题</w:t>
      </w:r>
      <w:r>
        <w:rPr>
          <w:rFonts w:hint="eastAsia" w:ascii="仿宋_GB2312" w:hAnsi="仿宋_GB2312" w:eastAsia="仿宋_GB2312" w:cs="仿宋_GB2312"/>
          <w:b/>
          <w:bCs/>
          <w:color w:val="auto"/>
          <w:sz w:val="30"/>
          <w:szCs w:val="30"/>
          <w:shd w:val="clear" w:color="auto" w:fill="FFFFFF"/>
          <w:lang w:eastAsia="zh-CN"/>
        </w:rPr>
        <w:t>及原因分析</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预算编制工作有待细化。预算编制不够明确和细化，预算编制的合理性需要提高，预算执行力度还要进一步加强。</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提高对预算编制重要性的认识，严格按照财政部门要求编制部门预算，认真做好编制前的准备工作，合理确定收入来源，预算收支数字必须依据充分确定的资料，努力提高预算的透明度。</w:t>
      </w:r>
    </w:p>
    <w:p>
      <w:pPr>
        <w:keepNext w:val="0"/>
        <w:keepLines w:val="0"/>
        <w:pageBreakBefore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333333"/>
          <w:sz w:val="30"/>
          <w:szCs w:val="30"/>
          <w:lang w:val="en-US" w:eastAsia="zh-CN"/>
        </w:rPr>
        <w:t>3、</w:t>
      </w:r>
      <w:r>
        <w:rPr>
          <w:rFonts w:hint="eastAsia" w:ascii="仿宋_GB2312" w:hAnsi="仿宋_GB2312" w:eastAsia="仿宋_GB2312" w:cs="仿宋_GB2312"/>
          <w:color w:val="333333"/>
          <w:sz w:val="30"/>
          <w:szCs w:val="30"/>
        </w:rPr>
        <w:t>部分预算资金支付进度稍缓，预算执行率降低。绩效目标设置有待进一步优化。目标不够明确、细化和量化，有待进一步提高可操作性。</w:t>
      </w:r>
      <w:r>
        <w:rPr>
          <w:rFonts w:hint="eastAsia" w:ascii="仿宋_GB2312" w:hAnsi="仿宋_GB2312" w:eastAsia="仿宋_GB2312" w:cs="仿宋_GB2312"/>
          <w:color w:val="auto"/>
          <w:sz w:val="30"/>
          <w:szCs w:val="30"/>
          <w:lang w:val="en-US" w:eastAsia="zh-CN"/>
        </w:rPr>
        <w:t xml:space="preserve">    </w:t>
      </w:r>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2" w:firstLineChars="200"/>
        <w:textAlignment w:val="auto"/>
        <w:rPr>
          <w:rFonts w:hint="eastAsia" w:ascii="仿宋_GB2312" w:hAnsi="仿宋_GB2312" w:eastAsia="仿宋_GB2312" w:cs="仿宋_GB2312"/>
          <w:b/>
          <w:bCs w:val="0"/>
          <w:color w:val="000000"/>
          <w:sz w:val="30"/>
          <w:szCs w:val="30"/>
          <w:lang w:eastAsia="zh-CN"/>
        </w:rPr>
      </w:pPr>
      <w:r>
        <w:rPr>
          <w:rFonts w:hint="eastAsia" w:ascii="仿宋_GB2312" w:hAnsi="仿宋_GB2312" w:eastAsia="仿宋_GB2312" w:cs="仿宋_GB2312"/>
          <w:b/>
          <w:bCs w:val="0"/>
          <w:color w:val="000000"/>
          <w:sz w:val="30"/>
          <w:szCs w:val="30"/>
          <w:lang w:eastAsia="zh-CN"/>
        </w:rPr>
        <w:t>八、下一步改进措施</w:t>
      </w:r>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细化预算编制工作，认真做好预算的编制。进一步加强</w:t>
      </w:r>
      <w:r>
        <w:rPr>
          <w:rFonts w:hint="eastAsia" w:ascii="仿宋_GB2312" w:hAnsi="仿宋_GB2312" w:eastAsia="仿宋_GB2312" w:cs="仿宋_GB2312"/>
          <w:sz w:val="30"/>
          <w:szCs w:val="30"/>
          <w:lang w:eastAsia="zh-CN"/>
        </w:rPr>
        <w:t>单位和学校</w:t>
      </w:r>
      <w:r>
        <w:rPr>
          <w:rFonts w:hint="eastAsia" w:ascii="仿宋_GB2312" w:hAnsi="仿宋_GB2312" w:eastAsia="仿宋_GB2312" w:cs="仿宋_GB2312"/>
          <w:sz w:val="30"/>
          <w:szCs w:val="30"/>
        </w:rPr>
        <w:t>的预算管理意识，严格按照预算编制的相关制度和要求进行预算编制</w:t>
      </w:r>
      <w:r>
        <w:rPr>
          <w:rFonts w:hint="eastAsia" w:ascii="仿宋_GB2312" w:hAnsi="仿宋_GB2312" w:eastAsia="仿宋_GB2312" w:cs="仿宋_GB2312"/>
          <w:sz w:val="30"/>
          <w:szCs w:val="30"/>
          <w:lang w:eastAsia="zh-CN"/>
        </w:rPr>
        <w:t>。</w:t>
      </w:r>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2、加强财务管理，严格财务审核。健全单位财务管理制度体系，规范单位财务行为。在费用报账支付时，按照预算规定的费用项目和用途进行资金使用审核、列报支付、财务核算，杜绝超支现象的发生。</w:t>
      </w:r>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、对</w:t>
      </w:r>
      <w:r>
        <w:rPr>
          <w:rFonts w:hint="eastAsia" w:ascii="仿宋_GB2312" w:hAnsi="仿宋_GB2312" w:eastAsia="仿宋_GB2312" w:cs="仿宋_GB2312"/>
          <w:sz w:val="30"/>
          <w:szCs w:val="30"/>
          <w:lang w:eastAsia="zh-CN"/>
        </w:rPr>
        <w:t>财务</w:t>
      </w:r>
      <w:r>
        <w:rPr>
          <w:rFonts w:hint="eastAsia" w:ascii="仿宋_GB2312" w:hAnsi="仿宋_GB2312" w:eastAsia="仿宋_GB2312" w:cs="仿宋_GB2312"/>
          <w:sz w:val="30"/>
          <w:szCs w:val="30"/>
        </w:rPr>
        <w:t>人员加强培训，特别是针对《预算法》《行政事业单位会计制度》等学习培训，规范部门预算收支核算，切实提高部门预算收支管理水平。</w:t>
      </w:r>
      <w:bookmarkStart w:id="0" w:name="_Toc9436397"/>
      <w:bookmarkEnd w:id="0"/>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lang w:val="en-US" w:eastAsia="zh-CN"/>
        </w:rPr>
        <w:t>4、</w:t>
      </w:r>
      <w:r>
        <w:rPr>
          <w:rFonts w:hint="eastAsia" w:ascii="仿宋_GB2312" w:hAnsi="仿宋_GB2312" w:eastAsia="仿宋_GB2312" w:cs="仿宋_GB2312"/>
          <w:color w:val="333333"/>
          <w:sz w:val="30"/>
          <w:szCs w:val="30"/>
        </w:rPr>
        <w:t>加强资金使用与监管，合理安排资金支付进度，提高资金使用效益</w:t>
      </w:r>
      <w:bookmarkStart w:id="1" w:name="_Toc9436398"/>
      <w:bookmarkEnd w:id="1"/>
      <w:r>
        <w:rPr>
          <w:rFonts w:hint="eastAsia" w:ascii="仿宋_GB2312" w:hAnsi="仿宋_GB2312" w:eastAsia="仿宋_GB2312" w:cs="仿宋_GB2312"/>
          <w:color w:val="333333"/>
          <w:sz w:val="30"/>
          <w:szCs w:val="30"/>
        </w:rPr>
        <w:t>。进一步规范绩效目标编制，在编制项目资金绩效目标时，要求指向明确、细化量化、合理可行、相应匹配。</w:t>
      </w:r>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九、绩效自评结果拟应用和公开情况</w:t>
      </w:r>
      <w:bookmarkStart w:id="2" w:name="_Toc9436408"/>
      <w:bookmarkEnd w:id="2"/>
    </w:p>
    <w:p>
      <w:pPr>
        <w:pStyle w:val="7"/>
        <w:keepNext w:val="0"/>
        <w:keepLines w:val="0"/>
        <w:pageBreakBefore w:val="0"/>
        <w:widowControl/>
        <w:kinsoku/>
        <w:wordWrap/>
        <w:overflowPunct/>
        <w:topLinePunct w:val="0"/>
        <w:autoSpaceDE/>
        <w:autoSpaceDN/>
        <w:bidi w:val="0"/>
        <w:spacing w:before="0" w:beforeAutospacing="0" w:after="0" w:afterAutospacing="0" w:line="52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通过绩效自评，进一步掌握了资金使用情况和取得的效果，发现了工作中存在的问题和不足，为今后加强资金使用管理、完善资金绩效管理、提高资金使用效益工作提供了重要的参考依据。</w:t>
      </w:r>
      <w:bookmarkStart w:id="4" w:name="_GoBack"/>
      <w:bookmarkEnd w:id="4"/>
      <w:bookmarkStart w:id="3" w:name="_Toc9436409"/>
      <w:bookmarkEnd w:id="3"/>
      <w:r>
        <w:rPr>
          <w:rFonts w:hint="eastAsia" w:ascii="仿宋_GB2312" w:hAnsi="仿宋_GB2312" w:eastAsia="仿宋_GB2312" w:cs="仿宋_GB2312"/>
          <w:color w:val="333333"/>
          <w:sz w:val="30"/>
          <w:szCs w:val="30"/>
        </w:rPr>
        <w:t>按规定时间将此次绩效自评报告在本单位门户网站上予以公布，向社会公开，广泛接受群众监督。</w:t>
      </w:r>
    </w:p>
    <w:p>
      <w:pPr>
        <w:adjustRightInd w:val="0"/>
        <w:snapToGrid w:val="0"/>
        <w:spacing w:line="600" w:lineRule="exact"/>
        <w:ind w:firstLine="6600" w:firstLineChars="2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道县教育局</w:t>
      </w:r>
    </w:p>
    <w:p>
      <w:pPr>
        <w:adjustRightInd w:val="0"/>
        <w:snapToGrid w:val="0"/>
        <w:spacing w:line="600" w:lineRule="exact"/>
        <w:ind w:firstLine="6150" w:firstLineChars="205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202</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年6月</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CE656"/>
    <w:multiLevelType w:val="singleLevel"/>
    <w:tmpl w:val="12FCE656"/>
    <w:lvl w:ilvl="0" w:tentative="0">
      <w:start w:val="3"/>
      <w:numFmt w:val="chineseCounting"/>
      <w:suff w:val="nothing"/>
      <w:lvlText w:val="%1、"/>
      <w:lvlJc w:val="left"/>
      <w:rPr>
        <w:rFonts w:hint="eastAsia"/>
      </w:rPr>
    </w:lvl>
  </w:abstractNum>
  <w:abstractNum w:abstractNumId="1">
    <w:nsid w:val="4F90A65E"/>
    <w:multiLevelType w:val="singleLevel"/>
    <w:tmpl w:val="4F90A65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kNjMwNGFjNjc2ZmU4N2FmM2VjZDg4ZWJhZDFhYTMifQ=="/>
  </w:docVars>
  <w:rsids>
    <w:rsidRoot w:val="00E023F5"/>
    <w:rsid w:val="00037B95"/>
    <w:rsid w:val="000B6A39"/>
    <w:rsid w:val="000C19FD"/>
    <w:rsid w:val="00151FB2"/>
    <w:rsid w:val="0017128D"/>
    <w:rsid w:val="00184565"/>
    <w:rsid w:val="00244615"/>
    <w:rsid w:val="00273308"/>
    <w:rsid w:val="002A087C"/>
    <w:rsid w:val="003A339E"/>
    <w:rsid w:val="003C5834"/>
    <w:rsid w:val="0040428E"/>
    <w:rsid w:val="0048406D"/>
    <w:rsid w:val="00491393"/>
    <w:rsid w:val="004A139B"/>
    <w:rsid w:val="00552442"/>
    <w:rsid w:val="005945BF"/>
    <w:rsid w:val="005A30F2"/>
    <w:rsid w:val="005B2827"/>
    <w:rsid w:val="006117C5"/>
    <w:rsid w:val="0061728F"/>
    <w:rsid w:val="006D4191"/>
    <w:rsid w:val="0070725D"/>
    <w:rsid w:val="0073431B"/>
    <w:rsid w:val="00762D52"/>
    <w:rsid w:val="00783181"/>
    <w:rsid w:val="007B3720"/>
    <w:rsid w:val="007C4E5B"/>
    <w:rsid w:val="007D4D0D"/>
    <w:rsid w:val="007D6597"/>
    <w:rsid w:val="00836368"/>
    <w:rsid w:val="00861289"/>
    <w:rsid w:val="00877BA1"/>
    <w:rsid w:val="00956121"/>
    <w:rsid w:val="00997662"/>
    <w:rsid w:val="009C0ECA"/>
    <w:rsid w:val="00A15359"/>
    <w:rsid w:val="00A27B86"/>
    <w:rsid w:val="00A316FE"/>
    <w:rsid w:val="00A76448"/>
    <w:rsid w:val="00AC1AB4"/>
    <w:rsid w:val="00B11231"/>
    <w:rsid w:val="00B30C5E"/>
    <w:rsid w:val="00B56EB9"/>
    <w:rsid w:val="00B74A87"/>
    <w:rsid w:val="00BD5186"/>
    <w:rsid w:val="00C25252"/>
    <w:rsid w:val="00C71D54"/>
    <w:rsid w:val="00C95461"/>
    <w:rsid w:val="00CB2B82"/>
    <w:rsid w:val="00CB4362"/>
    <w:rsid w:val="00CC1C6E"/>
    <w:rsid w:val="00CE0BD6"/>
    <w:rsid w:val="00CF446F"/>
    <w:rsid w:val="00D116AF"/>
    <w:rsid w:val="00D1790A"/>
    <w:rsid w:val="00D90AB0"/>
    <w:rsid w:val="00D92001"/>
    <w:rsid w:val="00DF468F"/>
    <w:rsid w:val="00E023F5"/>
    <w:rsid w:val="00E07CB8"/>
    <w:rsid w:val="00E641CA"/>
    <w:rsid w:val="00E96CA1"/>
    <w:rsid w:val="00EA1F7D"/>
    <w:rsid w:val="00EB3269"/>
    <w:rsid w:val="00F0322B"/>
    <w:rsid w:val="00F16E04"/>
    <w:rsid w:val="00F8039F"/>
    <w:rsid w:val="00F87241"/>
    <w:rsid w:val="00F94903"/>
    <w:rsid w:val="00FF47BE"/>
    <w:rsid w:val="03D705E8"/>
    <w:rsid w:val="048B5BE2"/>
    <w:rsid w:val="054524E7"/>
    <w:rsid w:val="05FB0B46"/>
    <w:rsid w:val="07A775EC"/>
    <w:rsid w:val="084802E9"/>
    <w:rsid w:val="08DD60E0"/>
    <w:rsid w:val="09B33235"/>
    <w:rsid w:val="09F90F93"/>
    <w:rsid w:val="0B6F7C04"/>
    <w:rsid w:val="122869A2"/>
    <w:rsid w:val="154A2674"/>
    <w:rsid w:val="15FB142D"/>
    <w:rsid w:val="174A5489"/>
    <w:rsid w:val="17B631F3"/>
    <w:rsid w:val="186B5700"/>
    <w:rsid w:val="1AC74959"/>
    <w:rsid w:val="1B664DE4"/>
    <w:rsid w:val="1E88576B"/>
    <w:rsid w:val="1F3A5DE3"/>
    <w:rsid w:val="20784E15"/>
    <w:rsid w:val="217F30BB"/>
    <w:rsid w:val="25FF637F"/>
    <w:rsid w:val="26E8136C"/>
    <w:rsid w:val="27BD3A55"/>
    <w:rsid w:val="27D5281D"/>
    <w:rsid w:val="2A472170"/>
    <w:rsid w:val="2A731B75"/>
    <w:rsid w:val="2C795659"/>
    <w:rsid w:val="2CC91616"/>
    <w:rsid w:val="2D290B80"/>
    <w:rsid w:val="2F745341"/>
    <w:rsid w:val="30A64D03"/>
    <w:rsid w:val="30AF141D"/>
    <w:rsid w:val="326F1422"/>
    <w:rsid w:val="327959C9"/>
    <w:rsid w:val="344D10D1"/>
    <w:rsid w:val="34790D04"/>
    <w:rsid w:val="348867D1"/>
    <w:rsid w:val="34DE765A"/>
    <w:rsid w:val="35BD58DE"/>
    <w:rsid w:val="36ED652F"/>
    <w:rsid w:val="39CE62D9"/>
    <w:rsid w:val="3A02547A"/>
    <w:rsid w:val="3B183065"/>
    <w:rsid w:val="3D872B79"/>
    <w:rsid w:val="47A83982"/>
    <w:rsid w:val="488C3DC0"/>
    <w:rsid w:val="4A9F6F2A"/>
    <w:rsid w:val="4B0424BE"/>
    <w:rsid w:val="4DCD5B7C"/>
    <w:rsid w:val="4F0E3F85"/>
    <w:rsid w:val="51190D3B"/>
    <w:rsid w:val="54DF648C"/>
    <w:rsid w:val="54FD359B"/>
    <w:rsid w:val="5A7C0EDF"/>
    <w:rsid w:val="5A8D3447"/>
    <w:rsid w:val="5BB56F08"/>
    <w:rsid w:val="5CE77D3C"/>
    <w:rsid w:val="5DC12ECF"/>
    <w:rsid w:val="5E1177FC"/>
    <w:rsid w:val="5E522ABE"/>
    <w:rsid w:val="61447B7B"/>
    <w:rsid w:val="6245732F"/>
    <w:rsid w:val="689F6564"/>
    <w:rsid w:val="6A0F339A"/>
    <w:rsid w:val="6B7D3DF4"/>
    <w:rsid w:val="6E7E69F1"/>
    <w:rsid w:val="71C208E9"/>
    <w:rsid w:val="72AC28A1"/>
    <w:rsid w:val="738A1F49"/>
    <w:rsid w:val="749018A2"/>
    <w:rsid w:val="75F82FC9"/>
    <w:rsid w:val="7B40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2"/>
    <w:semiHidden/>
    <w:unhideWhenUsed/>
    <w:qFormat/>
    <w:uiPriority w:val="0"/>
    <w:pPr>
      <w:spacing w:beforeAutospacing="1" w:afterAutospacing="1"/>
      <w:jc w:val="left"/>
      <w:outlineLvl w:val="1"/>
    </w:pPr>
    <w:rPr>
      <w:rFonts w:hint="eastAsia" w:ascii="宋体" w:hAnsi="宋体" w:cs="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link w:val="20"/>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10">
    <w:name w:val="Strong"/>
    <w:basedOn w:val="9"/>
    <w:qFormat/>
    <w:uiPriority w:val="0"/>
    <w:rPr>
      <w:b/>
      <w:bCs/>
    </w:rPr>
  </w:style>
  <w:style w:type="character" w:styleId="11">
    <w:name w:val="FollowedHyperlink"/>
    <w:basedOn w:val="9"/>
    <w:qFormat/>
    <w:uiPriority w:val="0"/>
    <w:rPr>
      <w:color w:val="800080" w:themeColor="followedHyperlink"/>
      <w:u w:val="single"/>
    </w:rPr>
  </w:style>
  <w:style w:type="character" w:styleId="12">
    <w:name w:val="Emphasis"/>
    <w:basedOn w:val="9"/>
    <w:qFormat/>
    <w:uiPriority w:val="0"/>
  </w:style>
  <w:style w:type="character" w:styleId="13">
    <w:name w:val="HTML Definition"/>
    <w:basedOn w:val="9"/>
    <w:uiPriority w:val="0"/>
    <w:rPr>
      <w:i/>
      <w:iCs/>
    </w:rPr>
  </w:style>
  <w:style w:type="character" w:styleId="14">
    <w:name w:val="Hyperlink"/>
    <w:basedOn w:val="9"/>
    <w:qFormat/>
    <w:uiPriority w:val="0"/>
    <w:rPr>
      <w:color w:val="0000FF" w:themeColor="hyperlink"/>
      <w:u w:val="single"/>
    </w:rPr>
  </w:style>
  <w:style w:type="character" w:styleId="15">
    <w:name w:val="HTML Code"/>
    <w:basedOn w:val="9"/>
    <w:qFormat/>
    <w:uiPriority w:val="0"/>
    <w:rPr>
      <w:rFonts w:ascii="Consolas" w:hAnsi="Consolas" w:eastAsia="Consolas" w:cs="Consolas"/>
      <w:color w:val="C7254E"/>
      <w:sz w:val="21"/>
      <w:szCs w:val="21"/>
      <w:shd w:val="clear" w:fill="F9F2F4"/>
    </w:rPr>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hint="default" w:ascii="Consolas" w:hAnsi="Consolas" w:eastAsia="Consolas" w:cs="Consolas"/>
      <w:sz w:val="21"/>
      <w:szCs w:val="21"/>
    </w:rPr>
  </w:style>
  <w:style w:type="character" w:customStyle="1" w:styleId="18">
    <w:name w:val="页眉 Char"/>
    <w:basedOn w:val="9"/>
    <w:link w:val="6"/>
    <w:qFormat/>
    <w:uiPriority w:val="0"/>
    <w:rPr>
      <w:kern w:val="2"/>
      <w:sz w:val="18"/>
      <w:szCs w:val="18"/>
    </w:rPr>
  </w:style>
  <w:style w:type="character" w:customStyle="1" w:styleId="19">
    <w:name w:val="页脚 Char"/>
    <w:basedOn w:val="9"/>
    <w:link w:val="5"/>
    <w:uiPriority w:val="0"/>
    <w:rPr>
      <w:kern w:val="2"/>
      <w:sz w:val="18"/>
      <w:szCs w:val="18"/>
    </w:rPr>
  </w:style>
  <w:style w:type="character" w:customStyle="1" w:styleId="20">
    <w:name w:val="批注框文本 Char"/>
    <w:basedOn w:val="9"/>
    <w:link w:val="4"/>
    <w:qFormat/>
    <w:uiPriority w:val="0"/>
    <w:rPr>
      <w:kern w:val="2"/>
      <w:sz w:val="18"/>
      <w:szCs w:val="18"/>
    </w:rPr>
  </w:style>
  <w:style w:type="paragraph" w:styleId="21">
    <w:name w:val="List Paragraph"/>
    <w:basedOn w:val="1"/>
    <w:qFormat/>
    <w:uiPriority w:val="34"/>
    <w:pPr>
      <w:ind w:firstLine="420" w:firstLineChars="200"/>
    </w:pPr>
  </w:style>
  <w:style w:type="character" w:customStyle="1" w:styleId="22">
    <w:name w:val="标题 2 Char"/>
    <w:basedOn w:val="9"/>
    <w:link w:val="3"/>
    <w:semiHidden/>
    <w:uiPriority w:val="0"/>
    <w:rPr>
      <w:rFonts w:ascii="宋体" w:hAnsi="宋体" w:cs="宋体"/>
      <w:b/>
      <w:sz w:val="36"/>
      <w:szCs w:val="36"/>
    </w:rPr>
  </w:style>
  <w:style w:type="character" w:customStyle="1" w:styleId="23">
    <w:name w:val="font31"/>
    <w:basedOn w:val="9"/>
    <w:qFormat/>
    <w:uiPriority w:val="0"/>
    <w:rPr>
      <w:rFonts w:hint="eastAsia" w:ascii="宋体" w:hAnsi="宋体" w:eastAsia="宋体" w:cs="宋体"/>
      <w:color w:val="000000"/>
      <w:sz w:val="18"/>
      <w:szCs w:val="18"/>
      <w:u w:val="none"/>
    </w:rPr>
  </w:style>
  <w:style w:type="paragraph" w:customStyle="1" w:styleId="24">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hover19"/>
    <w:basedOn w:val="9"/>
    <w:qFormat/>
    <w:uiPriority w:val="0"/>
    <w:rPr>
      <w:shd w:val="clear" w:fill="E1E1E1"/>
    </w:rPr>
  </w:style>
  <w:style w:type="character" w:customStyle="1" w:styleId="26">
    <w:name w:val="hover20"/>
    <w:basedOn w:val="9"/>
    <w:qFormat/>
    <w:uiPriority w:val="0"/>
    <w:rPr>
      <w:color w:val="000000"/>
      <w:shd w:val="clear" w:fill="FFFFFF"/>
    </w:rPr>
  </w:style>
  <w:style w:type="character" w:customStyle="1" w:styleId="27">
    <w:name w:val="more"/>
    <w:basedOn w:val="9"/>
    <w:qFormat/>
    <w:uiPriority w:val="0"/>
  </w:style>
  <w:style w:type="character" w:customStyle="1" w:styleId="28">
    <w:name w:val="more1"/>
    <w:basedOn w:val="9"/>
    <w:qFormat/>
    <w:uiPriority w:val="0"/>
  </w:style>
  <w:style w:type="character" w:customStyle="1" w:styleId="29">
    <w:name w:val="more2"/>
    <w:basedOn w:val="9"/>
    <w:qFormat/>
    <w:uiPriority w:val="0"/>
  </w:style>
  <w:style w:type="character" w:customStyle="1" w:styleId="30">
    <w:name w:val="more3"/>
    <w:basedOn w:val="9"/>
    <w:qFormat/>
    <w:uiPriority w:val="0"/>
  </w:style>
  <w:style w:type="character" w:customStyle="1" w:styleId="31">
    <w:name w:val="more4"/>
    <w:basedOn w:val="9"/>
    <w:qFormat/>
    <w:uiPriority w:val="0"/>
  </w:style>
  <w:style w:type="character" w:customStyle="1" w:styleId="32">
    <w:name w:val="more5"/>
    <w:basedOn w:val="9"/>
    <w:qFormat/>
    <w:uiPriority w:val="0"/>
  </w:style>
  <w:style w:type="character" w:customStyle="1" w:styleId="33">
    <w:name w:val="more6"/>
    <w:basedOn w:val="9"/>
    <w:qFormat/>
    <w:uiPriority w:val="0"/>
  </w:style>
  <w:style w:type="character" w:customStyle="1" w:styleId="34">
    <w:name w:val="wx-space"/>
    <w:basedOn w:val="9"/>
    <w:qFormat/>
    <w:uiPriority w:val="0"/>
  </w:style>
  <w:style w:type="character" w:customStyle="1" w:styleId="35">
    <w:name w:val="wx-space1"/>
    <w:basedOn w:val="9"/>
    <w:qFormat/>
    <w:uiPriority w:val="0"/>
  </w:style>
  <w:style w:type="character" w:customStyle="1" w:styleId="36">
    <w:name w:val="bsharetext"/>
    <w:basedOn w:val="9"/>
    <w:qFormat/>
    <w:uiPriority w:val="0"/>
  </w:style>
  <w:style w:type="character" w:customStyle="1" w:styleId="37">
    <w:name w:val="more7"/>
    <w:basedOn w:val="9"/>
    <w:qFormat/>
    <w:uiPriority w:val="0"/>
  </w:style>
  <w:style w:type="character" w:customStyle="1" w:styleId="38">
    <w:name w:val="hover18"/>
    <w:basedOn w:val="9"/>
    <w:qFormat/>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4714</Words>
  <Characters>6078</Characters>
  <Lines>58</Lines>
  <Paragraphs>16</Paragraphs>
  <TotalTime>3</TotalTime>
  <ScaleCrop>false</ScaleCrop>
  <LinksUpToDate>false</LinksUpToDate>
  <CharactersWithSpaces>6865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2018-08-10T00:59:00Z</dcterms:created>
  <dc:creator>Lenovo User</dc:creator>
  <cp:lastModifiedBy>快速在线</cp:lastModifiedBy>
  <cp:lastPrinted>2013-10-09T02:05:00Z</cp:lastPrinted>
  <dcterms:modified xsi:type="dcterms:W3CDTF">2022-06-02T00:19:17Z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E9E1C24BC6BF4C37A192904711FC2707</vt:lpwstr>
  </property>
</Properties>
</file>