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lang w:eastAsia="zh-CN"/>
        </w:rPr>
        <w:t>道县城市基础设施建设投融资中心</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道县城市基础设施建设投融资中心</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道县城市基础设施建设投融资中心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pStyle w:val="11"/>
        <w:ind w:left="0" w:leftChars="0" w:firstLine="0" w:firstLineChars="0"/>
        <w:jc w:val="left"/>
        <w:rPr>
          <w:rFonts w:ascii="黑体" w:hAnsi="黑体" w:eastAsia="黑体"/>
          <w:sz w:val="32"/>
          <w:szCs w:val="32"/>
        </w:rPr>
      </w:pPr>
    </w:p>
    <w:p>
      <w:pPr>
        <w:pStyle w:val="11"/>
        <w:ind w:left="0" w:leftChars="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（一）受县政府委托，筹措、管理、营运城市建设资金，实现保值增值； </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（二）根据县政府下达的城市固定资产投资计划和城市维护计划落实资金，核拨用款，实行有偿投入，有偿使用，有偿服务； </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 xml:space="preserve">（三）引进外资，广泛积累建设资金； </w:t>
      </w:r>
    </w:p>
    <w:p>
      <w:pPr>
        <w:widowControl/>
        <w:spacing w:line="600" w:lineRule="exact"/>
        <w:rPr>
          <w:rFonts w:hint="eastAsia" w:asciiTheme="minorEastAsia" w:hAnsiTheme="minorEastAsia"/>
          <w:sz w:val="32"/>
          <w:szCs w:val="32"/>
        </w:rPr>
      </w:pPr>
      <w:r>
        <w:rPr>
          <w:rFonts w:hint="eastAsia" w:asciiTheme="minorEastAsia" w:hAnsiTheme="minorEastAsia"/>
          <w:sz w:val="32"/>
          <w:szCs w:val="32"/>
        </w:rPr>
        <w:t>（四）受建设行政主管部门和国有资产管理部门的委托，承担国有资产的管理职责。</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道县城市基础设施建设投融资中心内设机构包括：本中心设主任1位，副主任3位、综合办公室、财务管理股、融资管理股、工程建设管理股、纪检监察室等部门，我单位实有在职人员15人。</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道县城市基础设施建设投融资中心</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21年部门决算汇总公开单位构成包括：道县城建投202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年部门决算没有二级单</w:t>
      </w:r>
      <w:r>
        <w:rPr>
          <w:rFonts w:hint="eastAsia" w:asciiTheme="minorEastAsia" w:hAnsiTheme="minorEastAsia"/>
          <w:bCs/>
          <w:kern w:val="0"/>
          <w:sz w:val="32"/>
          <w:szCs w:val="32"/>
          <w:lang w:eastAsia="zh-CN"/>
        </w:rPr>
        <w:t>位</w:t>
      </w:r>
      <w:r>
        <w:rPr>
          <w:rFonts w:hint="eastAsia" w:asciiTheme="minorEastAsia" w:hAnsiTheme="minorEastAsia"/>
          <w:bCs/>
          <w:kern w:val="0"/>
          <w:sz w:val="32"/>
          <w:szCs w:val="32"/>
        </w:rPr>
        <w:t>，只有道县城建投本级。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sz w:val="72"/>
          <w:szCs w:val="72"/>
        </w:rPr>
      </w:pPr>
    </w:p>
    <w:p>
      <w:pPr>
        <w:jc w:val="center"/>
        <w:rPr>
          <w:sz w:val="72"/>
          <w:szCs w:val="72"/>
        </w:rPr>
      </w:pPr>
    </w:p>
    <w:p>
      <w:pPr>
        <w:jc w:val="both"/>
        <w:rPr>
          <w:sz w:val="72"/>
          <w:szCs w:val="72"/>
        </w:rPr>
      </w:pPr>
    </w:p>
    <w:p>
      <w:pPr>
        <w:jc w:val="both"/>
        <w:rPr>
          <w:sz w:val="72"/>
          <w:szCs w:val="72"/>
        </w:rPr>
      </w:pPr>
    </w:p>
    <w:p>
      <w:pPr>
        <w:jc w:val="both"/>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道县城市基础设施建设投融资中心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125.47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118.23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125.47</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125.47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125.47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125.47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1305"/>
        <w:gridCol w:w="70"/>
        <w:gridCol w:w="2141"/>
        <w:gridCol w:w="1605"/>
        <w:gridCol w:w="1605"/>
        <w:gridCol w:w="1605"/>
        <w:gridCol w:w="1605"/>
        <w:gridCol w:w="1605"/>
        <w:gridCol w:w="1605"/>
        <w:gridCol w:w="2282"/>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3" w:hRule="atLeast"/>
        </w:trPr>
        <w:tc>
          <w:tcPr>
            <w:tcW w:w="5121"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eastAsia="zh-CN"/>
              </w:rPr>
              <w:t>道县城市</w:t>
            </w:r>
            <w:r>
              <w:rPr>
                <w:rFonts w:hint="eastAsia"/>
                <w:sz w:val="20"/>
                <w:szCs w:val="20"/>
                <w:lang w:eastAsia="zh-CN"/>
              </w:rPr>
              <w:t>基础设施建设投融资中心</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516"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0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82"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37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14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516"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125.47</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125.47</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21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118.23</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118.23</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21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10.63</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10.63</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21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10.63</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10.63</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21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107.60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107.60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221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107.60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107.60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221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7.24</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7.24</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221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7.24</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7.24</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30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2211"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7.24</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7.24</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82"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5069" w:type="dxa"/>
            <w:gridSpan w:val="5"/>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道县城市基础设施建设投融资中心</w:t>
            </w: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125.47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125.47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118.23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118.23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107.60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107.60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107.60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107.60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4031"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道县城市基础设施建设投融资中心</w:t>
            </w: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125.47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118.23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118.23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7.24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125.47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125.47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125.47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125.47</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125.47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125.47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道县城市基础设施建设投融资中心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979"/>
        <w:gridCol w:w="3299"/>
        <w:gridCol w:w="2844"/>
        <w:gridCol w:w="3300"/>
        <w:gridCol w:w="2811"/>
      </w:tblGrid>
      <w:tr>
        <w:tblPrEx>
          <w:tblCellMar>
            <w:top w:w="0" w:type="dxa"/>
            <w:left w:w="108" w:type="dxa"/>
            <w:bottom w:w="0" w:type="dxa"/>
            <w:right w:w="108" w:type="dxa"/>
          </w:tblCellMar>
        </w:tblPrEx>
        <w:trPr>
          <w:trHeight w:val="405" w:hRule="atLeast"/>
          <w:jc w:val="center"/>
        </w:trPr>
        <w:tc>
          <w:tcPr>
            <w:tcW w:w="526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5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5"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4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11"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125.47</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125.47</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118.23</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118.23</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10.63</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10.63</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10.63</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10.63</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107.60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107.60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其他优抚支出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107.60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107.60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7.24</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83"/>
        <w:gridCol w:w="3215"/>
        <w:gridCol w:w="845"/>
        <w:gridCol w:w="1174"/>
        <w:gridCol w:w="2216"/>
        <w:gridCol w:w="845"/>
        <w:gridCol w:w="1175"/>
        <w:gridCol w:w="4016"/>
        <w:gridCol w:w="8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道县城市基础设施建设投融资中心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10.277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27.21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8.37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10.63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7.24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0.69</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115.20</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10.277</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道县城市基础设施建设投融资中心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8.80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道县城市基础设施建设投融资中心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eastAsia="zh-CN"/>
        </w:rPr>
        <w:t>道县城市基础设施建设投融资中心无</w:t>
      </w:r>
      <w:r>
        <w:rPr>
          <w:rFonts w:hint="eastAsia" w:ascii="Times New Roman" w:hAnsi="Times New Roman" w:eastAsia="仿宋_GB2312" w:cs="Times New Roman"/>
          <w:kern w:val="0"/>
          <w:szCs w:val="21"/>
        </w:rPr>
        <w:t>政府性基金收入，也没有</w:t>
      </w:r>
      <w:r>
        <w:rPr>
          <w:rFonts w:hint="eastAsia" w:ascii="Times New Roman" w:hAnsi="Times New Roman" w:eastAsia="仿宋_GB2312" w:cs="Times New Roman"/>
          <w:kern w:val="0"/>
          <w:szCs w:val="21"/>
          <w:lang w:eastAsia="zh-CN"/>
        </w:rPr>
        <w:t>安排</w:t>
      </w:r>
      <w:r>
        <w:rPr>
          <w:rFonts w:hint="eastAsia" w:ascii="Times New Roman" w:hAnsi="Times New Roman" w:eastAsia="仿宋_GB2312" w:cs="Times New Roman"/>
          <w:kern w:val="0"/>
          <w:szCs w:val="21"/>
        </w:rPr>
        <w:t>政府性基金的支出，故本表</w:t>
      </w:r>
      <w:r>
        <w:rPr>
          <w:rFonts w:hint="eastAsia" w:ascii="Times New Roman" w:hAnsi="Times New Roman" w:eastAsia="仿宋_GB2312" w:cs="Times New Roman"/>
          <w:kern w:val="0"/>
          <w:szCs w:val="21"/>
          <w:lang w:eastAsia="zh-CN"/>
        </w:rPr>
        <w:t>格</w:t>
      </w:r>
      <w:r>
        <w:rPr>
          <w:rFonts w:hint="eastAsia" w:ascii="Times New Roman" w:hAnsi="Times New Roman" w:eastAsia="仿宋_GB2312" w:cs="Times New Roman"/>
          <w:kern w:val="0"/>
          <w:szCs w:val="21"/>
        </w:rPr>
        <w:t>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道县城市基础设施建设投融资中心</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说明：</w:t>
            </w:r>
            <w:r>
              <w:rPr>
                <w:rFonts w:hint="eastAsia" w:ascii="宋体" w:hAnsi="宋体" w:eastAsia="宋体" w:cs="宋体"/>
                <w:kern w:val="0"/>
                <w:sz w:val="24"/>
                <w:szCs w:val="24"/>
                <w:lang w:eastAsia="zh-CN"/>
              </w:rPr>
              <w:t>道县城市基础设施建设投融资中心无</w:t>
            </w:r>
            <w:r>
              <w:rPr>
                <w:rFonts w:hint="eastAsia" w:ascii="宋体" w:hAnsi="宋体" w:eastAsia="宋体" w:cs="宋体"/>
                <w:kern w:val="0"/>
                <w:sz w:val="24"/>
                <w:szCs w:val="24"/>
              </w:rPr>
              <w:t>国有资本经营预算财政拨款收入，也没有</w:t>
            </w:r>
            <w:r>
              <w:rPr>
                <w:rFonts w:hint="eastAsia" w:ascii="宋体" w:hAnsi="宋体" w:eastAsia="宋体" w:cs="宋体"/>
                <w:kern w:val="0"/>
                <w:sz w:val="24"/>
                <w:szCs w:val="24"/>
                <w:lang w:eastAsia="zh-CN"/>
              </w:rPr>
              <w:t>安排</w:t>
            </w:r>
            <w:r>
              <w:rPr>
                <w:rFonts w:hint="eastAsia" w:ascii="宋体" w:hAnsi="宋体" w:eastAsia="宋体" w:cs="宋体"/>
                <w:kern w:val="0"/>
                <w:sz w:val="24"/>
                <w:szCs w:val="24"/>
              </w:rPr>
              <w:t>国有资本经营预算财政拨款支出，故本表</w:t>
            </w:r>
            <w:r>
              <w:rPr>
                <w:rFonts w:hint="eastAsia" w:ascii="宋体" w:hAnsi="宋体" w:eastAsia="宋体" w:cs="宋体"/>
                <w:kern w:val="0"/>
                <w:sz w:val="24"/>
                <w:szCs w:val="24"/>
                <w:lang w:eastAsia="zh-CN"/>
              </w:rPr>
              <w:t>格</w:t>
            </w:r>
            <w:r>
              <w:rPr>
                <w:rFonts w:hint="eastAsia" w:ascii="宋体" w:hAnsi="宋体" w:eastAsia="宋体" w:cs="宋体"/>
                <w:kern w:val="0"/>
                <w:sz w:val="24"/>
                <w:szCs w:val="24"/>
              </w:rPr>
              <w:t>无数据。</w:t>
            </w:r>
          </w:p>
          <w:p>
            <w:pPr>
              <w:widowControl/>
              <w:jc w:val="left"/>
              <w:rPr>
                <w:rFonts w:hint="eastAsia" w:ascii="宋体" w:hAnsi="宋体" w:eastAsia="宋体" w:cs="宋体"/>
                <w:kern w:val="0"/>
                <w:sz w:val="24"/>
                <w:szCs w:val="24"/>
              </w:rPr>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125.47</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收、支总计各</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468.10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下降</w:t>
      </w:r>
      <w:r>
        <w:rPr>
          <w:rFonts w:hint="eastAsia" w:asciiTheme="minorEastAsia" w:hAnsiTheme="minorEastAsia" w:eastAsiaTheme="minorEastAsia"/>
          <w:sz w:val="32"/>
          <w:szCs w:val="32"/>
          <w:lang w:val="en-US" w:eastAsia="zh-CN"/>
        </w:rPr>
        <w:t>78.86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2021年减少大量基础设施建设。</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125.74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125.74</w:t>
      </w:r>
      <w:r>
        <w:rPr>
          <w:rFonts w:hint="eastAsia" w:asciiTheme="minorEastAsia" w:hAnsiTheme="minorEastAsia" w:eastAsiaTheme="minorEastAsia"/>
          <w:sz w:val="32"/>
          <w:szCs w:val="32"/>
        </w:rPr>
        <w:t>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125.74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125.74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eastAsia="zh-CN"/>
        </w:rPr>
        <w:t>比</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125.74</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财政拨款收、支总计各</w:t>
      </w:r>
      <w:r>
        <w:rPr>
          <w:rFonts w:hint="eastAsia" w:asciiTheme="minorEastAsia" w:hAnsiTheme="minorEastAsia" w:eastAsiaTheme="minorEastAsia"/>
          <w:sz w:val="32"/>
          <w:szCs w:val="32"/>
        </w:rPr>
        <w:t>减少</w:t>
      </w:r>
      <w:r>
        <w:rPr>
          <w:rFonts w:hint="eastAsia" w:asciiTheme="minorEastAsia" w:hAnsiTheme="minorEastAsia" w:eastAsiaTheme="minorEastAsia"/>
          <w:sz w:val="32"/>
          <w:szCs w:val="32"/>
          <w:lang w:val="en-US" w:eastAsia="zh-CN"/>
        </w:rPr>
        <w:t>468.10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下降</w:t>
      </w:r>
      <w:r>
        <w:rPr>
          <w:rFonts w:hint="eastAsia" w:asciiTheme="minorEastAsia" w:hAnsiTheme="minorEastAsia" w:eastAsiaTheme="minorEastAsia"/>
          <w:sz w:val="32"/>
          <w:szCs w:val="32"/>
          <w:lang w:val="en-US" w:eastAsia="zh-CN"/>
        </w:rPr>
        <w:t>78.86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2021年减少大量基础设施建设</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125.74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下降</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工资福利支出较</w:t>
      </w:r>
      <w:r>
        <w:rPr>
          <w:rFonts w:hint="eastAsia" w:asciiTheme="minorEastAsia" w:hAnsiTheme="minorEastAsia" w:eastAsiaTheme="minorEastAsia"/>
          <w:sz w:val="32"/>
          <w:szCs w:val="32"/>
          <w:lang w:val="en-US" w:eastAsia="zh-CN"/>
        </w:rPr>
        <w:t>2020年减少3.76万元所致。</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125.74</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118.23</w:t>
      </w:r>
      <w:r>
        <w:rPr>
          <w:rFonts w:hint="eastAsia" w:asciiTheme="minorEastAsia" w:hAnsiTheme="minorEastAsia" w:eastAsiaTheme="minorEastAsia"/>
          <w:sz w:val="32"/>
          <w:szCs w:val="32"/>
        </w:rPr>
        <w:t>万元，占94.</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%；卫生健康支出7.</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万元，占5.</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170.97</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125.47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73.39</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1、社会保障和就业支出（类）行政事业单位养老支出（款）机关事业单位基本养老保险缴费支出（项） </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10.63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执行中进行预算调整。</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2、社会保障和就业支出（类）抚恤（款）其他优抚支出（项）</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107.60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执行中进行预算调整。</w:t>
      </w:r>
    </w:p>
    <w:p>
      <w:pPr>
        <w:pStyle w:val="10"/>
        <w:numPr>
          <w:ilvl w:val="0"/>
          <w:numId w:val="3"/>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卫生健康支出（类）行政事业单位医疗（款）行政单位医疗（项） </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7.24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超出</w:t>
      </w:r>
      <w:r>
        <w:rPr>
          <w:rFonts w:hint="eastAsia" w:asciiTheme="minorEastAsia" w:hAnsiTheme="minorEastAsia" w:eastAsiaTheme="minorEastAsia"/>
          <w:sz w:val="32"/>
          <w:szCs w:val="32"/>
        </w:rPr>
        <w:t>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执行中进行预算调整。</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125.47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115.20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91.81</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eastAsia="zh-CN"/>
        </w:rPr>
        <w:t>绩效工资、机关事业单位基本养老保险缴费、职工基本医疗保险缴费</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10.27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8.19</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eastAsia="zh-CN"/>
        </w:rPr>
        <w:t>差旅费、</w:t>
      </w:r>
      <w:r>
        <w:rPr>
          <w:rFonts w:hint="eastAsia" w:asciiTheme="minorEastAsia" w:hAnsiTheme="minorEastAsia" w:eastAsiaTheme="minorEastAsia"/>
          <w:sz w:val="32"/>
          <w:szCs w:val="32"/>
          <w:lang w:val="en-US" w:eastAsia="zh-CN"/>
        </w:rPr>
        <w:tab/>
      </w:r>
      <w:r>
        <w:rPr>
          <w:rFonts w:hint="eastAsia" w:asciiTheme="minorEastAsia" w:hAnsiTheme="minorEastAsia" w:eastAsiaTheme="minorEastAsia"/>
          <w:sz w:val="32"/>
          <w:szCs w:val="32"/>
          <w:lang w:val="en-US" w:eastAsia="zh-CN"/>
        </w:rPr>
        <w:t>公务接待费、专用燃料费、其他商品和服务支出</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8.8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52.27</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2021年度我单位未开展因公出国（境）活动</w:t>
      </w:r>
      <w:r>
        <w:rPr>
          <w:rFonts w:hint="eastAsia" w:asciiTheme="minorEastAsia" w:hAnsiTheme="minorEastAsia" w:eastAsiaTheme="minorEastAsia"/>
          <w:sz w:val="32"/>
          <w:szCs w:val="32"/>
        </w:rPr>
        <w:t xml:space="preserve">。 </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4.17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受疫情影响，202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年度我单位未开展因公出国（境）费活动。</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4.6</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165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 xml:space="preserve">  946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融资方面</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w:t>
      </w:r>
      <w:r>
        <w:rPr>
          <w:rFonts w:hint="eastAsia" w:asciiTheme="minorEastAsia" w:hAnsiTheme="minorEastAsia"/>
          <w:sz w:val="32"/>
          <w:szCs w:val="32"/>
          <w:lang w:eastAsia="zh-CN"/>
        </w:rPr>
        <w:t>公务用车购置</w:t>
      </w:r>
      <w:r>
        <w:rPr>
          <w:rFonts w:hint="eastAsia" w:asciiTheme="minorEastAsia" w:hAnsiTheme="minorEastAsia"/>
          <w:sz w:val="32"/>
          <w:szCs w:val="32"/>
          <w:lang w:val="en-US" w:eastAsia="zh-CN"/>
        </w:rPr>
        <w:t>0辆，</w:t>
      </w:r>
      <w:r>
        <w:rPr>
          <w:rFonts w:hint="eastAsia" w:asciiTheme="minorEastAsia" w:hAnsiTheme="minorEastAsia"/>
          <w:sz w:val="32"/>
          <w:szCs w:val="32"/>
        </w:rPr>
        <w:t>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。我单位无政府性基金收支。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道县城市基础设施建设投融资中心2021年度机关运行经费支出</w:t>
      </w:r>
      <w:r>
        <w:rPr>
          <w:rFonts w:hint="eastAsia" w:asciiTheme="minorEastAsia" w:hAnsiTheme="minorEastAsia" w:eastAsiaTheme="minorEastAsia"/>
          <w:sz w:val="32"/>
          <w:szCs w:val="32"/>
          <w:lang w:val="en-US" w:eastAsia="zh-CN"/>
        </w:rPr>
        <w:t>10.27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比年初预算数</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12.53</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54.96</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厉行节约，缩减开支。</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2021年道县城市基础设施建设投融资中心开支会议费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未召开会议</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万元，我单位202</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年度无培训费支出；未举办节庆、晚会、论坛、赛事活动等</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道县城市基础设施建设投融资中心2021年度政府采购支出总额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道县城市基础设施建设投融资中心</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lang w:eastAsia="zh-CN"/>
        </w:rPr>
        <w:t>（一）</w:t>
      </w:r>
      <w:r>
        <w:rPr>
          <w:rFonts w:hint="eastAsia" w:cs="黑体" w:asciiTheme="minorEastAsia" w:hAnsiTheme="minorEastAsia"/>
          <w:b/>
          <w:color w:val="000000"/>
          <w:kern w:val="0"/>
          <w:sz w:val="32"/>
          <w:szCs w:val="32"/>
        </w:rPr>
        <w:t>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 xml:space="preserve"> 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个单位开展整体支出绩效评价，涉及一般公共预算支出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b/>
          <w:bCs/>
          <w:color w:val="000000"/>
          <w:kern w:val="0"/>
          <w:sz w:val="32"/>
          <w:szCs w:val="32"/>
          <w:lang w:eastAsia="zh-CN"/>
        </w:rPr>
        <w:t>（二）</w:t>
      </w:r>
      <w:r>
        <w:rPr>
          <w:rFonts w:hint="eastAsia" w:cs="黑体" w:asciiTheme="minorEastAsia" w:hAnsiTheme="minorEastAsia"/>
          <w:b/>
          <w:bCs/>
          <w:color w:val="000000"/>
          <w:kern w:val="0"/>
          <w:sz w:val="32"/>
          <w:szCs w:val="32"/>
        </w:rPr>
        <w:t>部门评价项目绩效评价结果。</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部门评价项目数量3个以内的，至少将1个部门评价报告向社会公开；部门评价项目数量大于3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一、</w:t>
      </w:r>
      <w:r>
        <w:rPr>
          <w:rFonts w:hint="eastAsia" w:cs="黑体" w:asciiTheme="minorEastAsia" w:hAnsiTheme="minorEastAsia"/>
          <w:color w:val="000000"/>
          <w:kern w:val="0"/>
          <w:sz w:val="32"/>
          <w:szCs w:val="32"/>
        </w:rPr>
        <w:t>财政拨款收入：指单位本年度从同级财政部门取得的各类财政</w:t>
      </w:r>
    </w:p>
    <w:p>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拨款。</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二、</w:t>
      </w:r>
      <w:r>
        <w:rPr>
          <w:rFonts w:hint="eastAsia" w:cs="黑体" w:asciiTheme="minorEastAsia" w:hAnsiTheme="minorEastAsia"/>
          <w:color w:val="000000"/>
          <w:kern w:val="0"/>
          <w:sz w:val="32"/>
          <w:szCs w:val="32"/>
        </w:rPr>
        <w:t>机关运行经费：指行政单位（含参照公务员法管理的事业单位）</w:t>
      </w:r>
    </w:p>
    <w:p>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使用一般公共预算安排的基本支出中的公用经费支出，包括办公及印刷费、邮电费、差旅费、会议费、福利费、日常维修费、专用材料及一般设备购置费、办公用房水电费、办公用房取暖费、办公用房物业管理费、</w:t>
      </w:r>
    </w:p>
    <w:p>
      <w:pPr>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 xml:space="preserve">公务用车运行维护费及其他费用。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三、</w:t>
      </w:r>
      <w:r>
        <w:rPr>
          <w:rFonts w:hint="eastAsia" w:cs="黑体" w:asciiTheme="minorEastAsia" w:hAnsiTheme="minorEastAsia"/>
          <w:color w:val="000000"/>
          <w:kern w:val="0"/>
          <w:sz w:val="32"/>
          <w:szCs w:val="32"/>
        </w:rPr>
        <w:t xml:space="preserve">上级补助收入：指事业单位从主管部门和上级单位取得的非财政补助收入。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四、</w:t>
      </w:r>
      <w:r>
        <w:rPr>
          <w:rFonts w:hint="eastAsia" w:cs="黑体" w:asciiTheme="minorEastAsia" w:hAnsiTheme="minorEastAsia"/>
          <w:color w:val="000000"/>
          <w:kern w:val="0"/>
          <w:sz w:val="32"/>
          <w:szCs w:val="32"/>
        </w:rPr>
        <w:t xml:space="preserve">事业收入：指事业单位开展专业业务活动及辅助活动所取得的收入。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五、</w:t>
      </w:r>
      <w:r>
        <w:rPr>
          <w:rFonts w:hint="eastAsia" w:cs="黑体" w:asciiTheme="minorEastAsia" w:hAnsiTheme="minorEastAsia"/>
          <w:color w:val="000000"/>
          <w:kern w:val="0"/>
          <w:sz w:val="32"/>
          <w:szCs w:val="32"/>
        </w:rPr>
        <w:t xml:space="preserve">基本支出：指为保障机构正常运转、完成日常工作任务而发生的人员支出和公用支出。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六、</w:t>
      </w:r>
      <w:r>
        <w:rPr>
          <w:rFonts w:hint="eastAsia" w:cs="黑体" w:asciiTheme="minorEastAsia" w:hAnsiTheme="minorEastAsia"/>
          <w:color w:val="000000"/>
          <w:kern w:val="0"/>
          <w:sz w:val="32"/>
          <w:szCs w:val="32"/>
        </w:rPr>
        <w:t xml:space="preserve">项目支出：指在基本支出之外为完成特定行政任务和事业发展目标所发生的支出。 经营收入：指事业单位在专业业务活动及其辅助活动之外开展非独立核算经营活动取得的收入。  </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七、</w:t>
      </w:r>
      <w:r>
        <w:rPr>
          <w:rFonts w:hint="eastAsia" w:cs="黑体" w:asciiTheme="minorEastAsia" w:hAnsiTheme="minorEastAsia"/>
          <w:color w:val="000000"/>
          <w:kern w:val="0"/>
          <w:sz w:val="32"/>
          <w:szCs w:val="32"/>
        </w:rPr>
        <w:t xml:space="preserve">“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 </w:t>
      </w:r>
    </w:p>
    <w:p>
      <w:pPr>
        <w:pStyle w:val="10"/>
        <w:jc w:val="both"/>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cs="黑体" w:asciiTheme="minorEastAsia" w:hAnsiTheme="minorEastAsia"/>
          <w:color w:val="000000"/>
          <w:kern w:val="0"/>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618BD"/>
    <w:multiLevelType w:val="singleLevel"/>
    <w:tmpl w:val="10B618BD"/>
    <w:lvl w:ilvl="0" w:tentative="0">
      <w:start w:val="3"/>
      <w:numFmt w:val="decimal"/>
      <w:suff w:val="nothing"/>
      <w:lvlText w:val="%1、"/>
      <w:lvlJc w:val="left"/>
    </w:lvl>
  </w:abstractNum>
  <w:abstractNum w:abstractNumId="1">
    <w:nsid w:val="2FE32B66"/>
    <w:multiLevelType w:val="singleLevel"/>
    <w:tmpl w:val="2FE32B66"/>
    <w:lvl w:ilvl="0" w:tentative="0">
      <w:start w:val="2"/>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857F51"/>
    <w:rsid w:val="0B5F6173"/>
    <w:rsid w:val="16183758"/>
    <w:rsid w:val="1BF92D97"/>
    <w:rsid w:val="1C063A19"/>
    <w:rsid w:val="240D10DB"/>
    <w:rsid w:val="2455194A"/>
    <w:rsid w:val="3E402A5F"/>
    <w:rsid w:val="448D5A17"/>
    <w:rsid w:val="46884A82"/>
    <w:rsid w:val="61FD6458"/>
    <w:rsid w:val="66C068D3"/>
    <w:rsid w:val="69AC1575"/>
    <w:rsid w:val="73E51EA5"/>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8616</Words>
  <Characters>9945</Characters>
  <Lines>69</Lines>
  <Paragraphs>19</Paragraphs>
  <TotalTime>0</TotalTime>
  <ScaleCrop>false</ScaleCrop>
  <LinksUpToDate>false</LinksUpToDate>
  <CharactersWithSpaces>10994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2023-09-28T03:44:11Z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FAAA2BD8B41444A0BD3C9754D85328BF</vt:lpwstr>
  </property>
</Properties>
</file>