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道县月岩—周敦颐故里风景名胜区管理处部门决算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第一部分XX单位概况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rPr>
        <w:t>道县月岩—周敦颐故里风景名胜区管理处单位概况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 xml:space="preserve"> </w:t>
      </w:r>
      <w:r>
        <w:rPr>
          <w:rFonts w:hint="eastAsia" w:asciiTheme="minorEastAsia" w:hAnsiTheme="minorEastAsia"/>
          <w:bCs/>
          <w:kern w:val="0"/>
          <w:sz w:val="32"/>
          <w:szCs w:val="32"/>
          <w:lang w:val="en-US" w:eastAsia="zh-CN"/>
        </w:rPr>
        <w:t xml:space="preserve">    </w:t>
      </w:r>
      <w:r>
        <w:rPr>
          <w:rFonts w:hint="eastAsia" w:asciiTheme="minorEastAsia" w:hAnsiTheme="minorEastAsia"/>
          <w:bCs/>
          <w:kern w:val="0"/>
          <w:sz w:val="32"/>
          <w:szCs w:val="32"/>
        </w:rPr>
        <w:t>根据《湖南省风景名胜区管理条例》规定，月岩-周敦颐故里风景名胜区管理处主要是保护月岩、周敦颐故里、玉蟾岩国保单位的古迹，开发名胜古迹，供游人参观</w:t>
      </w:r>
      <w:r>
        <w:rPr>
          <w:rFonts w:hint="eastAsia" w:asciiTheme="minorEastAsia" w:hAnsiTheme="minorEastAsia"/>
          <w:bCs/>
          <w:kern w:val="0"/>
          <w:sz w:val="32"/>
          <w:szCs w:val="32"/>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单位内设机构包括：</w:t>
      </w:r>
      <w:r>
        <w:rPr>
          <w:rFonts w:hint="eastAsia" w:asciiTheme="minorEastAsia" w:hAnsiTheme="minorEastAsia"/>
          <w:bCs/>
          <w:kern w:val="0"/>
          <w:sz w:val="32"/>
          <w:szCs w:val="32"/>
          <w:lang w:val="en-US" w:eastAsia="zh-CN"/>
        </w:rPr>
        <w:t>4</w:t>
      </w:r>
      <w:r>
        <w:rPr>
          <w:rFonts w:hint="eastAsia" w:asciiTheme="minorEastAsia" w:hAnsiTheme="minorEastAsia"/>
          <w:bCs/>
          <w:kern w:val="0"/>
          <w:sz w:val="32"/>
          <w:szCs w:val="32"/>
        </w:rPr>
        <w:t>个科室</w:t>
      </w:r>
      <w:r>
        <w:rPr>
          <w:rFonts w:hint="eastAsia" w:asciiTheme="minorEastAsia" w:hAnsiTheme="minorEastAsia"/>
          <w:bCs/>
          <w:kern w:val="0"/>
          <w:sz w:val="32"/>
          <w:szCs w:val="32"/>
          <w:lang w:val="en-US" w:eastAsia="zh-CN"/>
        </w:rPr>
        <w:t>:综合办公室、旅游发展科、工程建设科、文物保护科。</w:t>
      </w:r>
    </w:p>
    <w:p>
      <w:pPr>
        <w:widowControl/>
        <w:spacing w:line="600" w:lineRule="exact"/>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w:t>
      </w:r>
      <w:r>
        <w:rPr>
          <w:rFonts w:hint="eastAsia" w:asciiTheme="minorEastAsia" w:hAnsiTheme="minorEastAsia"/>
          <w:bCs/>
          <w:kern w:val="0"/>
          <w:sz w:val="32"/>
          <w:szCs w:val="32"/>
          <w:lang w:eastAsia="zh-CN"/>
        </w:rPr>
        <w:t>本</w:t>
      </w:r>
      <w:r>
        <w:rPr>
          <w:rFonts w:hint="eastAsia" w:asciiTheme="minorEastAsia" w:hAnsiTheme="minorEastAsia"/>
          <w:bCs/>
          <w:kern w:val="0"/>
          <w:sz w:val="32"/>
          <w:szCs w:val="32"/>
        </w:rPr>
        <w:t>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月岩-周敦颐故里风景名胜区管理处</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208.22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5.50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288.82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288.82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386" w:type="dxa"/>
        <w:tblInd w:w="0" w:type="dxa"/>
        <w:tblLayout w:type="autofit"/>
        <w:tblCellMar>
          <w:top w:w="0" w:type="dxa"/>
          <w:left w:w="0" w:type="dxa"/>
          <w:bottom w:w="0" w:type="dxa"/>
          <w:right w:w="0" w:type="dxa"/>
        </w:tblCellMar>
      </w:tblPr>
      <w:tblGrid>
        <w:gridCol w:w="2976"/>
        <w:gridCol w:w="217"/>
        <w:gridCol w:w="1608"/>
        <w:gridCol w:w="1432"/>
        <w:gridCol w:w="1432"/>
        <w:gridCol w:w="1432"/>
        <w:gridCol w:w="1432"/>
        <w:gridCol w:w="1432"/>
        <w:gridCol w:w="1432"/>
        <w:gridCol w:w="2035"/>
      </w:tblGrid>
      <w:tr>
        <w:tblPrEx>
          <w:tblCellMar>
            <w:top w:w="0" w:type="dxa"/>
            <w:left w:w="0" w:type="dxa"/>
            <w:bottom w:w="0" w:type="dxa"/>
            <w:right w:w="0" w:type="dxa"/>
          </w:tblCellMar>
        </w:tblPrEx>
        <w:trPr>
          <w:trHeight w:val="435" w:hRule="atLeast"/>
        </w:trPr>
        <w:tc>
          <w:tcPr>
            <w:tcW w:w="15386"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rPr>
              <w:t>月岩-周敦颐故里风景名胜区管理处</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7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4"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879"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7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2983"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288.82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288.82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208.22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208.22</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64.10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64.10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34.00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文物</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20.10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2070299</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10.10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10.10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11.00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卫生健康支出</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行政事业单位医疗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2101102</w:t>
            </w:r>
          </w:p>
        </w:tc>
        <w:tc>
          <w:tcPr>
            <w:tcW w:w="1953"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5.50</w:t>
            </w: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7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386"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部门：月岩-周敦颐故里风景名胜区管理处</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288.82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224.72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64.10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208.22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34.00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文物</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2101102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部门：月岩-周敦颐故里风景名胜区管理处</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208.22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208.22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64.10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288.82</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月岩-周敦颐故里风景名胜区管理处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1012"/>
        <w:gridCol w:w="3298"/>
        <w:gridCol w:w="2827"/>
        <w:gridCol w:w="3278"/>
        <w:gridCol w:w="2818"/>
      </w:tblGrid>
      <w:tr>
        <w:tblPrEx>
          <w:tblCellMar>
            <w:top w:w="0" w:type="dxa"/>
            <w:left w:w="108" w:type="dxa"/>
            <w:bottom w:w="0" w:type="dxa"/>
            <w:right w:w="108" w:type="dxa"/>
          </w:tblCellMar>
        </w:tblPrEx>
        <w:trPr>
          <w:trHeight w:val="405" w:hRule="atLeast"/>
          <w:jc w:val="center"/>
        </w:trPr>
        <w:tc>
          <w:tcPr>
            <w:tcW w:w="529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2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8"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9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8"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8"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7"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8"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9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288.82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224.72</w:t>
            </w: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64.10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208.22</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208.22</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208.22</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208.22</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64.10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2070108</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文化活动</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34.00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文物</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2070299</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10.10</w:t>
            </w:r>
          </w:p>
        </w:tc>
        <w:tc>
          <w:tcPr>
            <w:tcW w:w="3278"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18"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10.10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11.00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卫生健康支出</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2101102</w:t>
            </w:r>
          </w:p>
        </w:tc>
        <w:tc>
          <w:tcPr>
            <w:tcW w:w="431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28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3278"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5.50</w:t>
            </w:r>
          </w:p>
        </w:tc>
        <w:tc>
          <w:tcPr>
            <w:tcW w:w="2818"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92"/>
        <w:gridCol w:w="3192"/>
        <w:gridCol w:w="858"/>
        <w:gridCol w:w="1183"/>
        <w:gridCol w:w="2208"/>
        <w:gridCol w:w="858"/>
        <w:gridCol w:w="1184"/>
        <w:gridCol w:w="3979"/>
        <w:gridCol w:w="860"/>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月岩-周敦颐故里风景名胜区管理处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114.07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110.65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7.47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23.51</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6.53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10.10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4.96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5.27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0.74</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5.50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0.25</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5.19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3.76</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3.67</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47.19</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3.17</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114.07</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110.65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月岩-周敦颐故里风景名胜区管理处</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3.67</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hint="eastAsia" w:ascii="宋体" w:hAnsi="宋体" w:eastAsia="宋体" w:cs="宋体"/>
          <w:color w:val="000000"/>
          <w:kern w:val="0"/>
          <w:sz w:val="20"/>
          <w:szCs w:val="20"/>
        </w:rPr>
        <w:t>月岩-周敦颐故里风景名胜区管理处</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w:t>
      </w:r>
      <w:r>
        <w:rPr>
          <w:rFonts w:hint="eastAsia" w:ascii="宋体" w:hAnsi="宋体" w:eastAsia="宋体" w:cs="宋体"/>
          <w:color w:val="000000"/>
          <w:kern w:val="0"/>
          <w:sz w:val="20"/>
          <w:szCs w:val="20"/>
        </w:rPr>
        <w:t>月岩-周敦颐故里风景名胜区管理处</w:t>
      </w:r>
      <w:r>
        <w:rPr>
          <w:rFonts w:hint="eastAsia" w:ascii="Times New Roman" w:hAnsi="Times New Roman" w:eastAsia="仿宋_GB2312" w:cs="Times New Roman"/>
          <w:kern w:val="0"/>
          <w:szCs w:val="21"/>
        </w:rPr>
        <w:t>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部门：月岩-周敦颐故里风景名胜区管理处</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仿宋_GB2312" w:hAnsi="仿宋_GB2312" w:eastAsia="仿宋_GB2312" w:cs="仿宋_GB2312"/>
                <w:kern w:val="0"/>
                <w:sz w:val="24"/>
                <w:szCs w:val="24"/>
              </w:rPr>
              <w:t>本表反映部门本年度国有资本经营预算财政拨款支出情况。</w:t>
            </w:r>
            <w:r>
              <w:rPr>
                <w:rFonts w:hint="eastAsia" w:ascii="仿宋_GB2312" w:hAnsi="仿宋_GB2312" w:eastAsia="仿宋_GB2312" w:cs="仿宋_GB2312"/>
                <w:color w:val="000000"/>
                <w:kern w:val="0"/>
                <w:sz w:val="20"/>
                <w:szCs w:val="20"/>
              </w:rPr>
              <w:t>月岩-周敦颐故里风景名胜区管理处</w:t>
            </w:r>
            <w:r>
              <w:rPr>
                <w:rFonts w:hint="eastAsia" w:ascii="仿宋_GB2312" w:hAnsi="仿宋_GB2312" w:eastAsia="仿宋_GB2312" w:cs="仿宋_GB2312"/>
                <w:kern w:val="0"/>
                <w:szCs w:val="21"/>
              </w:rPr>
              <w:t>没有</w:t>
            </w:r>
            <w:r>
              <w:rPr>
                <w:rFonts w:hint="eastAsia" w:ascii="仿宋_GB2312" w:hAnsi="仿宋_GB2312" w:eastAsia="仿宋_GB2312" w:cs="仿宋_GB2312"/>
                <w:kern w:val="0"/>
                <w:sz w:val="24"/>
                <w:szCs w:val="24"/>
              </w:rPr>
              <w:t>国有资本经营</w:t>
            </w:r>
            <w:r>
              <w:rPr>
                <w:rFonts w:hint="eastAsia" w:ascii="仿宋_GB2312" w:hAnsi="仿宋_GB2312" w:eastAsia="仿宋_GB2312" w:cs="仿宋_GB2312"/>
                <w:kern w:val="0"/>
                <w:szCs w:val="21"/>
              </w:rPr>
              <w:t>收入，也没有使用</w:t>
            </w:r>
            <w:r>
              <w:rPr>
                <w:rFonts w:hint="eastAsia" w:ascii="仿宋_GB2312" w:hAnsi="仿宋_GB2312" w:eastAsia="仿宋_GB2312" w:cs="仿宋_GB2312"/>
                <w:kern w:val="0"/>
                <w:sz w:val="24"/>
                <w:szCs w:val="24"/>
              </w:rPr>
              <w:t>国有资本经营</w:t>
            </w:r>
            <w:r>
              <w:rPr>
                <w:rFonts w:hint="eastAsia" w:ascii="仿宋_GB2312" w:hAnsi="仿宋_GB2312" w:eastAsia="仿宋_GB2312" w:cs="仿宋_GB2312"/>
                <w:kern w:val="0"/>
                <w:sz w:val="24"/>
                <w:szCs w:val="24"/>
                <w:lang w:eastAsia="zh-CN"/>
              </w:rPr>
              <w:t>资金</w:t>
            </w:r>
            <w:r>
              <w:rPr>
                <w:rFonts w:hint="eastAsia" w:ascii="仿宋_GB2312" w:hAnsi="仿宋_GB2312" w:eastAsia="仿宋_GB2312" w:cs="仿宋_GB2312"/>
                <w:kern w:val="0"/>
                <w:szCs w:val="21"/>
              </w:rPr>
              <w:t>安排的支出，故本表无数据</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267.45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48.08</w:t>
      </w:r>
      <w:r>
        <w:rPr>
          <w:rFonts w:hint="eastAsia" w:asciiTheme="minorEastAsia" w:hAnsiTheme="minorEastAsia" w:eastAsiaTheme="minorEastAsia"/>
          <w:sz w:val="32"/>
          <w:szCs w:val="32"/>
        </w:rPr>
        <w:t>%，主要是因为根据上级要求节约开支所以支出减少</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288.85</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224.72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77.81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64.1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22.19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ind w:firstLine="64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267.45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48.08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减少了项目支出。</w:t>
      </w:r>
    </w:p>
    <w:p>
      <w:pPr>
        <w:pStyle w:val="10"/>
        <w:ind w:firstLine="64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64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267.45</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48.08</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减少了项目支出。</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万元，主要用于以下方面：一般公共服务支出</w:t>
      </w:r>
      <w:r>
        <w:rPr>
          <w:rFonts w:hint="eastAsia" w:asciiTheme="minorEastAsia" w:hAnsiTheme="minorEastAsia" w:eastAsiaTheme="minorEastAsia"/>
          <w:sz w:val="32"/>
          <w:szCs w:val="32"/>
          <w:lang w:val="en-US" w:eastAsia="zh-CN"/>
        </w:rPr>
        <w:t>208.22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72.09</w:t>
      </w:r>
      <w:r>
        <w:rPr>
          <w:rFonts w:hint="eastAsia" w:asciiTheme="minorEastAsia" w:hAnsiTheme="minorEastAsia" w:eastAsiaTheme="minorEastAsia"/>
          <w:sz w:val="32"/>
          <w:szCs w:val="32"/>
        </w:rPr>
        <w:t>%；文化旅游体育与传媒支出文化旅游体育与传媒支出支出</w:t>
      </w:r>
      <w:r>
        <w:rPr>
          <w:rFonts w:hint="eastAsia" w:asciiTheme="minorEastAsia" w:hAnsiTheme="minorEastAsia" w:eastAsiaTheme="minorEastAsia"/>
          <w:sz w:val="32"/>
          <w:szCs w:val="32"/>
          <w:lang w:val="en-US" w:eastAsia="zh-CN"/>
        </w:rPr>
        <w:t>64.1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22.19</w:t>
      </w:r>
      <w:r>
        <w:rPr>
          <w:rFonts w:hint="eastAsia" w:asciiTheme="minorEastAsia" w:hAnsiTheme="minorEastAsia" w:eastAsiaTheme="minorEastAsia"/>
          <w:sz w:val="32"/>
          <w:szCs w:val="32"/>
        </w:rPr>
        <w:t>%；社会保障和就业支出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3.81</w:t>
      </w:r>
      <w:r>
        <w:rPr>
          <w:rFonts w:hint="eastAsia" w:asciiTheme="minorEastAsia" w:hAnsiTheme="minorEastAsia" w:eastAsiaTheme="minorEastAsia"/>
          <w:sz w:val="32"/>
          <w:szCs w:val="32"/>
        </w:rPr>
        <w:t>%;卫生健康支出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1.91</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191.2</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288.82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151</w:t>
      </w:r>
      <w:r>
        <w:rPr>
          <w:rFonts w:hint="eastAsia" w:asciiTheme="minorEastAsia" w:hAnsiTheme="minorEastAsia" w:eastAsiaTheme="minorEastAsia"/>
          <w:sz w:val="32"/>
          <w:szCs w:val="32"/>
        </w:rPr>
        <w:t>%，其中：</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1、一般公共服务支出(类)政府办公厅（室）及相关机构事务（款）行政运行（项）     </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110.6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208.22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188.26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。决算数大于年初预算数的主要原因是调整预算导致支出增加。</w:t>
      </w:r>
      <w:r>
        <w:rPr>
          <w:rFonts w:hint="eastAsia" w:asciiTheme="minorEastAsia" w:hAnsiTheme="minorEastAsia" w:eastAsiaTheme="minorEastAsia"/>
          <w:sz w:val="32"/>
          <w:szCs w:val="32"/>
          <w:lang w:val="en-US" w:eastAsia="zh-CN"/>
        </w:rPr>
        <w:t xml:space="preserve">          2、文化旅游体育与传媒支出(类)文化和旅游（款）文化活动（项）     </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0"/>
        <w:numPr>
          <w:ilvl w:val="0"/>
          <w:numId w:val="0"/>
        </w:numPr>
        <w:ind w:leftChars="-94"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3、文化旅游体育与传媒支出(类)文化和旅游（款）其他文化和旅游支出（项）      </w:t>
      </w:r>
    </w:p>
    <w:p>
      <w:pPr>
        <w:pStyle w:val="10"/>
        <w:numPr>
          <w:ilvl w:val="0"/>
          <w:numId w:val="0"/>
        </w:numPr>
        <w:ind w:leftChars="-94"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34</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0"/>
        <w:numPr>
          <w:ilvl w:val="0"/>
          <w:numId w:val="2"/>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文化旅游体育与传媒支出(类)文物（款）博物馆（项）   </w:t>
      </w:r>
    </w:p>
    <w:p>
      <w:pPr>
        <w:pStyle w:val="10"/>
        <w:numPr>
          <w:ilvl w:val="0"/>
          <w:numId w:val="0"/>
        </w:numPr>
        <w:ind w:firstLine="960" w:firstLineChars="3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lang w:val="en-US" w:eastAsia="zh-CN"/>
        </w:rPr>
        <w:t xml:space="preserve"> </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0"/>
        <w:numPr>
          <w:ilvl w:val="0"/>
          <w:numId w:val="0"/>
        </w:numPr>
        <w:ind w:leftChars="-94" w:firstLine="960" w:firstLineChars="3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5、文化旅游体育与传媒支出(类)文物（款）其他文物支出（项）      </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10.1</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6、社会保障和就业支出（类）行政事业单位养老支出（款）  机关事业单位基本养老保险缴费支出（项）</w:t>
      </w:r>
    </w:p>
    <w:p>
      <w:pPr>
        <w:pStyle w:val="10"/>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15.73</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69.93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。决算数小于年初预算数的主要原因是工资基数调整导致支出减少。</w:t>
      </w:r>
    </w:p>
    <w:p>
      <w:pPr>
        <w:pStyle w:val="10"/>
        <w:numPr>
          <w:ilvl w:val="0"/>
          <w:numId w:val="0"/>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卫生健康支出（类）行政事业单位医疗（款）行政单位医疗（项）</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7.86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5.5</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完成年初预算的</w:t>
      </w:r>
      <w:r>
        <w:rPr>
          <w:rFonts w:hint="eastAsia" w:asciiTheme="minorEastAsia" w:hAnsiTheme="minorEastAsia" w:eastAsiaTheme="minorEastAsia"/>
          <w:sz w:val="32"/>
          <w:szCs w:val="32"/>
          <w:lang w:val="en-US" w:eastAsia="zh-CN"/>
        </w:rPr>
        <w:t>69.97</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。决算数大于年初预算数的主要原因是工资基数调整导致支出减少。</w:t>
      </w:r>
    </w:p>
    <w:p>
      <w:pPr>
        <w:pStyle w:val="10"/>
        <w:ind w:firstLine="800" w:firstLineChars="250"/>
        <w:rPr>
          <w:rFonts w:hint="eastAsia" w:asciiTheme="minorEastAsia" w:hAnsiTheme="minorEastAsia" w:eastAsiaTheme="minorEastAsia"/>
          <w:sz w:val="32"/>
          <w:szCs w:val="32"/>
          <w:lang w:val="en-US" w:eastAsia="zh-CN"/>
        </w:rPr>
      </w:pP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224.72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114.07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50.76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110.65</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49.24</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与预算持平。</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eastAsia="zh-CN"/>
        </w:rPr>
        <w:t>公务用车</w:t>
      </w:r>
      <w:r>
        <w:rPr>
          <w:rFonts w:hint="eastAsia" w:asciiTheme="minorEastAsia" w:hAnsiTheme="minorEastAsia" w:eastAsiaTheme="minorEastAsia"/>
          <w:sz w:val="32"/>
          <w:szCs w:val="32"/>
        </w:rPr>
        <w:t>运行维护费支出预算为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万元，由于预算数为0，无法计算百分比</w:t>
      </w:r>
      <w:r>
        <w:rPr>
          <w:rFonts w:hint="eastAsia" w:asciiTheme="minorEastAsia" w:hAnsiTheme="minorEastAsia" w:eastAsiaTheme="minorEastAsia"/>
          <w:sz w:val="32"/>
          <w:szCs w:val="32"/>
          <w:lang w:val="en-US" w:eastAsia="zh-CN"/>
        </w:rPr>
        <w:t>，本年无公务用车维护费。</w:t>
      </w:r>
    </w:p>
    <w:p>
      <w:pPr>
        <w:pStyle w:val="10"/>
        <w:ind w:firstLine="640" w:firstLineChars="200"/>
        <w:rPr>
          <w:rFonts w:asciiTheme="minorEastAsia" w:hAnsiTheme="minorEastAsia" w:eastAsiaTheme="minorEastAsia"/>
          <w:b/>
          <w:sz w:val="32"/>
          <w:szCs w:val="32"/>
        </w:rPr>
      </w:pPr>
      <w:bookmarkStart w:id="5" w:name="_GoBack"/>
      <w:bookmarkEnd w:id="5"/>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1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sz w:val="32"/>
          <w:szCs w:val="32"/>
          <w:lang w:eastAsia="zh-CN"/>
        </w:rPr>
        <w:t>。受疫情影响，2021年度我单位未开展因公出国（出境）活动。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3.67</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36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325</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发展旅游经验交流</w:t>
      </w:r>
      <w:r>
        <w:rPr>
          <w:rFonts w:hint="eastAsia" w:asciiTheme="minorEastAsia" w:hAnsiTheme="minorEastAsia" w:eastAsiaTheme="minorEastAsia"/>
          <w:sz w:val="32"/>
          <w:szCs w:val="32"/>
        </w:rPr>
        <w:t>发生的接待支出。</w:t>
      </w:r>
    </w:p>
    <w:p>
      <w:pPr>
        <w:ind w:firstLine="800" w:firstLineChars="250"/>
        <w:rPr>
          <w:rFonts w:hint="eastAsia" w:cs="黑体" w:asciiTheme="minorEastAsia" w:hAnsiTheme="minorEastAsia" w:eastAsiaTheme="minorEastAsia"/>
          <w:color w:val="000000"/>
          <w:kern w:val="0"/>
          <w:sz w:val="32"/>
          <w:szCs w:val="32"/>
          <w:lang w:val="en-US" w:eastAsia="zh-CN"/>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sz w:val="32"/>
          <w:szCs w:val="32"/>
          <w:lang w:val="en-US" w:eastAsia="zh-CN"/>
        </w:rPr>
        <w:t>0</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0</w:t>
      </w:r>
      <w:r>
        <w:rPr>
          <w:rFonts w:hint="eastAsia" w:asciiTheme="minorEastAsia" w:hAnsiTheme="minorEastAsia"/>
          <w:sz w:val="32"/>
          <w:szCs w:val="32"/>
        </w:rPr>
        <w:t>辆</w:t>
      </w:r>
      <w:r>
        <w:rPr>
          <w:rFonts w:hint="eastAsia" w:asciiTheme="minorEastAsia" w:hAnsiTheme="minorEastAsia"/>
          <w:sz w:val="32"/>
          <w:szCs w:val="32"/>
          <w:lang w:val="en-US" w:eastAsia="zh-CN"/>
        </w:rPr>
        <w:t>0</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2021年度政府性基金预算财政拨款收入0万元；年初结转和结余0万元；支出0万元，其中基本支出0万元，项目支出0万元；年末结转和结余0万元。具体情况如下：本单位无政府性基金收支。</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110.65</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21.15</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3.09</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文化旅游等</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169</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提高旅游服务水平等</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3.76</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讲解员等</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86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业务培训。</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万元，占授予中小企业合同金额的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%；货物采购授予中小企业合同金额占货物支出金额的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%，工程采购授予中小企业合同金额占工程支出金额的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%，服务采购授予中小企业合同金额占服务支出金额的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numPr>
          <w:ilvl w:val="0"/>
          <w:numId w:val="0"/>
        </w:numPr>
        <w:autoSpaceDE w:val="0"/>
        <w:autoSpaceDN w:val="0"/>
        <w:adjustRightInd w:val="0"/>
        <w:ind w:firstLine="960" w:firstLineChars="30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本部门预算绩效管理开展情况、绩效目标和绩效评价报告等见附件。</w:t>
      </w: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keepNext w:val="0"/>
        <w:keepLines w:val="0"/>
        <w:widowControl/>
        <w:suppressLineNumbers w:val="0"/>
        <w:bidi w:val="0"/>
        <w:jc w:val="left"/>
        <w:rPr>
          <w:rFonts w:hint="default" w:ascii="sans-serif" w:hAnsi="sans-serif" w:eastAsia="sans-serif" w:cs="sans-serif"/>
          <w:sz w:val="32"/>
          <w:szCs w:val="32"/>
        </w:rPr>
      </w:pPr>
      <w:r>
        <w:rPr>
          <w:rFonts w:hint="eastAsia" w:ascii="sans-serif" w:hAnsi="sans-serif" w:eastAsia="sans-serif" w:cs="sans-serif"/>
          <w:kern w:val="0"/>
          <w:sz w:val="32"/>
          <w:szCs w:val="32"/>
          <w:lang w:val="en-US" w:eastAsia="zh-CN" w:bidi="ar"/>
        </w:rPr>
        <w:t>1</w:t>
      </w:r>
      <w:r>
        <w:rPr>
          <w:rFonts w:hint="eastAsia" w:ascii="sans-serif" w:hAnsi="sans-serif" w:eastAsia="宋体" w:cs="sans-serif"/>
          <w:kern w:val="0"/>
          <w:sz w:val="32"/>
          <w:szCs w:val="32"/>
          <w:lang w:val="en-US" w:eastAsia="zh-CN" w:bidi="ar"/>
        </w:rPr>
        <w:t>、</w:t>
      </w:r>
      <w:r>
        <w:rPr>
          <w:rFonts w:hint="default" w:ascii="sans-serif" w:hAnsi="sans-serif" w:eastAsia="sans-serif" w:cs="sans-serif"/>
          <w:kern w:val="0"/>
          <w:sz w:val="32"/>
          <w:szCs w:val="32"/>
          <w:lang w:val="en-US" w:eastAsia="zh-CN" w:bidi="ar"/>
        </w:rPr>
        <w:t>财政拨款收入：指单位本年度从同级财政部门取得的各类财政</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拨款。</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2．上级补助收入：指事业单位从主管部门和上级单位取得的非财</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政补助收入。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3．机关运行经费：指行政单位（含参照公务员法管理的事业单位）</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使用一般公共预算安排的基本支出中的公用经费支出，包括办公及印刷</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费、邮电费、差旅费、会议费、福利费、日常维修费、专用材料及一般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设备购置费、办公用房水电费、办公用房取暖费、办公用房物业管理费、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公务用车运行维护费及其他费用。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4．“三公”经费：指单位用一般公共预算财政拨款安排的因公出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国（境）费、公务用车购置及运行维护费和公务接待费。其中，因公出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国（境）费反映单位公务出国（境）的国际旅费、国外城市间交通费、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住宿费、伙食费、培训费、公杂费等支出；公务用车购置及运行维护费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反映单位公务用车购置支出（含车辆购置税、牌照费）以及按规定保留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的公务用车燃料费、维修费、过路过桥费、保险费、安全奖励费用等支</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出；公务接待费反映单位按规定开支的各类公务接待（含外宾接待）费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5．对附属单位补助支出：指事业单位用财政拨款收入之外的收入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对附属单位补助发生的支出。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6．经营支出：指事业单位在专业业务活动及其辅助活动之外开展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非独立核算经营活动发生的支出。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7</w:t>
      </w:r>
      <w:r>
        <w:rPr>
          <w:rFonts w:hint="eastAsia" w:ascii="sans-serif" w:hAnsi="sans-serif" w:eastAsia="sans-serif" w:cs="sans-serif"/>
          <w:kern w:val="0"/>
          <w:sz w:val="32"/>
          <w:szCs w:val="32"/>
          <w:lang w:val="en-US" w:eastAsia="zh-CN" w:bidi="ar"/>
        </w:rPr>
        <w:t>.</w:t>
      </w:r>
      <w:r>
        <w:rPr>
          <w:rFonts w:hint="default" w:ascii="sans-serif" w:hAnsi="sans-serif" w:eastAsia="sans-serif" w:cs="sans-serif"/>
          <w:kern w:val="0"/>
          <w:sz w:val="32"/>
          <w:szCs w:val="32"/>
          <w:lang w:val="en-US" w:eastAsia="zh-CN" w:bidi="ar"/>
        </w:rPr>
        <w:t>事业收入：指事业单位开展专业业务活动及其辅助活动取得的</w:t>
      </w:r>
    </w:p>
    <w:p>
      <w:pPr>
        <w:keepNext w:val="0"/>
        <w:keepLines w:val="0"/>
        <w:widowControl/>
        <w:suppressLineNumbers w:val="0"/>
        <w:bidi w:val="0"/>
        <w:jc w:val="left"/>
        <w:rPr>
          <w:rFonts w:ascii="monospace" w:hAnsi="monospace" w:eastAsia="monospace" w:cs="monospace"/>
          <w:sz w:val="18"/>
          <w:szCs w:val="18"/>
        </w:rPr>
      </w:pPr>
      <w:bookmarkStart w:id="3" w:name="28"/>
      <w:bookmarkEnd w:id="3"/>
      <w:r>
        <w:rPr>
          <w:rFonts w:hint="default" w:ascii="monospace" w:hAnsi="monospace" w:eastAsia="monospace" w:cs="monospace"/>
          <w:kern w:val="0"/>
          <w:sz w:val="18"/>
          <w:szCs w:val="18"/>
          <w:lang w:val="en-US" w:eastAsia="zh-CN" w:bidi="ar"/>
        </w:rPr>
        <w:t>- 16 -</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收入，事业单位收到的财政专户实际核拨的教育收费等资金在此反映。</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8．经营收入：指事业单位在专业业务活动及其辅助活动之外开展</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非独立核算经营活动取得的收入。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9．附属单位上缴收入：指事业单位附属独立核算单位按照有关规</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定上缴的收入。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10．其他收入：指单位取得的除上述“财政拨款收入”、“事业收</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入”、“经营收入”等以外的各项收入。</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11．使用非财政拨款结余：指事业单位使用非财政拨款结余（原事</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业基金）弥补当年收支差额的数额。</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12．年初结转和结余：指单位上年结转本年使用的基本支出结转、</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项目支出结转和结余和经营结余。</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13．结余分配：指事业单位按规定对非财政拨款结余资金提取的专</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用基金、缴纳的所得税和转入非财政拨款结余等。</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14．年末结转和结余资金：指本年度或以前年度预算安排、因客观</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条件发生变化无法按原计划实施，需要延迟到以后年度按有关规定继续</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使用的资金。</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15．基本支出：指为保障机构正常运转、完成日常工作任务而发生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的支出，包括人员经费和公用经费。</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16．项目支出：指在为完成特定的工作任务和事业发展目标所发生</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的支出。</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17．上缴上级支出：指事业单位按照财政部门和主管部门的规定上</w:t>
      </w:r>
    </w:p>
    <w:p>
      <w:pPr>
        <w:keepNext w:val="0"/>
        <w:keepLines w:val="0"/>
        <w:widowControl/>
        <w:suppressLineNumbers w:val="0"/>
        <w:bidi w:val="0"/>
        <w:jc w:val="left"/>
        <w:rPr>
          <w:rFonts w:hint="default" w:ascii="sans-serif" w:hAnsi="sans-serif" w:eastAsia="sans-serif" w:cs="sans-serif"/>
          <w:sz w:val="32"/>
          <w:szCs w:val="32"/>
        </w:rPr>
      </w:pPr>
      <w:r>
        <w:rPr>
          <w:rFonts w:hint="default" w:ascii="sans-serif" w:hAnsi="sans-serif" w:eastAsia="sans-serif" w:cs="sans-serif"/>
          <w:kern w:val="0"/>
          <w:sz w:val="32"/>
          <w:szCs w:val="32"/>
          <w:lang w:val="en-US" w:eastAsia="zh-CN" w:bidi="ar"/>
        </w:rPr>
        <w:t>缴上级单位的支出。</w:t>
      </w:r>
    </w:p>
    <w:p>
      <w:pPr>
        <w:widowControl/>
        <w:jc w:val="left"/>
        <w:rPr>
          <w:rFonts w:ascii="黑体" w:eastAsia="黑体" w:cs="黑体"/>
          <w:color w:val="000000"/>
          <w:kern w:val="0"/>
          <w:sz w:val="70"/>
          <w:szCs w:val="70"/>
        </w:rPr>
      </w:pPr>
      <w:bookmarkStart w:id="4" w:name="29"/>
      <w:bookmarkEnd w:id="4"/>
    </w:p>
    <w:p>
      <w:pPr>
        <w:pStyle w:val="10"/>
        <w:jc w:val="both"/>
        <w:rPr>
          <w:sz w:val="72"/>
          <w:szCs w:val="72"/>
        </w:rPr>
      </w:pPr>
    </w:p>
    <w:p>
      <w:pPr>
        <w:ind w:firstLine="640" w:firstLineChars="200"/>
        <w:jc w:val="left"/>
        <w:rPr>
          <w:rFonts w:cs="黑体" w:asciiTheme="minorEastAsia" w:hAnsiTheme="minorEastAsia"/>
          <w:color w:val="000000"/>
          <w:kern w:val="0"/>
          <w:sz w:val="32"/>
          <w:szCs w:val="32"/>
        </w:rPr>
      </w:pPr>
    </w:p>
    <w:p>
      <w:pPr>
        <w:pStyle w:val="10"/>
        <w:ind w:firstLine="3600" w:firstLineChars="500"/>
        <w:jc w:val="both"/>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onospace">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8037AD"/>
    <w:multiLevelType w:val="singleLevel"/>
    <w:tmpl w:val="A28037AD"/>
    <w:lvl w:ilvl="0" w:tentative="0">
      <w:start w:val="4"/>
      <w:numFmt w:val="decimal"/>
      <w:suff w:val="nothing"/>
      <w:lvlText w:val="%1、"/>
      <w:lvlJc w:val="left"/>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C67445B"/>
    <w:rsid w:val="0FC029CA"/>
    <w:rsid w:val="100A4A52"/>
    <w:rsid w:val="10E670E5"/>
    <w:rsid w:val="136917E4"/>
    <w:rsid w:val="18FF0845"/>
    <w:rsid w:val="1A7F103A"/>
    <w:rsid w:val="20C61E6E"/>
    <w:rsid w:val="23411A14"/>
    <w:rsid w:val="278422F1"/>
    <w:rsid w:val="31DF58A2"/>
    <w:rsid w:val="35324516"/>
    <w:rsid w:val="372C52CB"/>
    <w:rsid w:val="49A308A5"/>
    <w:rsid w:val="4F120F9C"/>
    <w:rsid w:val="573B60FF"/>
    <w:rsid w:val="59987F3E"/>
    <w:rsid w:val="5FC77B22"/>
    <w:rsid w:val="60F65DC2"/>
    <w:rsid w:val="6FA570E3"/>
    <w:rsid w:val="70245EA2"/>
    <w:rsid w:val="710F7F59"/>
    <w:rsid w:val="782B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列出段落1"/>
    <w:qFormat/>
    <w:uiPriority w:val="0"/>
    <w:pPr>
      <w:widowControl w:val="0"/>
      <w:ind w:firstLine="42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7339</Words>
  <Characters>8973</Characters>
  <Lines>69</Lines>
  <Paragraphs>19</Paragraphs>
  <TotalTime>0</TotalTime>
  <ScaleCrop>false</ScaleCrop>
  <LinksUpToDate>false</LinksUpToDate>
  <CharactersWithSpaces>10031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2023-09-28T04:45:39Z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8F02F5548E4A44D992484FF8529725A8_13</vt:lpwstr>
  </property>
</Properties>
</file>