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2021年度</w:t>
      </w:r>
    </w:p>
    <w:p>
      <w:pPr>
        <w:pStyle w:val="12"/>
        <w:jc w:val="center"/>
        <w:rPr>
          <w:sz w:val="84"/>
          <w:szCs w:val="84"/>
        </w:rPr>
      </w:pPr>
      <w:r>
        <w:rPr>
          <w:rFonts w:hint="eastAsia"/>
          <w:sz w:val="84"/>
          <w:szCs w:val="84"/>
        </w:rPr>
        <w:t>道县医疗保障局部门决算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道县医疗保障局</w:t>
      </w:r>
      <w:r>
        <w:rPr>
          <w:rFonts w:hint="eastAsia"/>
          <w:b/>
          <w:sz w:val="28"/>
          <w:szCs w:val="28"/>
        </w:rPr>
        <w:t>单位概况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2"/>
        <w:jc w:val="center"/>
        <w:rPr>
          <w:sz w:val="84"/>
          <w:szCs w:val="84"/>
        </w:rPr>
      </w:pPr>
      <w:r>
        <w:rPr>
          <w:rFonts w:hint="eastAsia"/>
          <w:sz w:val="84"/>
          <w:szCs w:val="84"/>
        </w:rPr>
        <w:t>第一部分</w:t>
      </w:r>
      <w:r>
        <w:rPr>
          <w:sz w:val="84"/>
          <w:szCs w:val="84"/>
        </w:rPr>
        <w:t xml:space="preserve"> </w:t>
      </w:r>
    </w:p>
    <w:p>
      <w:pPr>
        <w:pStyle w:val="12"/>
        <w:jc w:val="center"/>
        <w:rPr>
          <w:sz w:val="84"/>
          <w:szCs w:val="84"/>
        </w:rPr>
      </w:pPr>
    </w:p>
    <w:p>
      <w:pPr>
        <w:pStyle w:val="12"/>
        <w:jc w:val="center"/>
        <w:rPr>
          <w:sz w:val="84"/>
          <w:szCs w:val="84"/>
        </w:rPr>
      </w:pPr>
      <w:r>
        <w:rPr>
          <w:rFonts w:hint="eastAsia"/>
          <w:sz w:val="84"/>
          <w:szCs w:val="84"/>
          <w:lang w:val="en-US" w:eastAsia="zh-CN"/>
        </w:rPr>
        <w:t>道县医疗保障局</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numPr>
          <w:ilvl w:val="0"/>
          <w:numId w:val="0"/>
        </w:numPr>
        <w:ind w:leftChars="0" w:firstLine="640" w:firstLineChars="200"/>
        <w:jc w:val="left"/>
        <w:rPr>
          <w:rFonts w:ascii="黑体" w:hAnsi="黑体" w:eastAsia="黑体"/>
          <w:sz w:val="32"/>
          <w:szCs w:val="32"/>
        </w:rPr>
      </w:pPr>
      <w:r>
        <w:rPr>
          <w:rFonts w:hint="eastAsia" w:ascii="黑体" w:hAnsi="黑体" w:eastAsia="黑体"/>
          <w:sz w:val="32"/>
          <w:szCs w:val="32"/>
          <w:lang w:val="en-US" w:eastAsia="zh-CN"/>
        </w:rPr>
        <w:t>一、</w:t>
      </w:r>
      <w:r>
        <w:rPr>
          <w:rFonts w:ascii="黑体" w:hAnsi="黑体" w:eastAsia="黑体"/>
          <w:sz w:val="32"/>
          <w:szCs w:val="32"/>
        </w:rPr>
        <w:t>部门职责</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（一）拟定全县医疗保险、生育保险、医疗救助等医疗保障制度的政策、规划和标准，并组织实施。</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（二）组织制定并实施全县医疗保障基金监督管理办法，监督管理相关医疗保障基金。建立健全医疗保障基金安全防控机制，推进医疗保障基金支付方式改革。</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三）组织制定全县医疗保障筹资和待遇政策，组织制定全县城乡居民大病保险政策，完善动态调整和区域内调剂平衡机制，统筹城乡医疗保障待遇标准，建立健全与筹资水平相适应的待遇调整机制。负责管理全县医疗救助资金的使用。组织拟定并实施长期护理保险制度改革方案。</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（四）贯彻落实国家、湖南省制定的药品、医用耗材、医疗服务项目、医疗服务设施等医保目录、支付标准。贯彻执行医保目录准入谈判规则。</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五）组织制定全县药品、医用耗材价格和医疗服务项目、医疗服务设施收费等政策，建立医保支付医药服务价格合理确定和动态调整机制，推动建立市场主导的社会医药服务体格形成机制，建立价格信息监测和信息发布制度。</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（六）根据国家、省、市药品、医用耗材的招标采购政策，监督实施全县药品、医用耗材招标采购工作。</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（七）制定全县定点医药机构协议和支付管理办法并组织实施，建立健全医疗保障信用评价体系和信息披露制度，监督管理纳入医保范围内的医疗服务行为和医疗费用，依法查处医疗保障领域违法违规行为。</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八）负责全县医疗保障经办管理、公共服务体系和信息化建设。指导、监督全县医疗保险、生育保险、大病保险、医疗救助等医疗保障经办业务工作。负责医疗保障行政审批事项。组织制定和完善异地就医管理和费用结算政策。建立健全医疗保障关系转移接续制度。开展医疗保障领域合作交流。</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（九）完成县委、县政府交办的其他工作。</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十）职能转变。县医保局应完善统一的城乡居民基本医疗保险制度和大病保险制度，巩固完善城乡居民医疗救助制度，建立健全覆盖全民、城乡统筹的多层次医疗保障体系，不断提高医疗保障水平，确保医保资金合理使用、安全可控，推进医疗、医保、医药“三医联动”改革，更好保障人民群众就医需求、减轻医药费用负担。</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（十一）与县卫生健康局的有关职责分工。县卫生健康局、县医保局等部门在医疗、医保、医药等方面加强制度、政策衔接，建立沟通协商机制，协同推进改革，提高医疗资源使用效率和医疗保障水平。</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道县医疗保障局</w:t>
      </w:r>
      <w:r>
        <w:rPr>
          <w:rFonts w:hint="eastAsia" w:asciiTheme="minorEastAsia" w:hAnsiTheme="minorEastAsia"/>
          <w:bCs/>
          <w:kern w:val="0"/>
          <w:sz w:val="32"/>
          <w:szCs w:val="32"/>
        </w:rPr>
        <w:t>内设机构包括：</w:t>
      </w:r>
      <w:r>
        <w:rPr>
          <w:rFonts w:hint="eastAsia" w:asciiTheme="minorEastAsia" w:hAnsiTheme="minorEastAsia"/>
          <w:bCs/>
          <w:kern w:val="0"/>
          <w:sz w:val="32"/>
          <w:szCs w:val="32"/>
          <w:lang w:val="en-US" w:eastAsia="zh-CN"/>
        </w:rPr>
        <w:t>我局是县政府工作部门，为正科级行政单位，内设办公室、规划财务和法规股、待遇保障股、医药服务管理股、医药价格和招标采购股、基金监管股共六个股室。</w:t>
      </w:r>
    </w:p>
    <w:p>
      <w:pPr>
        <w:widowControl/>
        <w:numPr>
          <w:ilvl w:val="0"/>
          <w:numId w:val="1"/>
        </w:numPr>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决算单位构成。</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道县医疗保障局2021年部门决算公开单位构成包括：道县医疗保障局只有本级，没有其他二级决算单位，因此，纳入2021年部门决算编制范围的只有道县医疗保障局本级。</w:t>
      </w:r>
    </w:p>
    <w:p>
      <w:pPr>
        <w:widowControl/>
        <w:spacing w:line="600" w:lineRule="exact"/>
        <w:ind w:firstLine="640" w:firstLineChars="200"/>
        <w:rPr>
          <w:rFonts w:hint="eastAsia" w:asciiTheme="minorEastAsia" w:hAnsiTheme="minorEastAsia"/>
          <w:bCs/>
          <w:kern w:val="0"/>
          <w:sz w:val="32"/>
          <w:szCs w:val="32"/>
          <w:lang w:val="en-US" w:eastAsia="zh-CN"/>
        </w:rPr>
      </w:pPr>
    </w:p>
    <w:p>
      <w:pPr>
        <w:widowControl/>
        <w:spacing w:line="600" w:lineRule="exact"/>
        <w:ind w:firstLine="640" w:firstLineChars="200"/>
        <w:rPr>
          <w:rFonts w:hint="eastAsia" w:asciiTheme="minorEastAsia" w:hAnsiTheme="minorEastAsia"/>
          <w:bCs/>
          <w:kern w:val="0"/>
          <w:sz w:val="32"/>
          <w:szCs w:val="32"/>
          <w:lang w:val="en-US" w:eastAsia="zh-CN"/>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道县医疗保障局</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39,973.90</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31.79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79.91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264.39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39,844.69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79.91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40,053.81</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40,220.78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166.97</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40,220.78</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40,220.78</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8"/>
        <w:tblW w:w="15386" w:type="dxa"/>
        <w:tblInd w:w="0" w:type="dxa"/>
        <w:tblLayout w:type="fixed"/>
        <w:tblCellMar>
          <w:top w:w="0" w:type="dxa"/>
          <w:left w:w="0" w:type="dxa"/>
          <w:bottom w:w="0" w:type="dxa"/>
          <w:right w:w="0" w:type="dxa"/>
        </w:tblCellMar>
      </w:tblPr>
      <w:tblGrid>
        <w:gridCol w:w="1030"/>
        <w:gridCol w:w="74"/>
        <w:gridCol w:w="2266"/>
        <w:gridCol w:w="1440"/>
        <w:gridCol w:w="1764"/>
        <w:gridCol w:w="1632"/>
        <w:gridCol w:w="1461"/>
        <w:gridCol w:w="1671"/>
        <w:gridCol w:w="1671"/>
        <w:gridCol w:w="2377"/>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0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6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6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110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266" w:type="dxa"/>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ascii="宋体" w:hAnsi="宋体" w:eastAsia="宋体" w:cs="宋体"/>
                <w:color w:val="000000"/>
                <w:kern w:val="0"/>
                <w:sz w:val="20"/>
                <w:szCs w:val="20"/>
                <w:lang w:val="en-US" w:eastAsia="zh-CN"/>
              </w:rPr>
              <w:t>道县医疗保障局</w:t>
            </w:r>
            <w:r>
              <w:rPr>
                <w:rFonts w:hint="eastAsia"/>
              </w:rPr>
              <w:t>　</w:t>
            </w:r>
          </w:p>
        </w:tc>
        <w:tc>
          <w:tcPr>
            <w:tcW w:w="14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2"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46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37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6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3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46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26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6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10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6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6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37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4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7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4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337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40,053.81</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40,053.81</w:t>
            </w:r>
          </w:p>
        </w:tc>
        <w:tc>
          <w:tcPr>
            <w:tcW w:w="16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3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31.79</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31.79</w:t>
            </w:r>
          </w:p>
        </w:tc>
        <w:tc>
          <w:tcPr>
            <w:tcW w:w="16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23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31.79</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31.79</w:t>
            </w:r>
          </w:p>
        </w:tc>
        <w:tc>
          <w:tcPr>
            <w:tcW w:w="16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2010301</w:t>
            </w:r>
          </w:p>
        </w:tc>
        <w:tc>
          <w:tcPr>
            <w:tcW w:w="23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27.65</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27.65</w:t>
            </w:r>
          </w:p>
        </w:tc>
        <w:tc>
          <w:tcPr>
            <w:tcW w:w="16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2010399</w:t>
            </w:r>
          </w:p>
        </w:tc>
        <w:tc>
          <w:tcPr>
            <w:tcW w:w="23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4.14</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4.14</w:t>
            </w:r>
          </w:p>
        </w:tc>
        <w:tc>
          <w:tcPr>
            <w:tcW w:w="16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23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264.39</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264.39</w:t>
            </w:r>
          </w:p>
        </w:tc>
        <w:tc>
          <w:tcPr>
            <w:tcW w:w="16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23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13.00</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13.00</w:t>
            </w:r>
          </w:p>
        </w:tc>
        <w:tc>
          <w:tcPr>
            <w:tcW w:w="16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23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13.00</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13.00</w:t>
            </w:r>
          </w:p>
        </w:tc>
        <w:tc>
          <w:tcPr>
            <w:tcW w:w="16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20899</w:t>
            </w:r>
          </w:p>
        </w:tc>
        <w:tc>
          <w:tcPr>
            <w:tcW w:w="23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251.39</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251.39</w:t>
            </w:r>
          </w:p>
        </w:tc>
        <w:tc>
          <w:tcPr>
            <w:tcW w:w="16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2089999</w:t>
            </w:r>
          </w:p>
        </w:tc>
        <w:tc>
          <w:tcPr>
            <w:tcW w:w="23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251.39</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251.39</w:t>
            </w:r>
          </w:p>
        </w:tc>
        <w:tc>
          <w:tcPr>
            <w:tcW w:w="16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23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39,677.72</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39,677.72</w:t>
            </w:r>
          </w:p>
        </w:tc>
        <w:tc>
          <w:tcPr>
            <w:tcW w:w="16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21001</w:t>
            </w:r>
          </w:p>
        </w:tc>
        <w:tc>
          <w:tcPr>
            <w:tcW w:w="23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卫生健康管理事务</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12.06</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12.06</w:t>
            </w:r>
          </w:p>
        </w:tc>
        <w:tc>
          <w:tcPr>
            <w:tcW w:w="16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2100101</w:t>
            </w:r>
          </w:p>
        </w:tc>
        <w:tc>
          <w:tcPr>
            <w:tcW w:w="23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12.06</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12.06</w:t>
            </w:r>
          </w:p>
        </w:tc>
        <w:tc>
          <w:tcPr>
            <w:tcW w:w="16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23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6.50</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6.50</w:t>
            </w:r>
          </w:p>
        </w:tc>
        <w:tc>
          <w:tcPr>
            <w:tcW w:w="16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2101199</w:t>
            </w:r>
          </w:p>
        </w:tc>
        <w:tc>
          <w:tcPr>
            <w:tcW w:w="23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6.50</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6.50</w:t>
            </w:r>
          </w:p>
        </w:tc>
        <w:tc>
          <w:tcPr>
            <w:tcW w:w="16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21012</w:t>
            </w:r>
          </w:p>
        </w:tc>
        <w:tc>
          <w:tcPr>
            <w:tcW w:w="23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财政对基本医疗保险基金的补助</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36,901.62</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36,901.62</w:t>
            </w:r>
          </w:p>
        </w:tc>
        <w:tc>
          <w:tcPr>
            <w:tcW w:w="16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2101202</w:t>
            </w:r>
          </w:p>
        </w:tc>
        <w:tc>
          <w:tcPr>
            <w:tcW w:w="23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财政对城乡居民基本医疗保险基金的补助</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36,647.27</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36,647.27</w:t>
            </w:r>
          </w:p>
        </w:tc>
        <w:tc>
          <w:tcPr>
            <w:tcW w:w="16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2101299</w:t>
            </w:r>
          </w:p>
        </w:tc>
        <w:tc>
          <w:tcPr>
            <w:tcW w:w="23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财政对其他基本医疗保险基金的补助</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254.35</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254.35</w:t>
            </w:r>
          </w:p>
        </w:tc>
        <w:tc>
          <w:tcPr>
            <w:tcW w:w="16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21013</w:t>
            </w:r>
          </w:p>
        </w:tc>
        <w:tc>
          <w:tcPr>
            <w:tcW w:w="23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医疗救助</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1,481.93</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1,481.93</w:t>
            </w:r>
          </w:p>
        </w:tc>
        <w:tc>
          <w:tcPr>
            <w:tcW w:w="16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2101301</w:t>
            </w:r>
          </w:p>
        </w:tc>
        <w:tc>
          <w:tcPr>
            <w:tcW w:w="23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城乡医疗救助</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413.71</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413.71</w:t>
            </w:r>
          </w:p>
        </w:tc>
        <w:tc>
          <w:tcPr>
            <w:tcW w:w="16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2101399</w:t>
            </w:r>
          </w:p>
        </w:tc>
        <w:tc>
          <w:tcPr>
            <w:tcW w:w="23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其他医疗救助支出</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1,068.22</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1,068.22</w:t>
            </w:r>
          </w:p>
        </w:tc>
        <w:tc>
          <w:tcPr>
            <w:tcW w:w="16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21015</w:t>
            </w:r>
          </w:p>
        </w:tc>
        <w:tc>
          <w:tcPr>
            <w:tcW w:w="23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医疗保障管理事务</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1,275.61</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1,275.61</w:t>
            </w:r>
          </w:p>
        </w:tc>
        <w:tc>
          <w:tcPr>
            <w:tcW w:w="16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2101501</w:t>
            </w:r>
          </w:p>
        </w:tc>
        <w:tc>
          <w:tcPr>
            <w:tcW w:w="23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429.51</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429.51</w:t>
            </w:r>
          </w:p>
        </w:tc>
        <w:tc>
          <w:tcPr>
            <w:tcW w:w="16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2101505</w:t>
            </w:r>
          </w:p>
        </w:tc>
        <w:tc>
          <w:tcPr>
            <w:tcW w:w="23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医疗保障政策管理</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10.00</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6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2101506</w:t>
            </w:r>
          </w:p>
        </w:tc>
        <w:tc>
          <w:tcPr>
            <w:tcW w:w="23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医疗保障经办事务</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16.10</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16.10</w:t>
            </w:r>
          </w:p>
        </w:tc>
        <w:tc>
          <w:tcPr>
            <w:tcW w:w="16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2101599</w:t>
            </w:r>
          </w:p>
        </w:tc>
        <w:tc>
          <w:tcPr>
            <w:tcW w:w="23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其他医疗保障管理事务支出</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820.00</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820.00</w:t>
            </w:r>
          </w:p>
        </w:tc>
        <w:tc>
          <w:tcPr>
            <w:tcW w:w="16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w:t>
            </w:r>
          </w:p>
        </w:tc>
        <w:tc>
          <w:tcPr>
            <w:tcW w:w="23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其他支出</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79.91</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79.91</w:t>
            </w:r>
          </w:p>
        </w:tc>
        <w:tc>
          <w:tcPr>
            <w:tcW w:w="16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22960</w:t>
            </w:r>
          </w:p>
        </w:tc>
        <w:tc>
          <w:tcPr>
            <w:tcW w:w="23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79.91</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79.91</w:t>
            </w:r>
          </w:p>
        </w:tc>
        <w:tc>
          <w:tcPr>
            <w:tcW w:w="16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2296013</w:t>
            </w:r>
          </w:p>
        </w:tc>
        <w:tc>
          <w:tcPr>
            <w:tcW w:w="23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用于城乡医疗救助的彩票公益金支出</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79.91</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79.91</w:t>
            </w:r>
          </w:p>
        </w:tc>
        <w:tc>
          <w:tcPr>
            <w:tcW w:w="16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8"/>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3441"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道县医疗保障局</w:t>
            </w: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40,220.78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38,511.61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1,709.16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31.79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31.79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31.79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31.79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27.65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27.65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264.39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264.39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251.39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251.39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2089999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251.39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251.39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39,844.69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38,215.43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1,629.25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卫生健康管理事务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财政对基本医疗保险基金的补助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36,901.62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36,901.62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2101202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财政对城乡居民基本医疗保险基金的补助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36,647.27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36,647.27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2101299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财政对其他基本医疗保险基金的补助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254.35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254.35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医疗救助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1,629.25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1,629.25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2101301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城乡医疗救助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561.03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561.03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2101399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其他医疗救助支出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1,068.22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1,068.22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医疗保障管理事务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1,295.25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1,295.25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2101501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429.51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429.51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医疗保障政策管理</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2101506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医疗保障经办事务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16.10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2101599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其他医疗保障管理事务支出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839.64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839.64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79.91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79.91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22960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79.91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79.91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2296013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用于城乡医疗救助的彩票公益金支出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79.91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79.91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p>
      <w:pPr>
        <w:pStyle w:val="4"/>
      </w:pPr>
    </w:p>
    <w:p>
      <w:pPr>
        <w:pStyle w:val="4"/>
      </w:pPr>
    </w:p>
    <w:p>
      <w:pPr>
        <w:pStyle w:val="4"/>
      </w:pPr>
    </w:p>
    <w:tbl>
      <w:tblPr>
        <w:tblStyle w:val="8"/>
        <w:tblW w:w="15521" w:type="dxa"/>
        <w:tblInd w:w="93" w:type="dxa"/>
        <w:tblLayout w:type="fixed"/>
        <w:tblCellMar>
          <w:top w:w="0" w:type="dxa"/>
          <w:left w:w="108" w:type="dxa"/>
          <w:bottom w:w="0" w:type="dxa"/>
          <w:right w:w="108" w:type="dxa"/>
        </w:tblCellMar>
      </w:tblPr>
      <w:tblGrid>
        <w:gridCol w:w="3322"/>
        <w:gridCol w:w="675"/>
        <w:gridCol w:w="1365"/>
        <w:gridCol w:w="323"/>
        <w:gridCol w:w="2890"/>
        <w:gridCol w:w="626"/>
        <w:gridCol w:w="433"/>
        <w:gridCol w:w="1560"/>
        <w:gridCol w:w="1383"/>
        <w:gridCol w:w="1383"/>
        <w:gridCol w:w="1561"/>
      </w:tblGrid>
      <w:tr>
        <w:tblPrEx>
          <w:tblCellMar>
            <w:top w:w="0" w:type="dxa"/>
            <w:left w:w="108" w:type="dxa"/>
            <w:bottom w:w="0" w:type="dxa"/>
            <w:right w:w="108" w:type="dxa"/>
          </w:tblCellMar>
        </w:tblPrEx>
        <w:trPr>
          <w:trHeight w:val="285" w:hRule="atLeast"/>
        </w:trPr>
        <w:tc>
          <w:tcPr>
            <w:tcW w:w="3322"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67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688"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16"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60"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8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8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6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3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7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6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3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32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道县医疗保障局</w:t>
            </w:r>
          </w:p>
        </w:tc>
        <w:tc>
          <w:tcPr>
            <w:tcW w:w="67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6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3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36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159"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3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21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32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67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2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5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32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39,973.90</w:t>
            </w:r>
          </w:p>
        </w:tc>
        <w:tc>
          <w:tcPr>
            <w:tcW w:w="32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31.79</w:t>
            </w:r>
          </w:p>
        </w:tc>
        <w:tc>
          <w:tcPr>
            <w:tcW w:w="13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31.79</w:t>
            </w: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79.91</w:t>
            </w:r>
          </w:p>
        </w:tc>
        <w:tc>
          <w:tcPr>
            <w:tcW w:w="32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2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2"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2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2"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2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2"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2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2"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2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2"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2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264.39</w:t>
            </w:r>
          </w:p>
        </w:tc>
        <w:tc>
          <w:tcPr>
            <w:tcW w:w="13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264.39</w:t>
            </w: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2"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39,844.69</w:t>
            </w:r>
          </w:p>
        </w:tc>
        <w:tc>
          <w:tcPr>
            <w:tcW w:w="13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39,844.69</w:t>
            </w: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2"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2"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2"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2"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2"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2"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2"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2"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2"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2"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2"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2"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2"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2"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79.91</w:t>
            </w: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79.91</w:t>
            </w: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2"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2"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2"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40,053.81</w:t>
            </w:r>
          </w:p>
        </w:tc>
        <w:tc>
          <w:tcPr>
            <w:tcW w:w="32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40,220.78</w:t>
            </w:r>
          </w:p>
        </w:tc>
        <w:tc>
          <w:tcPr>
            <w:tcW w:w="13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40,140.87</w:t>
            </w:r>
          </w:p>
        </w:tc>
        <w:tc>
          <w:tcPr>
            <w:tcW w:w="13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79.91</w:t>
            </w:r>
          </w:p>
        </w:tc>
        <w:tc>
          <w:tcPr>
            <w:tcW w:w="15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32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166.97</w:t>
            </w:r>
          </w:p>
        </w:tc>
        <w:tc>
          <w:tcPr>
            <w:tcW w:w="32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166.97</w:t>
            </w:r>
          </w:p>
        </w:tc>
        <w:tc>
          <w:tcPr>
            <w:tcW w:w="3213"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213"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213"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2"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67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40,220.78</w:t>
            </w:r>
          </w:p>
        </w:tc>
        <w:tc>
          <w:tcPr>
            <w:tcW w:w="3213"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59"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6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40,220.78</w:t>
            </w:r>
          </w:p>
        </w:tc>
        <w:tc>
          <w:tcPr>
            <w:tcW w:w="138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40,140.87</w:t>
            </w:r>
          </w:p>
        </w:tc>
        <w:tc>
          <w:tcPr>
            <w:tcW w:w="13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79.91</w:t>
            </w:r>
          </w:p>
        </w:tc>
        <w:tc>
          <w:tcPr>
            <w:tcW w:w="15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pStyle w:val="4"/>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lang w:val="en-US" w:eastAsia="zh-CN"/>
        </w:rPr>
        <w:t>道县医疗保障局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986"/>
        <w:gridCol w:w="1004"/>
        <w:gridCol w:w="3275"/>
        <w:gridCol w:w="2839"/>
        <w:gridCol w:w="3286"/>
        <w:gridCol w:w="2829"/>
      </w:tblGrid>
      <w:tr>
        <w:tblPrEx>
          <w:tblCellMar>
            <w:top w:w="0" w:type="dxa"/>
            <w:left w:w="108" w:type="dxa"/>
            <w:bottom w:w="0" w:type="dxa"/>
            <w:right w:w="108" w:type="dxa"/>
          </w:tblCellMar>
        </w:tblPrEx>
        <w:trPr>
          <w:trHeight w:val="405" w:hRule="atLeast"/>
          <w:jc w:val="center"/>
        </w:trPr>
        <w:tc>
          <w:tcPr>
            <w:tcW w:w="5265"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54"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9"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9"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9"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6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2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6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40,140.87</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38,511.61</w:t>
            </w:r>
          </w:p>
        </w:tc>
        <w:tc>
          <w:tcPr>
            <w:tcW w:w="282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1,629.25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27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31.79</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31.79</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427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31.79</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31.79</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427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27.65</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27.65</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2010399</w:t>
            </w:r>
          </w:p>
        </w:tc>
        <w:tc>
          <w:tcPr>
            <w:tcW w:w="427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4.14</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4.14</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7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264.39</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264.39</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7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7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20899</w:t>
            </w:r>
          </w:p>
        </w:tc>
        <w:tc>
          <w:tcPr>
            <w:tcW w:w="427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251.39</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251.39</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2089999</w:t>
            </w:r>
          </w:p>
        </w:tc>
        <w:tc>
          <w:tcPr>
            <w:tcW w:w="427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251.39</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251.39</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7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39,844.69</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38,215.43</w:t>
            </w:r>
          </w:p>
        </w:tc>
        <w:tc>
          <w:tcPr>
            <w:tcW w:w="282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1,629.25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21001</w:t>
            </w:r>
          </w:p>
        </w:tc>
        <w:tc>
          <w:tcPr>
            <w:tcW w:w="427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卫生健康管理事务</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12.06</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12.06</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2100101</w:t>
            </w:r>
          </w:p>
        </w:tc>
        <w:tc>
          <w:tcPr>
            <w:tcW w:w="427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12.06</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12.06</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7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6.50</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6.50</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2101199</w:t>
            </w:r>
          </w:p>
        </w:tc>
        <w:tc>
          <w:tcPr>
            <w:tcW w:w="427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6.50</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6.50</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21012</w:t>
            </w:r>
          </w:p>
        </w:tc>
        <w:tc>
          <w:tcPr>
            <w:tcW w:w="427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财政对基本医疗保险基金的补助</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36,901.62</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36,901.62</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2101202</w:t>
            </w:r>
          </w:p>
        </w:tc>
        <w:tc>
          <w:tcPr>
            <w:tcW w:w="427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财政对城乡居民基本医疗保险基金的补助</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36,647.27</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36,647.27</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2101299</w:t>
            </w:r>
          </w:p>
        </w:tc>
        <w:tc>
          <w:tcPr>
            <w:tcW w:w="427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财政对其他基本医疗保险基金的补助</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254.35</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254.35</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21013</w:t>
            </w:r>
          </w:p>
        </w:tc>
        <w:tc>
          <w:tcPr>
            <w:tcW w:w="427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医疗救助</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1,629.25</w:t>
            </w:r>
          </w:p>
        </w:tc>
        <w:tc>
          <w:tcPr>
            <w:tcW w:w="328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1,629.25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2101301</w:t>
            </w:r>
          </w:p>
        </w:tc>
        <w:tc>
          <w:tcPr>
            <w:tcW w:w="427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城乡医疗救助</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561.03</w:t>
            </w:r>
          </w:p>
        </w:tc>
        <w:tc>
          <w:tcPr>
            <w:tcW w:w="328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561.03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2101399</w:t>
            </w:r>
          </w:p>
        </w:tc>
        <w:tc>
          <w:tcPr>
            <w:tcW w:w="427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其他医疗救助支出</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1,068.22</w:t>
            </w:r>
          </w:p>
        </w:tc>
        <w:tc>
          <w:tcPr>
            <w:tcW w:w="328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1,068.22</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21015</w:t>
            </w:r>
          </w:p>
        </w:tc>
        <w:tc>
          <w:tcPr>
            <w:tcW w:w="427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医疗保障管理事务</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1,295.25</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1,295.25</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2101501</w:t>
            </w:r>
          </w:p>
        </w:tc>
        <w:tc>
          <w:tcPr>
            <w:tcW w:w="427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429.51</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429.51</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2101505</w:t>
            </w:r>
          </w:p>
        </w:tc>
        <w:tc>
          <w:tcPr>
            <w:tcW w:w="427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医疗保障政策管理</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2101506</w:t>
            </w:r>
          </w:p>
        </w:tc>
        <w:tc>
          <w:tcPr>
            <w:tcW w:w="427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医疗保障经办事务</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16.10</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16.10</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2101599</w:t>
            </w:r>
          </w:p>
        </w:tc>
        <w:tc>
          <w:tcPr>
            <w:tcW w:w="427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其他医疗保障管理事务支出</w:t>
            </w:r>
          </w:p>
        </w:tc>
        <w:tc>
          <w:tcPr>
            <w:tcW w:w="2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839.64</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839.64</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tblInd w:w="0" w:type="dxa"/>
        <w:tblLayout w:type="autofit"/>
        <w:tblCellMar>
          <w:top w:w="0" w:type="dxa"/>
          <w:left w:w="108" w:type="dxa"/>
          <w:bottom w:w="0" w:type="dxa"/>
          <w:right w:w="108" w:type="dxa"/>
        </w:tblCellMar>
      </w:tblPr>
      <w:tblGrid>
        <w:gridCol w:w="1260"/>
        <w:gridCol w:w="3148"/>
        <w:gridCol w:w="1138"/>
        <w:gridCol w:w="1152"/>
        <w:gridCol w:w="2171"/>
        <w:gridCol w:w="830"/>
        <w:gridCol w:w="1153"/>
        <w:gridCol w:w="3931"/>
        <w:gridCol w:w="831"/>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hint="eastAsia" w:ascii="宋体" w:hAnsi="宋体" w:eastAsia="宋体" w:cs="宋体"/>
                <w:color w:val="000000"/>
                <w:kern w:val="0"/>
                <w:sz w:val="20"/>
                <w:szCs w:val="20"/>
                <w:lang w:val="en-US" w:eastAsia="zh-CN"/>
              </w:rPr>
              <w:t>道县医疗保障局</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432.43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126.17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180.78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11.64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117.55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15.94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13.51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36.57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53.04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24.62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10.67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37,953.01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12.55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4.85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37,953.01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15.84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18.69</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23.79</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38,385.44</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126.17</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道县医疗保障局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12.55</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12.55</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道县医疗保障局</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68"/>
        <w:gridCol w:w="1239"/>
        <w:gridCol w:w="1859"/>
        <w:gridCol w:w="1890"/>
        <w:gridCol w:w="1890"/>
        <w:gridCol w:w="1859"/>
        <w:gridCol w:w="1890"/>
        <w:gridCol w:w="18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93"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859"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89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639"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859"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54"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239"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59" w:type="dxa"/>
            <w:vMerge w:val="continue"/>
            <w:vAlign w:val="center"/>
          </w:tcPr>
          <w:p>
            <w:pPr>
              <w:widowControl/>
              <w:jc w:val="left"/>
              <w:rPr>
                <w:rFonts w:ascii="Times New Roman" w:hAnsi="Times New Roman" w:eastAsia="仿宋_GB2312" w:cs="Times New Roman"/>
                <w:b/>
                <w:kern w:val="0"/>
                <w:szCs w:val="21"/>
              </w:rPr>
            </w:pPr>
          </w:p>
        </w:tc>
        <w:tc>
          <w:tcPr>
            <w:tcW w:w="1890" w:type="dxa"/>
            <w:vMerge w:val="continue"/>
            <w:vAlign w:val="center"/>
          </w:tcPr>
          <w:p>
            <w:pPr>
              <w:widowControl/>
              <w:jc w:val="left"/>
              <w:rPr>
                <w:rFonts w:ascii="Times New Roman" w:hAnsi="Times New Roman" w:eastAsia="仿宋_GB2312" w:cs="Times New Roman"/>
                <w:b/>
                <w:kern w:val="0"/>
                <w:szCs w:val="21"/>
              </w:rPr>
            </w:pPr>
          </w:p>
        </w:tc>
        <w:tc>
          <w:tcPr>
            <w:tcW w:w="189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859"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89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859"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54" w:type="dxa"/>
            <w:gridSpan w:val="2"/>
            <w:vMerge w:val="continue"/>
            <w:vAlign w:val="center"/>
          </w:tcPr>
          <w:p>
            <w:pPr>
              <w:widowControl/>
              <w:jc w:val="left"/>
              <w:rPr>
                <w:rFonts w:ascii="Times New Roman" w:hAnsi="Times New Roman" w:eastAsia="仿宋_GB2312" w:cs="Times New Roman"/>
                <w:kern w:val="0"/>
                <w:szCs w:val="21"/>
              </w:rPr>
            </w:pPr>
          </w:p>
        </w:tc>
        <w:tc>
          <w:tcPr>
            <w:tcW w:w="1239" w:type="dxa"/>
            <w:vMerge w:val="continue"/>
            <w:vAlign w:val="center"/>
          </w:tcPr>
          <w:p>
            <w:pPr>
              <w:widowControl/>
              <w:jc w:val="left"/>
              <w:rPr>
                <w:rFonts w:ascii="Times New Roman" w:hAnsi="Times New Roman" w:eastAsia="仿宋_GB2312" w:cs="Times New Roman"/>
                <w:kern w:val="0"/>
                <w:szCs w:val="21"/>
              </w:rPr>
            </w:pPr>
          </w:p>
        </w:tc>
        <w:tc>
          <w:tcPr>
            <w:tcW w:w="1859" w:type="dxa"/>
            <w:vMerge w:val="continue"/>
            <w:vAlign w:val="center"/>
          </w:tcPr>
          <w:p>
            <w:pPr>
              <w:widowControl/>
              <w:jc w:val="left"/>
              <w:rPr>
                <w:rFonts w:ascii="Times New Roman" w:hAnsi="Times New Roman" w:eastAsia="仿宋_GB2312" w:cs="Times New Roman"/>
                <w:kern w:val="0"/>
                <w:szCs w:val="21"/>
              </w:rPr>
            </w:pPr>
          </w:p>
        </w:tc>
        <w:tc>
          <w:tcPr>
            <w:tcW w:w="1890" w:type="dxa"/>
            <w:vMerge w:val="continue"/>
            <w:vAlign w:val="center"/>
          </w:tcPr>
          <w:p>
            <w:pPr>
              <w:widowControl/>
              <w:jc w:val="left"/>
              <w:rPr>
                <w:rFonts w:ascii="Times New Roman" w:hAnsi="Times New Roman" w:eastAsia="仿宋_GB2312" w:cs="Times New Roman"/>
                <w:kern w:val="0"/>
                <w:szCs w:val="21"/>
              </w:rPr>
            </w:pPr>
          </w:p>
        </w:tc>
        <w:tc>
          <w:tcPr>
            <w:tcW w:w="1890" w:type="dxa"/>
            <w:vMerge w:val="continue"/>
            <w:vAlign w:val="center"/>
          </w:tcPr>
          <w:p>
            <w:pPr>
              <w:widowControl/>
              <w:jc w:val="left"/>
              <w:rPr>
                <w:rFonts w:ascii="Times New Roman" w:hAnsi="Times New Roman" w:eastAsia="仿宋_GB2312" w:cs="Times New Roman"/>
                <w:kern w:val="0"/>
                <w:szCs w:val="21"/>
              </w:rPr>
            </w:pPr>
          </w:p>
        </w:tc>
        <w:tc>
          <w:tcPr>
            <w:tcW w:w="1859" w:type="dxa"/>
            <w:vMerge w:val="continue"/>
            <w:vAlign w:val="center"/>
          </w:tcPr>
          <w:p>
            <w:pPr>
              <w:widowControl/>
              <w:jc w:val="left"/>
              <w:rPr>
                <w:rFonts w:ascii="Times New Roman" w:hAnsi="Times New Roman" w:eastAsia="仿宋_GB2312" w:cs="Times New Roman"/>
                <w:kern w:val="0"/>
                <w:szCs w:val="21"/>
              </w:rPr>
            </w:pPr>
          </w:p>
        </w:tc>
        <w:tc>
          <w:tcPr>
            <w:tcW w:w="1890" w:type="dxa"/>
            <w:vMerge w:val="continue"/>
            <w:vAlign w:val="center"/>
          </w:tcPr>
          <w:p>
            <w:pPr>
              <w:widowControl/>
              <w:jc w:val="left"/>
              <w:rPr>
                <w:rFonts w:ascii="Times New Roman" w:hAnsi="Times New Roman" w:eastAsia="仿宋_GB2312" w:cs="Times New Roman"/>
                <w:kern w:val="0"/>
                <w:szCs w:val="21"/>
              </w:rPr>
            </w:pPr>
          </w:p>
        </w:tc>
        <w:tc>
          <w:tcPr>
            <w:tcW w:w="1859"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54" w:type="dxa"/>
            <w:gridSpan w:val="2"/>
            <w:vMerge w:val="continue"/>
            <w:vAlign w:val="center"/>
          </w:tcPr>
          <w:p>
            <w:pPr>
              <w:widowControl/>
              <w:jc w:val="left"/>
              <w:rPr>
                <w:rFonts w:ascii="Times New Roman" w:hAnsi="Times New Roman" w:eastAsia="仿宋_GB2312" w:cs="Times New Roman"/>
                <w:kern w:val="0"/>
                <w:szCs w:val="21"/>
              </w:rPr>
            </w:pPr>
          </w:p>
        </w:tc>
        <w:tc>
          <w:tcPr>
            <w:tcW w:w="1239" w:type="dxa"/>
            <w:vMerge w:val="continue"/>
            <w:vAlign w:val="center"/>
          </w:tcPr>
          <w:p>
            <w:pPr>
              <w:widowControl/>
              <w:jc w:val="left"/>
              <w:rPr>
                <w:rFonts w:ascii="Times New Roman" w:hAnsi="Times New Roman" w:eastAsia="仿宋_GB2312" w:cs="Times New Roman"/>
                <w:kern w:val="0"/>
                <w:szCs w:val="21"/>
              </w:rPr>
            </w:pPr>
          </w:p>
        </w:tc>
        <w:tc>
          <w:tcPr>
            <w:tcW w:w="1859" w:type="dxa"/>
            <w:vMerge w:val="continue"/>
            <w:vAlign w:val="center"/>
          </w:tcPr>
          <w:p>
            <w:pPr>
              <w:widowControl/>
              <w:jc w:val="left"/>
              <w:rPr>
                <w:rFonts w:ascii="Times New Roman" w:hAnsi="Times New Roman" w:eastAsia="仿宋_GB2312" w:cs="Times New Roman"/>
                <w:kern w:val="0"/>
                <w:szCs w:val="21"/>
              </w:rPr>
            </w:pPr>
          </w:p>
        </w:tc>
        <w:tc>
          <w:tcPr>
            <w:tcW w:w="1890" w:type="dxa"/>
            <w:vMerge w:val="continue"/>
            <w:vAlign w:val="center"/>
          </w:tcPr>
          <w:p>
            <w:pPr>
              <w:widowControl/>
              <w:jc w:val="left"/>
              <w:rPr>
                <w:rFonts w:ascii="Times New Roman" w:hAnsi="Times New Roman" w:eastAsia="仿宋_GB2312" w:cs="Times New Roman"/>
                <w:kern w:val="0"/>
                <w:szCs w:val="21"/>
              </w:rPr>
            </w:pPr>
          </w:p>
        </w:tc>
        <w:tc>
          <w:tcPr>
            <w:tcW w:w="1890" w:type="dxa"/>
            <w:vMerge w:val="continue"/>
            <w:vAlign w:val="center"/>
          </w:tcPr>
          <w:p>
            <w:pPr>
              <w:widowControl/>
              <w:jc w:val="left"/>
              <w:rPr>
                <w:rFonts w:ascii="Times New Roman" w:hAnsi="Times New Roman" w:eastAsia="仿宋_GB2312" w:cs="Times New Roman"/>
                <w:kern w:val="0"/>
                <w:szCs w:val="21"/>
              </w:rPr>
            </w:pPr>
          </w:p>
        </w:tc>
        <w:tc>
          <w:tcPr>
            <w:tcW w:w="1859" w:type="dxa"/>
            <w:vMerge w:val="continue"/>
            <w:vAlign w:val="center"/>
          </w:tcPr>
          <w:p>
            <w:pPr>
              <w:widowControl/>
              <w:jc w:val="left"/>
              <w:rPr>
                <w:rFonts w:ascii="Times New Roman" w:hAnsi="Times New Roman" w:eastAsia="仿宋_GB2312" w:cs="Times New Roman"/>
                <w:kern w:val="0"/>
                <w:szCs w:val="21"/>
              </w:rPr>
            </w:pPr>
          </w:p>
        </w:tc>
        <w:tc>
          <w:tcPr>
            <w:tcW w:w="1890" w:type="dxa"/>
            <w:vMerge w:val="continue"/>
            <w:vAlign w:val="center"/>
          </w:tcPr>
          <w:p>
            <w:pPr>
              <w:widowControl/>
              <w:jc w:val="left"/>
              <w:rPr>
                <w:rFonts w:ascii="Times New Roman" w:hAnsi="Times New Roman" w:eastAsia="仿宋_GB2312" w:cs="Times New Roman"/>
                <w:kern w:val="0"/>
                <w:szCs w:val="21"/>
              </w:rPr>
            </w:pPr>
          </w:p>
        </w:tc>
        <w:tc>
          <w:tcPr>
            <w:tcW w:w="1859"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93"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1859"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1890"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1890"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c>
          <w:tcPr>
            <w:tcW w:w="1859"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w:t>
            </w:r>
          </w:p>
        </w:tc>
        <w:tc>
          <w:tcPr>
            <w:tcW w:w="1890"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w:t>
            </w:r>
          </w:p>
        </w:tc>
        <w:tc>
          <w:tcPr>
            <w:tcW w:w="1859"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93"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1859" w:type="dxa"/>
            <w:shd w:val="clear" w:color="auto" w:fill="auto"/>
            <w:vAlign w:val="center"/>
          </w:tcPr>
          <w:p>
            <w:pPr>
              <w:jc w:val="right"/>
              <w:rPr>
                <w:rFonts w:ascii="Times New Roman" w:hAnsi="Times New Roman" w:eastAsia="仿宋_GB2312" w:cs="Times New Roman"/>
                <w:kern w:val="0"/>
                <w:szCs w:val="21"/>
              </w:rPr>
            </w:pPr>
          </w:p>
        </w:tc>
        <w:tc>
          <w:tcPr>
            <w:tcW w:w="189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79.91</w:t>
            </w:r>
          </w:p>
        </w:tc>
        <w:tc>
          <w:tcPr>
            <w:tcW w:w="189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79.91</w:t>
            </w:r>
          </w:p>
        </w:tc>
        <w:tc>
          <w:tcPr>
            <w:tcW w:w="1859" w:type="dxa"/>
            <w:shd w:val="clear" w:color="auto" w:fill="auto"/>
            <w:vAlign w:val="center"/>
          </w:tcPr>
          <w:p>
            <w:pPr>
              <w:jc w:val="right"/>
              <w:rPr>
                <w:rFonts w:ascii="Times New Roman" w:hAnsi="Times New Roman" w:eastAsia="仿宋_GB2312" w:cs="Times New Roman"/>
                <w:kern w:val="0"/>
                <w:szCs w:val="21"/>
              </w:rPr>
            </w:pPr>
          </w:p>
        </w:tc>
        <w:tc>
          <w:tcPr>
            <w:tcW w:w="189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79.91</w:t>
            </w:r>
          </w:p>
        </w:tc>
        <w:tc>
          <w:tcPr>
            <w:tcW w:w="1859"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w:t>
            </w:r>
          </w:p>
        </w:tc>
        <w:tc>
          <w:tcPr>
            <w:tcW w:w="2207"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其他支出</w:t>
            </w:r>
          </w:p>
        </w:tc>
        <w:tc>
          <w:tcPr>
            <w:tcW w:w="1859" w:type="dxa"/>
            <w:shd w:val="clear" w:color="auto" w:fill="auto"/>
            <w:vAlign w:val="center"/>
          </w:tcPr>
          <w:p>
            <w:pPr>
              <w:jc w:val="right"/>
              <w:rPr>
                <w:rFonts w:ascii="Times New Roman" w:hAnsi="Times New Roman" w:eastAsia="仿宋_GB2312" w:cs="Times New Roman"/>
                <w:kern w:val="0"/>
                <w:szCs w:val="21"/>
              </w:rPr>
            </w:pPr>
          </w:p>
        </w:tc>
        <w:tc>
          <w:tcPr>
            <w:tcW w:w="189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79.91</w:t>
            </w:r>
          </w:p>
        </w:tc>
        <w:tc>
          <w:tcPr>
            <w:tcW w:w="189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79.91</w:t>
            </w:r>
          </w:p>
        </w:tc>
        <w:tc>
          <w:tcPr>
            <w:tcW w:w="1859" w:type="dxa"/>
            <w:shd w:val="clear" w:color="auto" w:fill="auto"/>
            <w:vAlign w:val="center"/>
          </w:tcPr>
          <w:p>
            <w:pPr>
              <w:jc w:val="right"/>
              <w:rPr>
                <w:rFonts w:ascii="Times New Roman" w:hAnsi="Times New Roman" w:eastAsia="仿宋_GB2312" w:cs="Times New Roman"/>
                <w:kern w:val="0"/>
                <w:szCs w:val="21"/>
              </w:rPr>
            </w:pPr>
          </w:p>
        </w:tc>
        <w:tc>
          <w:tcPr>
            <w:tcW w:w="189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79.91</w:t>
            </w:r>
          </w:p>
        </w:tc>
        <w:tc>
          <w:tcPr>
            <w:tcW w:w="1859"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22960</w:t>
            </w:r>
          </w:p>
        </w:tc>
        <w:tc>
          <w:tcPr>
            <w:tcW w:w="2207"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859" w:type="dxa"/>
            <w:shd w:val="clear" w:color="auto" w:fill="auto"/>
            <w:vAlign w:val="center"/>
          </w:tcPr>
          <w:p>
            <w:pPr>
              <w:jc w:val="right"/>
              <w:rPr>
                <w:rFonts w:ascii="Times New Roman" w:hAnsi="Times New Roman" w:eastAsia="仿宋_GB2312" w:cs="Times New Roman"/>
                <w:kern w:val="0"/>
                <w:szCs w:val="21"/>
              </w:rPr>
            </w:pPr>
          </w:p>
        </w:tc>
        <w:tc>
          <w:tcPr>
            <w:tcW w:w="189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79.91</w:t>
            </w:r>
          </w:p>
        </w:tc>
        <w:tc>
          <w:tcPr>
            <w:tcW w:w="189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79.91</w:t>
            </w:r>
          </w:p>
        </w:tc>
        <w:tc>
          <w:tcPr>
            <w:tcW w:w="1859" w:type="dxa"/>
            <w:shd w:val="clear" w:color="auto" w:fill="auto"/>
            <w:vAlign w:val="center"/>
          </w:tcPr>
          <w:p>
            <w:pPr>
              <w:jc w:val="right"/>
              <w:rPr>
                <w:rFonts w:ascii="Times New Roman" w:hAnsi="Times New Roman" w:eastAsia="仿宋_GB2312" w:cs="Times New Roman"/>
                <w:kern w:val="0"/>
                <w:szCs w:val="21"/>
              </w:rPr>
            </w:pPr>
          </w:p>
        </w:tc>
        <w:tc>
          <w:tcPr>
            <w:tcW w:w="189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79.91</w:t>
            </w:r>
          </w:p>
        </w:tc>
        <w:tc>
          <w:tcPr>
            <w:tcW w:w="1859"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2296013</w:t>
            </w:r>
          </w:p>
        </w:tc>
        <w:tc>
          <w:tcPr>
            <w:tcW w:w="2207"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用于城乡医疗救助的彩票公益金支出</w:t>
            </w:r>
          </w:p>
        </w:tc>
        <w:tc>
          <w:tcPr>
            <w:tcW w:w="1859" w:type="dxa"/>
            <w:shd w:val="clear" w:color="auto" w:fill="auto"/>
            <w:vAlign w:val="center"/>
          </w:tcPr>
          <w:p>
            <w:pPr>
              <w:jc w:val="right"/>
              <w:rPr>
                <w:rFonts w:ascii="Times New Roman" w:hAnsi="Times New Roman" w:eastAsia="仿宋_GB2312" w:cs="Times New Roman"/>
                <w:kern w:val="0"/>
                <w:szCs w:val="21"/>
              </w:rPr>
            </w:pPr>
          </w:p>
        </w:tc>
        <w:tc>
          <w:tcPr>
            <w:tcW w:w="189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79.91</w:t>
            </w:r>
          </w:p>
        </w:tc>
        <w:tc>
          <w:tcPr>
            <w:tcW w:w="189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79.91</w:t>
            </w:r>
          </w:p>
        </w:tc>
        <w:tc>
          <w:tcPr>
            <w:tcW w:w="1859" w:type="dxa"/>
            <w:shd w:val="clear" w:color="auto" w:fill="auto"/>
            <w:vAlign w:val="center"/>
          </w:tcPr>
          <w:p>
            <w:pPr>
              <w:jc w:val="right"/>
              <w:rPr>
                <w:rFonts w:ascii="Times New Roman" w:hAnsi="Times New Roman" w:eastAsia="仿宋_GB2312" w:cs="Times New Roman"/>
                <w:kern w:val="0"/>
                <w:szCs w:val="21"/>
              </w:rPr>
            </w:pPr>
          </w:p>
        </w:tc>
        <w:tc>
          <w:tcPr>
            <w:tcW w:w="189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79.91</w:t>
            </w:r>
          </w:p>
        </w:tc>
        <w:tc>
          <w:tcPr>
            <w:tcW w:w="1859"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8"/>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道县医疗保障局</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ind w:left="480" w:hanging="480" w:hangingChars="20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注：本表反映部门本年度国有资本经营预算财政拨款支出情况。</w:t>
            </w:r>
            <w:r>
              <w:rPr>
                <w:rFonts w:hint="eastAsia" w:ascii="宋体" w:hAnsi="宋体" w:eastAsia="宋体" w:cs="宋体"/>
                <w:kern w:val="0"/>
                <w:sz w:val="24"/>
                <w:szCs w:val="24"/>
                <w:lang w:val="en-US" w:eastAsia="zh-CN"/>
              </w:rPr>
              <w:t xml:space="preserve">                                                             道县医疗保障局无</w:t>
            </w:r>
            <w:r>
              <w:rPr>
                <w:rFonts w:hint="eastAsia" w:ascii="宋体" w:hAnsi="宋体" w:eastAsia="宋体" w:cs="宋体"/>
                <w:kern w:val="0"/>
                <w:sz w:val="24"/>
                <w:szCs w:val="24"/>
              </w:rPr>
              <w:t>国有资本经营</w:t>
            </w:r>
            <w:r>
              <w:rPr>
                <w:rFonts w:hint="eastAsia" w:ascii="宋体" w:hAnsi="宋体" w:eastAsia="宋体" w:cs="宋体"/>
                <w:kern w:val="0"/>
                <w:sz w:val="24"/>
                <w:szCs w:val="24"/>
                <w:lang w:val="en-US" w:eastAsia="zh-CN"/>
              </w:rPr>
              <w:t>收入，也没有安排</w:t>
            </w:r>
            <w:r>
              <w:rPr>
                <w:rFonts w:hint="eastAsia" w:ascii="宋体" w:hAnsi="宋体" w:eastAsia="宋体" w:cs="宋体"/>
                <w:kern w:val="0"/>
                <w:sz w:val="24"/>
                <w:szCs w:val="24"/>
              </w:rPr>
              <w:t>国有资本经营</w:t>
            </w:r>
            <w:r>
              <w:rPr>
                <w:rFonts w:hint="eastAsia" w:ascii="宋体" w:hAnsi="宋体" w:eastAsia="宋体" w:cs="宋体"/>
                <w:kern w:val="0"/>
                <w:sz w:val="24"/>
                <w:szCs w:val="24"/>
                <w:lang w:val="en-US" w:eastAsia="zh-CN"/>
              </w:rPr>
              <w:t>支出，故本表无数据。</w:t>
            </w:r>
          </w:p>
        </w:tc>
      </w:tr>
    </w:tbl>
    <w:p>
      <w:pPr>
        <w:pStyle w:val="12"/>
        <w:rPr>
          <w:sz w:val="72"/>
          <w:szCs w:val="72"/>
        </w:rPr>
        <w:sectPr>
          <w:pgSz w:w="16838" w:h="11906" w:orient="landscape"/>
          <w:pgMar w:top="720" w:right="720" w:bottom="720" w:left="720" w:header="851" w:footer="992" w:gutter="0"/>
          <w:cols w:space="425"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第三部分</w:t>
      </w:r>
    </w:p>
    <w:p>
      <w:pPr>
        <w:pStyle w:val="12"/>
        <w:jc w:val="center"/>
        <w:rPr>
          <w:sz w:val="70"/>
          <w:szCs w:val="70"/>
        </w:rPr>
      </w:pPr>
    </w:p>
    <w:p>
      <w:pPr>
        <w:pStyle w:val="12"/>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asciiTheme="minorEastAsia" w:hAnsiTheme="minorEastAsia" w:eastAsiaTheme="minorEastAsia"/>
          <w:sz w:val="32"/>
          <w:szCs w:val="32"/>
        </w:rPr>
      </w:pPr>
    </w:p>
    <w:p>
      <w:pPr>
        <w:pStyle w:val="12"/>
        <w:ind w:firstLine="640" w:firstLineChars="200"/>
        <w:rPr>
          <w:rFonts w:hAnsi="黑体"/>
          <w:b/>
          <w:sz w:val="32"/>
          <w:szCs w:val="32"/>
        </w:rPr>
      </w:pPr>
      <w:r>
        <w:rPr>
          <w:rFonts w:hint="eastAsia" w:hAnsi="黑体"/>
          <w:b/>
          <w:sz w:val="32"/>
          <w:szCs w:val="32"/>
        </w:rPr>
        <w:t>一、收入支出决算总体情况说明</w:t>
      </w:r>
    </w:p>
    <w:p>
      <w:pPr>
        <w:pStyle w:val="12"/>
        <w:ind w:firstLine="640" w:firstLineChars="200"/>
        <w:rPr>
          <w:rFonts w:hint="default"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2021年度收入总计40053.81万元、支出总计40220.78万元。与上年相比，收入增加244.51万元，增长0.61%，主要是因为城乡居民基本医疗保险基金收支比上年增加。</w:t>
      </w:r>
    </w:p>
    <w:p>
      <w:pPr>
        <w:pStyle w:val="12"/>
        <w:ind w:firstLine="640" w:firstLineChars="200"/>
        <w:rPr>
          <w:rFonts w:hAnsi="黑体"/>
          <w:b/>
          <w:sz w:val="32"/>
          <w:szCs w:val="32"/>
        </w:rPr>
      </w:pPr>
      <w:r>
        <w:rPr>
          <w:rFonts w:hint="eastAsia" w:hAnsi="黑体"/>
          <w:b/>
          <w:sz w:val="32"/>
          <w:szCs w:val="32"/>
        </w:rPr>
        <w:t>二、收入决算情况说明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cstheme="minorBidi"/>
          <w:bCs/>
          <w:color w:val="auto"/>
          <w:kern w:val="0"/>
          <w:sz w:val="32"/>
          <w:szCs w:val="32"/>
          <w:lang w:val="en-US" w:eastAsia="zh-CN" w:bidi="ar-SA"/>
        </w:rPr>
        <w:t>2021年度收入合计40053.81万元，其中：财政拨款收入40053.81万元，占100%；上级补助收入0万元，占0%；事业收入0万元，占0%；经营收入0万元，占0%；附属单位上缴收入0万元，占0%；其他收入0万元，占0%。</w:t>
      </w:r>
    </w:p>
    <w:p>
      <w:pPr>
        <w:pStyle w:val="12"/>
        <w:ind w:firstLine="640" w:firstLineChars="200"/>
        <w:rPr>
          <w:rFonts w:hAnsi="黑体"/>
          <w:b/>
          <w:sz w:val="32"/>
          <w:szCs w:val="32"/>
        </w:rPr>
      </w:pPr>
      <w:r>
        <w:rPr>
          <w:rFonts w:hint="eastAsia" w:hAnsi="黑体"/>
          <w:b/>
          <w:sz w:val="32"/>
          <w:szCs w:val="32"/>
        </w:rPr>
        <w:t>三、支出决算情况说明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highlight w:val="none"/>
          <w:lang w:val="en-US" w:eastAsia="zh-CN"/>
        </w:rPr>
        <w:t>40220.78</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38511.61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95.75</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1709.16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4.25</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numPr>
          <w:ilvl w:val="0"/>
          <w:numId w:val="2"/>
        </w:numPr>
        <w:ind w:firstLine="640" w:firstLineChars="200"/>
        <w:rPr>
          <w:rFonts w:hint="eastAsia" w:hAnsi="黑体"/>
          <w:b/>
          <w:sz w:val="32"/>
          <w:szCs w:val="32"/>
        </w:rPr>
      </w:pPr>
      <w:r>
        <w:rPr>
          <w:rFonts w:hint="eastAsia" w:hAnsi="黑体"/>
          <w:b/>
          <w:sz w:val="32"/>
          <w:szCs w:val="32"/>
        </w:rPr>
        <w:t>财政拨款收入支出决算总体情况说明</w:t>
      </w:r>
    </w:p>
    <w:p>
      <w:pPr>
        <w:pStyle w:val="12"/>
        <w:ind w:firstLine="640" w:firstLineChars="200"/>
        <w:rPr>
          <w:rFonts w:hint="default"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2021年度财政拨款收入总计40053.81万元、支出总计40220.78万元。与上年相比，收入增加244.51万元，增长0.61%，主要是因为城乡居民基本医疗保险基金收入比上年增加。</w:t>
      </w:r>
    </w:p>
    <w:p>
      <w:pPr>
        <w:pStyle w:val="12"/>
        <w:ind w:firstLine="640" w:firstLineChars="200"/>
        <w:rPr>
          <w:rFonts w:hAnsi="黑体"/>
          <w:b/>
          <w:sz w:val="32"/>
          <w:szCs w:val="32"/>
        </w:rPr>
      </w:pPr>
      <w:r>
        <w:rPr>
          <w:rFonts w:hint="eastAsia" w:hAnsi="黑体"/>
          <w:b/>
          <w:sz w:val="32"/>
          <w:szCs w:val="32"/>
        </w:rPr>
        <w:t>五、一般公共预算财政拨款支出决算情况说明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40140.87</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99.80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481.24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1.21</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highlight w:val="none"/>
          <w:lang w:val="en-US" w:eastAsia="zh-CN"/>
        </w:rPr>
        <w:t>城乡居民基本医疗保险基金支出比上年增加。</w:t>
      </w:r>
    </w:p>
    <w:p>
      <w:pPr>
        <w:pStyle w:val="12"/>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2"/>
        <w:ind w:firstLine="640" w:firstLineChars="200"/>
        <w:rPr>
          <w:rFonts w:hint="eastAsia" w:ascii="宋体" w:hAnsi="宋体" w:eastAsia="宋体" w:cs="宋体"/>
          <w:i w:val="0"/>
          <w:iCs w:val="0"/>
          <w:caps w:val="0"/>
          <w:color w:val="000000"/>
          <w:spacing w:val="0"/>
          <w:sz w:val="27"/>
          <w:szCs w:val="27"/>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40140.87</w:t>
      </w:r>
      <w:r>
        <w:rPr>
          <w:rFonts w:hint="eastAsia" w:asciiTheme="minorEastAsia" w:hAnsiTheme="minorEastAsia" w:eastAsiaTheme="minorEastAsia"/>
          <w:sz w:val="32"/>
          <w:szCs w:val="32"/>
        </w:rPr>
        <w:t>万元，主要用于以下方面：</w:t>
      </w:r>
      <w:r>
        <w:rPr>
          <w:rFonts w:hint="eastAsia" w:ascii="宋体" w:hAnsi="宋体" w:eastAsia="宋体" w:cs="宋体"/>
          <w:i w:val="0"/>
          <w:iCs w:val="0"/>
          <w:caps w:val="0"/>
          <w:color w:val="000000"/>
          <w:spacing w:val="0"/>
          <w:sz w:val="32"/>
          <w:szCs w:val="32"/>
        </w:rPr>
        <w:t>一般公共服务支出</w:t>
      </w:r>
      <w:r>
        <w:rPr>
          <w:rFonts w:hint="eastAsia" w:ascii="宋体" w:hAnsi="宋体" w:eastAsia="宋体" w:cs="宋体"/>
          <w:i w:val="0"/>
          <w:iCs w:val="0"/>
          <w:caps w:val="0"/>
          <w:color w:val="000000"/>
          <w:spacing w:val="0"/>
          <w:sz w:val="32"/>
          <w:szCs w:val="32"/>
          <w:lang w:val="en-US" w:eastAsia="zh-CN"/>
        </w:rPr>
        <w:t>31.79</w:t>
      </w:r>
      <w:r>
        <w:rPr>
          <w:rFonts w:hint="eastAsia" w:ascii="宋体" w:hAnsi="宋体" w:eastAsia="宋体" w:cs="宋体"/>
          <w:i w:val="0"/>
          <w:iCs w:val="0"/>
          <w:caps w:val="0"/>
          <w:color w:val="000000"/>
          <w:spacing w:val="0"/>
          <w:sz w:val="32"/>
          <w:szCs w:val="32"/>
        </w:rPr>
        <w:t>万元，占</w:t>
      </w:r>
      <w:r>
        <w:rPr>
          <w:rFonts w:hint="eastAsia" w:ascii="宋体" w:hAnsi="宋体" w:eastAsia="宋体" w:cs="宋体"/>
          <w:i w:val="0"/>
          <w:iCs w:val="0"/>
          <w:caps w:val="0"/>
          <w:color w:val="000000"/>
          <w:spacing w:val="0"/>
          <w:sz w:val="32"/>
          <w:szCs w:val="32"/>
          <w:lang w:val="en-US" w:eastAsia="zh-CN"/>
        </w:rPr>
        <w:t>0.08</w:t>
      </w:r>
      <w:r>
        <w:rPr>
          <w:rFonts w:hint="eastAsia" w:ascii="宋体" w:hAnsi="宋体" w:eastAsia="宋体" w:cs="宋体"/>
          <w:i w:val="0"/>
          <w:iCs w:val="0"/>
          <w:caps w:val="0"/>
          <w:color w:val="000000"/>
          <w:spacing w:val="0"/>
          <w:sz w:val="32"/>
          <w:szCs w:val="32"/>
        </w:rPr>
        <w:t>%；社会保障和就业支出</w:t>
      </w:r>
      <w:r>
        <w:rPr>
          <w:rFonts w:hint="eastAsia" w:ascii="宋体" w:hAnsi="宋体" w:eastAsia="宋体" w:cs="宋体"/>
          <w:i w:val="0"/>
          <w:iCs w:val="0"/>
          <w:caps w:val="0"/>
          <w:color w:val="000000"/>
          <w:spacing w:val="0"/>
          <w:sz w:val="32"/>
          <w:szCs w:val="32"/>
          <w:lang w:val="en-US" w:eastAsia="zh-CN"/>
        </w:rPr>
        <w:t>264.39</w:t>
      </w:r>
      <w:r>
        <w:rPr>
          <w:rFonts w:hint="eastAsia" w:ascii="宋体" w:hAnsi="宋体" w:eastAsia="宋体" w:cs="宋体"/>
          <w:i w:val="0"/>
          <w:iCs w:val="0"/>
          <w:caps w:val="0"/>
          <w:color w:val="000000"/>
          <w:spacing w:val="0"/>
          <w:sz w:val="32"/>
          <w:szCs w:val="32"/>
        </w:rPr>
        <w:t>万元，占0.</w:t>
      </w:r>
      <w:r>
        <w:rPr>
          <w:rFonts w:hint="eastAsia" w:ascii="宋体" w:hAnsi="宋体" w:eastAsia="宋体" w:cs="宋体"/>
          <w:i w:val="0"/>
          <w:iCs w:val="0"/>
          <w:caps w:val="0"/>
          <w:color w:val="000000"/>
          <w:spacing w:val="0"/>
          <w:sz w:val="32"/>
          <w:szCs w:val="32"/>
          <w:lang w:val="en-US" w:eastAsia="zh-CN"/>
        </w:rPr>
        <w:t>66</w:t>
      </w:r>
      <w:r>
        <w:rPr>
          <w:rFonts w:hint="eastAsia" w:ascii="宋体" w:hAnsi="宋体" w:eastAsia="宋体" w:cs="宋体"/>
          <w:i w:val="0"/>
          <w:iCs w:val="0"/>
          <w:caps w:val="0"/>
          <w:color w:val="000000"/>
          <w:spacing w:val="0"/>
          <w:sz w:val="32"/>
          <w:szCs w:val="32"/>
        </w:rPr>
        <w:t>%；卫生健康支出</w:t>
      </w:r>
      <w:r>
        <w:rPr>
          <w:rFonts w:hint="eastAsia" w:ascii="宋体" w:hAnsi="宋体" w:eastAsia="宋体" w:cs="宋体"/>
          <w:i w:val="0"/>
          <w:iCs w:val="0"/>
          <w:caps w:val="0"/>
          <w:color w:val="000000"/>
          <w:spacing w:val="0"/>
          <w:sz w:val="32"/>
          <w:szCs w:val="32"/>
          <w:lang w:val="en-US" w:eastAsia="zh-CN"/>
        </w:rPr>
        <w:t>39844.69</w:t>
      </w:r>
      <w:r>
        <w:rPr>
          <w:rFonts w:hint="eastAsia" w:ascii="宋体" w:hAnsi="宋体" w:eastAsia="宋体" w:cs="宋体"/>
          <w:i w:val="0"/>
          <w:iCs w:val="0"/>
          <w:caps w:val="0"/>
          <w:color w:val="000000"/>
          <w:spacing w:val="0"/>
          <w:sz w:val="32"/>
          <w:szCs w:val="32"/>
        </w:rPr>
        <w:t>万元，占</w:t>
      </w:r>
      <w:r>
        <w:rPr>
          <w:rFonts w:hint="eastAsia" w:ascii="宋体" w:hAnsi="宋体" w:eastAsia="宋体" w:cs="宋体"/>
          <w:i w:val="0"/>
          <w:iCs w:val="0"/>
          <w:caps w:val="0"/>
          <w:color w:val="000000"/>
          <w:spacing w:val="0"/>
          <w:sz w:val="32"/>
          <w:szCs w:val="32"/>
          <w:lang w:val="en-US" w:eastAsia="zh-CN"/>
        </w:rPr>
        <w:t>99.26</w:t>
      </w:r>
      <w:r>
        <w:rPr>
          <w:rFonts w:hint="eastAsia" w:ascii="宋体" w:hAnsi="宋体" w:eastAsia="宋体" w:cs="宋体"/>
          <w:i w:val="0"/>
          <w:iCs w:val="0"/>
          <w:caps w:val="0"/>
          <w:color w:val="000000"/>
          <w:spacing w:val="0"/>
          <w:sz w:val="32"/>
          <w:szCs w:val="32"/>
        </w:rPr>
        <w:t>%。</w:t>
      </w:r>
      <w:r>
        <w:rPr>
          <w:rFonts w:hint="eastAsia" w:ascii="宋体" w:hAnsi="宋体" w:eastAsia="宋体" w:cs="宋体"/>
          <w:i w:val="0"/>
          <w:iCs w:val="0"/>
          <w:caps w:val="0"/>
          <w:color w:val="000000"/>
          <w:spacing w:val="0"/>
          <w:sz w:val="27"/>
          <w:szCs w:val="27"/>
        </w:rPr>
        <w:t> </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5191.34</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40140.87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773.23</w:t>
      </w:r>
      <w:r>
        <w:rPr>
          <w:rFonts w:hint="eastAsia" w:asciiTheme="minorEastAsia" w:hAnsiTheme="minorEastAsia" w:eastAsiaTheme="minorEastAsia"/>
          <w:sz w:val="32"/>
          <w:szCs w:val="32"/>
        </w:rPr>
        <w:t>%，其中：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1、一般公共服务支出（类）政府办公厅（室）及相关机构事务（款）行政运行（项）。</w:t>
      </w:r>
    </w:p>
    <w:p>
      <w:pPr>
        <w:pStyle w:val="12"/>
        <w:ind w:firstLine="800" w:firstLineChars="250"/>
        <w:rPr>
          <w:rFonts w:hint="eastAsia" w:ascii="宋体" w:hAnsi="宋体" w:cs="宋体" w:eastAsiaTheme="minorEastAsia"/>
          <w:i w:val="0"/>
          <w:iCs w:val="0"/>
          <w:caps w:val="0"/>
          <w:color w:val="000000"/>
          <w:spacing w:val="0"/>
          <w:sz w:val="25"/>
          <w:szCs w:val="25"/>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27.65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无法计算完成比率</w:t>
      </w:r>
      <w:r>
        <w:rPr>
          <w:rFonts w:hint="eastAsia" w:asciiTheme="minorEastAsia" w:hAnsiTheme="minorEastAsia" w:eastAsiaTheme="minorEastAsia"/>
          <w:sz w:val="32"/>
          <w:szCs w:val="32"/>
        </w:rPr>
        <w:t>，决算数大于年初预算数的主要原因是：依据实际情况发放</w:t>
      </w:r>
      <w:r>
        <w:rPr>
          <w:rFonts w:hint="eastAsia" w:asciiTheme="minorEastAsia" w:hAnsiTheme="minorEastAsia" w:eastAsiaTheme="minorEastAsia"/>
          <w:sz w:val="32"/>
          <w:szCs w:val="32"/>
          <w:lang w:val="en-US" w:eastAsia="zh-CN"/>
        </w:rPr>
        <w:t>事业</w:t>
      </w:r>
      <w:r>
        <w:rPr>
          <w:rFonts w:hint="eastAsia" w:asciiTheme="minorEastAsia" w:hAnsiTheme="minorEastAsia" w:eastAsiaTheme="minorEastAsia"/>
          <w:sz w:val="32"/>
          <w:szCs w:val="32"/>
        </w:rPr>
        <w:t>30%绩效</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奖金</w:t>
      </w:r>
      <w:r>
        <w:rPr>
          <w:rFonts w:hint="eastAsia" w:asciiTheme="minorEastAsia" w:hAnsiTheme="minorEastAsia" w:eastAsiaTheme="minorEastAsia"/>
          <w:sz w:val="32"/>
          <w:szCs w:val="32"/>
          <w:lang w:val="en-US" w:eastAsia="zh-CN"/>
        </w:rPr>
        <w:t>和缴纳职工医疗、养老保险金。</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2、一般公共服务支出（类）政府办公厅（室）及相关机构事务（款）其他政府办公厅（室）及相关机构事务支出（项）。</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4.14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无法计算完成比率</w:t>
      </w:r>
      <w:r>
        <w:rPr>
          <w:rFonts w:hint="eastAsia" w:asciiTheme="minorEastAsia" w:hAnsiTheme="minorEastAsia" w:eastAsiaTheme="minorEastAsia"/>
          <w:sz w:val="32"/>
          <w:szCs w:val="32"/>
        </w:rPr>
        <w:t>，决算数大于年初预算数的主要原因是：依据</w:t>
      </w:r>
      <w:r>
        <w:rPr>
          <w:rFonts w:hint="eastAsia" w:asciiTheme="minorEastAsia" w:hAnsiTheme="minorEastAsia" w:eastAsiaTheme="minorEastAsia"/>
          <w:sz w:val="32"/>
          <w:szCs w:val="32"/>
          <w:lang w:val="en-US" w:eastAsia="zh-CN"/>
        </w:rPr>
        <w:t>相关考核</w:t>
      </w:r>
      <w:r>
        <w:rPr>
          <w:rFonts w:hint="eastAsia" w:asciiTheme="minorEastAsia" w:hAnsiTheme="minorEastAsia" w:eastAsiaTheme="minorEastAsia"/>
          <w:sz w:val="32"/>
          <w:szCs w:val="32"/>
        </w:rPr>
        <w:t>情况发放非税收入完成奖励</w:t>
      </w:r>
      <w:r>
        <w:rPr>
          <w:rFonts w:hint="eastAsia" w:asciiTheme="minorEastAsia" w:hAnsiTheme="minorEastAsia" w:eastAsiaTheme="minorEastAsia"/>
          <w:sz w:val="32"/>
          <w:szCs w:val="32"/>
          <w:lang w:val="en-US" w:eastAsia="zh-CN"/>
        </w:rPr>
        <w:t>和市绩效考核兑现奖励。</w:t>
      </w:r>
    </w:p>
    <w:p>
      <w:pPr>
        <w:pStyle w:val="7"/>
        <w:keepNext w:val="0"/>
        <w:keepLines w:val="0"/>
        <w:widowControl/>
        <w:suppressLineNumbers w:val="0"/>
        <w:spacing w:before="0" w:beforeAutospacing="0" w:after="1" w:afterAutospacing="0"/>
        <w:ind w:left="0" w:right="0" w:firstLine="641"/>
        <w:jc w:val="left"/>
        <w:rPr>
          <w:rFonts w:hint="eastAsia" w:ascii="宋体" w:hAnsi="宋体" w:eastAsia="宋体" w:cs="宋体"/>
          <w:i w:val="0"/>
          <w:iCs w:val="0"/>
          <w:caps w:val="0"/>
          <w:color w:val="000000"/>
          <w:spacing w:val="0"/>
          <w:sz w:val="27"/>
          <w:szCs w:val="27"/>
        </w:rPr>
      </w:pPr>
      <w:r>
        <w:rPr>
          <w:rFonts w:hint="eastAsia" w:cs="黑体" w:asciiTheme="minorEastAsia" w:hAnsiTheme="minorEastAsia"/>
          <w:color w:val="000000"/>
          <w:kern w:val="0"/>
          <w:sz w:val="32"/>
          <w:szCs w:val="32"/>
          <w:lang w:val="en-US" w:eastAsia="zh-CN" w:bidi="ar-SA"/>
        </w:rPr>
        <w:t>3</w:t>
      </w:r>
      <w:r>
        <w:rPr>
          <w:rFonts w:hint="eastAsia" w:cs="黑体" w:asciiTheme="minorEastAsia" w:hAnsiTheme="minorEastAsia" w:eastAsiaTheme="minorEastAsia"/>
          <w:color w:val="000000"/>
          <w:kern w:val="0"/>
          <w:sz w:val="32"/>
          <w:szCs w:val="32"/>
          <w:lang w:val="en-US" w:eastAsia="zh-CN" w:bidi="ar-SA"/>
        </w:rPr>
        <w:t>、社会保障和就业支出（类）行政事业单位养老支出（款）机关事业单位基本养老保险缴费支出（项）</w:t>
      </w:r>
      <w:r>
        <w:rPr>
          <w:rFonts w:hint="eastAsia" w:ascii="宋体" w:hAnsi="宋体" w:eastAsia="宋体" w:cs="宋体"/>
          <w:i w:val="0"/>
          <w:iCs w:val="0"/>
          <w:caps w:val="0"/>
          <w:color w:val="000000"/>
          <w:spacing w:val="0"/>
          <w:sz w:val="27"/>
          <w:szCs w:val="27"/>
        </w:rPr>
        <w:t> </w:t>
      </w:r>
    </w:p>
    <w:p>
      <w:pPr>
        <w:pStyle w:val="7"/>
        <w:keepNext w:val="0"/>
        <w:keepLines w:val="0"/>
        <w:widowControl/>
        <w:suppressLineNumbers w:val="0"/>
        <w:spacing w:before="0" w:beforeAutospacing="0" w:after="1" w:afterAutospacing="0"/>
        <w:ind w:left="0" w:right="0" w:firstLine="641"/>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年初预算为0万元，支出决算为</w:t>
      </w:r>
      <w:r>
        <w:rPr>
          <w:rFonts w:hint="eastAsia" w:ascii="宋体" w:hAnsi="宋体" w:eastAsia="宋体" w:cs="宋体"/>
          <w:i w:val="0"/>
          <w:iCs w:val="0"/>
          <w:caps w:val="0"/>
          <w:color w:val="000000"/>
          <w:spacing w:val="0"/>
          <w:sz w:val="32"/>
          <w:szCs w:val="32"/>
          <w:lang w:val="en-US" w:eastAsia="zh-CN"/>
        </w:rPr>
        <w:t>13</w:t>
      </w:r>
      <w:r>
        <w:rPr>
          <w:rFonts w:hint="eastAsia" w:ascii="宋体" w:hAnsi="宋体" w:eastAsia="宋体" w:cs="宋体"/>
          <w:i w:val="0"/>
          <w:iCs w:val="0"/>
          <w:caps w:val="0"/>
          <w:color w:val="000000"/>
          <w:spacing w:val="0"/>
          <w:sz w:val="32"/>
          <w:szCs w:val="32"/>
        </w:rPr>
        <w:t>万元，</w:t>
      </w:r>
      <w:r>
        <w:rPr>
          <w:rFonts w:hint="eastAsia" w:asciiTheme="minorEastAsia" w:hAnsiTheme="minorEastAsia" w:eastAsiaTheme="minorEastAsia"/>
          <w:sz w:val="32"/>
          <w:szCs w:val="32"/>
          <w:lang w:val="en-US" w:eastAsia="zh-CN"/>
        </w:rPr>
        <w:t>无法计算完成比率</w:t>
      </w:r>
      <w:r>
        <w:rPr>
          <w:rFonts w:hint="eastAsia" w:ascii="宋体" w:hAnsi="宋体" w:eastAsia="宋体" w:cs="宋体"/>
          <w:i w:val="0"/>
          <w:iCs w:val="0"/>
          <w:caps w:val="0"/>
          <w:color w:val="000000"/>
          <w:spacing w:val="0"/>
          <w:sz w:val="32"/>
          <w:szCs w:val="32"/>
          <w:lang w:eastAsia="zh-CN"/>
        </w:rPr>
        <w:t>，</w:t>
      </w:r>
      <w:r>
        <w:rPr>
          <w:rFonts w:hint="eastAsia" w:ascii="宋体" w:hAnsi="宋体" w:eastAsia="宋体" w:cs="宋体"/>
          <w:i w:val="0"/>
          <w:iCs w:val="0"/>
          <w:caps w:val="0"/>
          <w:color w:val="000000"/>
          <w:spacing w:val="0"/>
          <w:sz w:val="32"/>
          <w:szCs w:val="32"/>
        </w:rPr>
        <w:t>决算数大于年初预算数的主要原因是：</w:t>
      </w:r>
      <w:r>
        <w:rPr>
          <w:rFonts w:hint="eastAsia" w:ascii="宋体" w:hAnsi="宋体" w:eastAsia="宋体" w:cs="宋体"/>
          <w:i w:val="0"/>
          <w:iCs w:val="0"/>
          <w:caps w:val="0"/>
          <w:color w:val="000000"/>
          <w:spacing w:val="0"/>
          <w:sz w:val="32"/>
          <w:szCs w:val="32"/>
          <w:lang w:val="en-US" w:eastAsia="zh-CN"/>
        </w:rPr>
        <w:t>年初预算列</w:t>
      </w:r>
      <w:r>
        <w:rPr>
          <w:rFonts w:hint="eastAsia" w:ascii="宋体" w:hAnsi="宋体" w:eastAsia="宋体" w:cs="宋体"/>
          <w:i w:val="0"/>
          <w:iCs w:val="0"/>
          <w:caps w:val="0"/>
          <w:color w:val="000000"/>
          <w:spacing w:val="0"/>
          <w:sz w:val="32"/>
          <w:szCs w:val="32"/>
        </w:rPr>
        <w:t>卫生健康支出（类）医疗保障管理事务（款）行政运行（项）</w:t>
      </w:r>
      <w:r>
        <w:rPr>
          <w:rFonts w:hint="eastAsia" w:ascii="宋体" w:hAnsi="宋体" w:eastAsia="宋体" w:cs="宋体"/>
          <w:i w:val="0"/>
          <w:iCs w:val="0"/>
          <w:caps w:val="0"/>
          <w:color w:val="000000"/>
          <w:spacing w:val="0"/>
          <w:sz w:val="32"/>
          <w:szCs w:val="32"/>
          <w:lang w:eastAsia="zh-CN"/>
        </w:rPr>
        <w:t>，</w:t>
      </w:r>
      <w:r>
        <w:rPr>
          <w:rFonts w:hint="eastAsia" w:ascii="宋体" w:hAnsi="宋体" w:eastAsia="宋体" w:cs="宋体"/>
          <w:i w:val="0"/>
          <w:iCs w:val="0"/>
          <w:caps w:val="0"/>
          <w:color w:val="000000"/>
          <w:spacing w:val="0"/>
          <w:sz w:val="32"/>
          <w:szCs w:val="32"/>
        </w:rPr>
        <w:t>实际支出时单列</w:t>
      </w:r>
      <w:r>
        <w:rPr>
          <w:rFonts w:hint="eastAsia" w:ascii="宋体" w:hAnsi="宋体" w:eastAsia="宋体" w:cs="宋体"/>
          <w:i w:val="0"/>
          <w:iCs w:val="0"/>
          <w:caps w:val="0"/>
          <w:color w:val="000000"/>
          <w:spacing w:val="0"/>
          <w:sz w:val="32"/>
          <w:szCs w:val="32"/>
          <w:lang w:eastAsia="zh-CN"/>
        </w:rPr>
        <w:t>“</w:t>
      </w:r>
      <w:r>
        <w:rPr>
          <w:rFonts w:hint="eastAsia" w:cs="黑体" w:asciiTheme="minorEastAsia" w:hAnsiTheme="minorEastAsia" w:eastAsiaTheme="minorEastAsia"/>
          <w:color w:val="000000"/>
          <w:kern w:val="0"/>
          <w:sz w:val="32"/>
          <w:szCs w:val="32"/>
          <w:lang w:val="en-US" w:eastAsia="zh-CN" w:bidi="ar-SA"/>
        </w:rPr>
        <w:t>机关事业单位基本养老保险缴费支出（项）</w:t>
      </w:r>
      <w:r>
        <w:rPr>
          <w:rFonts w:hint="eastAsia" w:cs="黑体" w:asciiTheme="minorEastAsia" w:hAnsiTheme="minorEastAsia"/>
          <w:color w:val="000000"/>
          <w:kern w:val="0"/>
          <w:sz w:val="32"/>
          <w:szCs w:val="32"/>
          <w:lang w:val="en-US" w:eastAsia="zh-CN" w:bidi="ar-SA"/>
        </w:rPr>
        <w:t>”</w:t>
      </w:r>
      <w:r>
        <w:rPr>
          <w:rFonts w:hint="eastAsia" w:ascii="宋体" w:hAnsi="宋体" w:eastAsia="宋体" w:cs="宋体"/>
          <w:i w:val="0"/>
          <w:iCs w:val="0"/>
          <w:caps w:val="0"/>
          <w:color w:val="000000"/>
          <w:spacing w:val="0"/>
          <w:sz w:val="32"/>
          <w:szCs w:val="32"/>
        </w:rPr>
        <w:t>。</w:t>
      </w:r>
    </w:p>
    <w:p>
      <w:pPr>
        <w:pStyle w:val="7"/>
        <w:keepNext w:val="0"/>
        <w:keepLines w:val="0"/>
        <w:widowControl/>
        <w:suppressLineNumbers w:val="0"/>
        <w:spacing w:before="0" w:beforeAutospacing="0" w:after="1" w:afterAutospacing="0"/>
        <w:ind w:left="0" w:right="0" w:firstLine="641"/>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color w:val="000000"/>
          <w:kern w:val="0"/>
          <w:sz w:val="32"/>
          <w:szCs w:val="32"/>
          <w:lang w:val="en-US" w:eastAsia="zh-CN" w:bidi="ar-SA"/>
        </w:rPr>
        <w:t>4</w:t>
      </w:r>
      <w:r>
        <w:rPr>
          <w:rFonts w:hint="eastAsia" w:cs="黑体" w:asciiTheme="minorEastAsia" w:hAnsiTheme="minorEastAsia" w:eastAsiaTheme="minorEastAsia"/>
          <w:color w:val="000000"/>
          <w:kern w:val="0"/>
          <w:sz w:val="32"/>
          <w:szCs w:val="32"/>
          <w:lang w:val="en-US" w:eastAsia="zh-CN" w:bidi="ar-SA"/>
        </w:rPr>
        <w:t>、社会保障和就业支出（类）其他社会保障和就业支出（款）其他社会保障和就业支出（项） </w:t>
      </w:r>
    </w:p>
    <w:p>
      <w:pPr>
        <w:pStyle w:val="7"/>
        <w:keepNext w:val="0"/>
        <w:keepLines w:val="0"/>
        <w:widowControl/>
        <w:suppressLineNumbers w:val="0"/>
        <w:spacing w:before="0" w:beforeAutospacing="0" w:after="1" w:afterAutospacing="0"/>
        <w:ind w:left="0" w:right="0" w:firstLine="641"/>
        <w:jc w:val="left"/>
        <w:rPr>
          <w:rFonts w:hint="eastAsia" w:ascii="宋体" w:hAnsi="宋体" w:eastAsia="宋体" w:cs="宋体"/>
          <w:i w:val="0"/>
          <w:iCs w:val="0"/>
          <w:caps w:val="0"/>
          <w:color w:val="000000"/>
          <w:spacing w:val="0"/>
          <w:sz w:val="27"/>
          <w:szCs w:val="27"/>
        </w:rPr>
      </w:pPr>
      <w:r>
        <w:rPr>
          <w:rFonts w:hint="eastAsia" w:cs="黑体" w:asciiTheme="minorEastAsia" w:hAnsiTheme="minorEastAsia" w:eastAsiaTheme="minorEastAsia"/>
          <w:color w:val="000000"/>
          <w:kern w:val="0"/>
          <w:sz w:val="32"/>
          <w:szCs w:val="32"/>
          <w:lang w:val="en-US" w:eastAsia="zh-CN" w:bidi="ar-SA"/>
        </w:rPr>
        <w:t>年初预算为0万元，支出决算为</w:t>
      </w:r>
      <w:r>
        <w:rPr>
          <w:rFonts w:hint="eastAsia" w:cs="黑体" w:asciiTheme="minorEastAsia" w:hAnsiTheme="minorEastAsia"/>
          <w:color w:val="000000"/>
          <w:kern w:val="0"/>
          <w:sz w:val="32"/>
          <w:szCs w:val="32"/>
          <w:lang w:val="en-US" w:eastAsia="zh-CN" w:bidi="ar-SA"/>
        </w:rPr>
        <w:t>251.39</w:t>
      </w:r>
      <w:r>
        <w:rPr>
          <w:rFonts w:hint="eastAsia" w:cs="黑体" w:asciiTheme="minorEastAsia" w:hAnsiTheme="minorEastAsia" w:eastAsiaTheme="minorEastAsia"/>
          <w:color w:val="000000"/>
          <w:kern w:val="0"/>
          <w:sz w:val="32"/>
          <w:szCs w:val="32"/>
          <w:lang w:val="en-US" w:eastAsia="zh-CN" w:bidi="ar-SA"/>
        </w:rPr>
        <w:t>万元，</w:t>
      </w:r>
      <w:r>
        <w:rPr>
          <w:rFonts w:hint="eastAsia" w:asciiTheme="minorEastAsia" w:hAnsiTheme="minorEastAsia" w:eastAsiaTheme="minorEastAsia"/>
          <w:sz w:val="32"/>
          <w:szCs w:val="32"/>
          <w:lang w:val="en-US" w:eastAsia="zh-CN"/>
        </w:rPr>
        <w:t>无法计算完成比率</w:t>
      </w:r>
      <w:r>
        <w:rPr>
          <w:rFonts w:hint="eastAsia" w:asciiTheme="minorEastAsia" w:hAnsiTheme="minorEastAsia"/>
          <w:sz w:val="32"/>
          <w:szCs w:val="32"/>
          <w:lang w:val="en-US" w:eastAsia="zh-CN"/>
        </w:rPr>
        <w:t>，</w:t>
      </w:r>
      <w:r>
        <w:rPr>
          <w:rFonts w:hint="eastAsia" w:cs="黑体" w:asciiTheme="minorEastAsia" w:hAnsiTheme="minorEastAsia" w:eastAsiaTheme="minorEastAsia"/>
          <w:color w:val="000000"/>
          <w:kern w:val="0"/>
          <w:sz w:val="32"/>
          <w:szCs w:val="32"/>
          <w:lang w:val="en-US" w:eastAsia="zh-CN" w:bidi="ar-SA"/>
        </w:rPr>
        <w:t>决算数大于年初预算数的主要原因是：由县财政统一做预算，单位未单列</w:t>
      </w:r>
      <w:r>
        <w:rPr>
          <w:rFonts w:hint="eastAsia" w:ascii="宋体" w:hAnsi="宋体" w:eastAsia="宋体" w:cs="宋体"/>
          <w:i w:val="0"/>
          <w:iCs w:val="0"/>
          <w:caps w:val="0"/>
          <w:color w:val="000000"/>
          <w:spacing w:val="0"/>
          <w:sz w:val="32"/>
          <w:szCs w:val="32"/>
          <w:lang w:eastAsia="zh-CN"/>
        </w:rPr>
        <w:t>“</w:t>
      </w:r>
      <w:r>
        <w:rPr>
          <w:rFonts w:hint="eastAsia" w:cs="黑体" w:asciiTheme="minorEastAsia" w:hAnsiTheme="minorEastAsia" w:eastAsiaTheme="minorEastAsia"/>
          <w:color w:val="000000"/>
          <w:kern w:val="0"/>
          <w:sz w:val="32"/>
          <w:szCs w:val="32"/>
          <w:lang w:val="en-US" w:eastAsia="zh-CN" w:bidi="ar-SA"/>
        </w:rPr>
        <w:t>机关事业单位基本养老保险缴费支出（项）</w:t>
      </w:r>
      <w:r>
        <w:rPr>
          <w:rFonts w:hint="eastAsia" w:cs="黑体" w:asciiTheme="minorEastAsia" w:hAnsiTheme="minorEastAsia"/>
          <w:color w:val="000000"/>
          <w:kern w:val="0"/>
          <w:sz w:val="32"/>
          <w:szCs w:val="32"/>
          <w:lang w:val="en-US" w:eastAsia="zh-CN" w:bidi="ar-SA"/>
        </w:rPr>
        <w:t>”</w:t>
      </w:r>
      <w:r>
        <w:rPr>
          <w:rFonts w:hint="eastAsia" w:ascii="宋体" w:hAnsi="宋体" w:eastAsia="宋体" w:cs="宋体"/>
          <w:i w:val="0"/>
          <w:iCs w:val="0"/>
          <w:caps w:val="0"/>
          <w:color w:val="000000"/>
          <w:spacing w:val="0"/>
          <w:sz w:val="32"/>
          <w:szCs w:val="32"/>
        </w:rPr>
        <w:t>。</w:t>
      </w:r>
    </w:p>
    <w:p>
      <w:pPr>
        <w:pStyle w:val="7"/>
        <w:keepNext w:val="0"/>
        <w:keepLines w:val="0"/>
        <w:widowControl/>
        <w:suppressLineNumbers w:val="0"/>
        <w:spacing w:before="0" w:beforeAutospacing="0" w:after="1" w:afterAutospacing="0"/>
        <w:ind w:left="0" w:right="0" w:firstLine="641"/>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color w:val="000000"/>
          <w:kern w:val="0"/>
          <w:sz w:val="32"/>
          <w:szCs w:val="32"/>
          <w:lang w:val="en-US" w:eastAsia="zh-CN" w:bidi="ar-SA"/>
        </w:rPr>
        <w:t>5、</w:t>
      </w:r>
      <w:r>
        <w:rPr>
          <w:rFonts w:hint="eastAsia" w:cs="黑体" w:asciiTheme="minorEastAsia" w:hAnsiTheme="minorEastAsia" w:eastAsiaTheme="minorEastAsia"/>
          <w:color w:val="000000"/>
          <w:kern w:val="0"/>
          <w:sz w:val="32"/>
          <w:szCs w:val="32"/>
          <w:lang w:val="en-US" w:eastAsia="zh-CN" w:bidi="ar-SA"/>
        </w:rPr>
        <w:t>卫生健康支出（类）卫生健康管理事务（款）行政运行（项） </w:t>
      </w:r>
    </w:p>
    <w:p>
      <w:pPr>
        <w:pStyle w:val="7"/>
        <w:keepNext w:val="0"/>
        <w:keepLines w:val="0"/>
        <w:widowControl/>
        <w:suppressLineNumbers w:val="0"/>
        <w:spacing w:before="0" w:beforeAutospacing="0" w:after="1" w:afterAutospacing="0"/>
        <w:ind w:left="0" w:right="0" w:firstLine="641"/>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年初预算为</w:t>
      </w:r>
      <w:r>
        <w:rPr>
          <w:rFonts w:hint="eastAsia" w:ascii="宋体" w:hAnsi="宋体" w:eastAsia="宋体" w:cs="宋体"/>
          <w:i w:val="0"/>
          <w:iCs w:val="0"/>
          <w:caps w:val="0"/>
          <w:color w:val="000000"/>
          <w:spacing w:val="0"/>
          <w:sz w:val="32"/>
          <w:szCs w:val="32"/>
          <w:lang w:val="en-US" w:eastAsia="zh-CN"/>
        </w:rPr>
        <w:t>0</w:t>
      </w:r>
      <w:r>
        <w:rPr>
          <w:rFonts w:hint="eastAsia" w:ascii="宋体" w:hAnsi="宋体" w:eastAsia="宋体" w:cs="宋体"/>
          <w:i w:val="0"/>
          <w:iCs w:val="0"/>
          <w:caps w:val="0"/>
          <w:color w:val="000000"/>
          <w:spacing w:val="0"/>
          <w:sz w:val="32"/>
          <w:szCs w:val="32"/>
        </w:rPr>
        <w:t>万元，支出决算为</w:t>
      </w:r>
      <w:r>
        <w:rPr>
          <w:rFonts w:hint="eastAsia" w:ascii="宋体" w:hAnsi="宋体" w:eastAsia="宋体" w:cs="宋体"/>
          <w:i w:val="0"/>
          <w:iCs w:val="0"/>
          <w:caps w:val="0"/>
          <w:color w:val="000000"/>
          <w:spacing w:val="0"/>
          <w:sz w:val="32"/>
          <w:szCs w:val="32"/>
          <w:lang w:val="en-US" w:eastAsia="zh-CN"/>
        </w:rPr>
        <w:t>12.06</w:t>
      </w:r>
      <w:r>
        <w:rPr>
          <w:rFonts w:hint="eastAsia" w:ascii="宋体" w:hAnsi="宋体" w:eastAsia="宋体" w:cs="宋体"/>
          <w:i w:val="0"/>
          <w:iCs w:val="0"/>
          <w:caps w:val="0"/>
          <w:color w:val="000000"/>
          <w:spacing w:val="0"/>
          <w:sz w:val="32"/>
          <w:szCs w:val="32"/>
        </w:rPr>
        <w:t>万元，</w:t>
      </w:r>
      <w:r>
        <w:rPr>
          <w:rFonts w:hint="eastAsia" w:asciiTheme="minorEastAsia" w:hAnsiTheme="minorEastAsia" w:eastAsiaTheme="minorEastAsia"/>
          <w:sz w:val="32"/>
          <w:szCs w:val="32"/>
          <w:lang w:val="en-US" w:eastAsia="zh-CN"/>
        </w:rPr>
        <w:t>无法计算完成比率</w:t>
      </w:r>
      <w:r>
        <w:rPr>
          <w:rFonts w:hint="eastAsia" w:asciiTheme="minorEastAsia" w:hAnsiTheme="minorEastAsia"/>
          <w:sz w:val="32"/>
          <w:szCs w:val="32"/>
          <w:lang w:val="en-US" w:eastAsia="zh-CN"/>
        </w:rPr>
        <w:t>，</w:t>
      </w:r>
      <w:r>
        <w:rPr>
          <w:rFonts w:hint="eastAsia" w:ascii="宋体" w:hAnsi="宋体" w:eastAsia="宋体" w:cs="宋体"/>
          <w:i w:val="0"/>
          <w:iCs w:val="0"/>
          <w:caps w:val="0"/>
          <w:color w:val="000000"/>
          <w:spacing w:val="0"/>
          <w:sz w:val="32"/>
          <w:szCs w:val="32"/>
        </w:rPr>
        <w:t>决算数大于年初预算数的主要原因是：</w:t>
      </w:r>
      <w:r>
        <w:rPr>
          <w:rFonts w:hint="eastAsia" w:asciiTheme="minorEastAsia" w:hAnsiTheme="minorEastAsia" w:eastAsiaTheme="minorEastAsia"/>
          <w:sz w:val="32"/>
          <w:szCs w:val="32"/>
        </w:rPr>
        <w:t>依据实际情况发放</w:t>
      </w:r>
      <w:r>
        <w:rPr>
          <w:rFonts w:hint="eastAsia" w:asciiTheme="minorEastAsia" w:hAnsiTheme="minorEastAsia"/>
          <w:sz w:val="32"/>
          <w:szCs w:val="32"/>
          <w:lang w:val="en-US" w:eastAsia="zh-CN"/>
        </w:rPr>
        <w:t>公车补助</w:t>
      </w:r>
      <w:r>
        <w:rPr>
          <w:rFonts w:hint="eastAsia" w:ascii="宋体" w:hAnsi="宋体" w:eastAsia="宋体" w:cs="宋体"/>
          <w:i w:val="0"/>
          <w:iCs w:val="0"/>
          <w:caps w:val="0"/>
          <w:color w:val="000000"/>
          <w:spacing w:val="0"/>
          <w:sz w:val="32"/>
          <w:szCs w:val="32"/>
        </w:rPr>
        <w:t>。</w:t>
      </w:r>
    </w:p>
    <w:p>
      <w:pPr>
        <w:pStyle w:val="7"/>
        <w:keepNext w:val="0"/>
        <w:keepLines w:val="0"/>
        <w:widowControl/>
        <w:suppressLineNumbers w:val="0"/>
        <w:spacing w:before="0" w:beforeAutospacing="0" w:after="1" w:afterAutospacing="0"/>
        <w:ind w:left="0" w:right="0" w:firstLine="641"/>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color w:val="000000"/>
          <w:kern w:val="0"/>
          <w:sz w:val="32"/>
          <w:szCs w:val="32"/>
          <w:lang w:val="en-US" w:eastAsia="zh-CN" w:bidi="ar-SA"/>
        </w:rPr>
        <w:t>6、</w:t>
      </w:r>
      <w:r>
        <w:rPr>
          <w:rFonts w:hint="eastAsia" w:cs="黑体" w:asciiTheme="minorEastAsia" w:hAnsiTheme="minorEastAsia" w:eastAsiaTheme="minorEastAsia"/>
          <w:color w:val="000000"/>
          <w:kern w:val="0"/>
          <w:sz w:val="32"/>
          <w:szCs w:val="32"/>
          <w:lang w:val="en-US" w:eastAsia="zh-CN" w:bidi="ar-SA"/>
        </w:rPr>
        <w:t>卫生健康支出（类）行政事业单位医疗（款）其他行政事业单位医疗支出（项） </w:t>
      </w:r>
    </w:p>
    <w:p>
      <w:pPr>
        <w:pStyle w:val="7"/>
        <w:keepNext w:val="0"/>
        <w:keepLines w:val="0"/>
        <w:widowControl/>
        <w:suppressLineNumbers w:val="0"/>
        <w:spacing w:before="0" w:beforeAutospacing="0" w:after="1" w:afterAutospacing="0"/>
        <w:ind w:left="0" w:right="0" w:firstLine="641"/>
        <w:jc w:val="left"/>
        <w:rPr>
          <w:rFonts w:hint="default" w:ascii="宋体" w:hAnsi="宋体" w:eastAsia="宋体" w:cs="宋体"/>
          <w:i w:val="0"/>
          <w:iCs w:val="0"/>
          <w:caps w:val="0"/>
          <w:color w:val="000000"/>
          <w:spacing w:val="0"/>
          <w:sz w:val="32"/>
          <w:szCs w:val="32"/>
          <w:lang w:val="en-US"/>
        </w:rPr>
      </w:pPr>
      <w:r>
        <w:rPr>
          <w:rFonts w:hint="eastAsia" w:ascii="宋体" w:hAnsi="宋体" w:eastAsia="宋体" w:cs="宋体"/>
          <w:i w:val="0"/>
          <w:iCs w:val="0"/>
          <w:caps w:val="0"/>
          <w:color w:val="000000"/>
          <w:spacing w:val="0"/>
          <w:sz w:val="32"/>
          <w:szCs w:val="32"/>
        </w:rPr>
        <w:t>年初预算为</w:t>
      </w:r>
      <w:r>
        <w:rPr>
          <w:rFonts w:hint="eastAsia" w:ascii="宋体" w:hAnsi="宋体" w:eastAsia="宋体" w:cs="宋体"/>
          <w:i w:val="0"/>
          <w:iCs w:val="0"/>
          <w:caps w:val="0"/>
          <w:color w:val="000000"/>
          <w:spacing w:val="0"/>
          <w:sz w:val="32"/>
          <w:szCs w:val="32"/>
          <w:lang w:val="en-US" w:eastAsia="zh-CN"/>
        </w:rPr>
        <w:t>0</w:t>
      </w:r>
      <w:r>
        <w:rPr>
          <w:rFonts w:hint="eastAsia" w:ascii="宋体" w:hAnsi="宋体" w:eastAsia="宋体" w:cs="宋体"/>
          <w:i w:val="0"/>
          <w:iCs w:val="0"/>
          <w:caps w:val="0"/>
          <w:color w:val="000000"/>
          <w:spacing w:val="0"/>
          <w:sz w:val="32"/>
          <w:szCs w:val="32"/>
        </w:rPr>
        <w:t>万元，支出决算为</w:t>
      </w:r>
      <w:r>
        <w:rPr>
          <w:rFonts w:hint="eastAsia" w:ascii="宋体" w:hAnsi="宋体" w:eastAsia="宋体" w:cs="宋体"/>
          <w:i w:val="0"/>
          <w:iCs w:val="0"/>
          <w:caps w:val="0"/>
          <w:color w:val="000000"/>
          <w:spacing w:val="0"/>
          <w:sz w:val="32"/>
          <w:szCs w:val="32"/>
          <w:lang w:val="en-US" w:eastAsia="zh-CN"/>
        </w:rPr>
        <w:t>6.5</w:t>
      </w:r>
      <w:r>
        <w:rPr>
          <w:rFonts w:hint="eastAsia" w:ascii="宋体" w:hAnsi="宋体" w:eastAsia="宋体" w:cs="宋体"/>
          <w:i w:val="0"/>
          <w:iCs w:val="0"/>
          <w:caps w:val="0"/>
          <w:color w:val="000000"/>
          <w:spacing w:val="0"/>
          <w:sz w:val="32"/>
          <w:szCs w:val="32"/>
        </w:rPr>
        <w:t>万元，</w:t>
      </w:r>
      <w:r>
        <w:rPr>
          <w:rFonts w:hint="eastAsia" w:asciiTheme="minorEastAsia" w:hAnsiTheme="minorEastAsia" w:eastAsiaTheme="minorEastAsia"/>
          <w:sz w:val="32"/>
          <w:szCs w:val="32"/>
          <w:lang w:val="en-US" w:eastAsia="zh-CN"/>
        </w:rPr>
        <w:t>无法计算完成比率</w:t>
      </w:r>
      <w:r>
        <w:rPr>
          <w:rFonts w:hint="eastAsia" w:ascii="宋体" w:hAnsi="宋体" w:eastAsia="宋体" w:cs="宋体"/>
          <w:i w:val="0"/>
          <w:iCs w:val="0"/>
          <w:caps w:val="0"/>
          <w:color w:val="000000"/>
          <w:spacing w:val="0"/>
          <w:sz w:val="32"/>
          <w:szCs w:val="32"/>
        </w:rPr>
        <w:t>。决算数大于年初预算数的主要原因是：</w:t>
      </w:r>
      <w:r>
        <w:rPr>
          <w:rFonts w:hint="eastAsia" w:ascii="宋体" w:hAnsi="宋体" w:eastAsia="宋体" w:cs="宋体"/>
          <w:i w:val="0"/>
          <w:iCs w:val="0"/>
          <w:caps w:val="0"/>
          <w:color w:val="000000"/>
          <w:spacing w:val="0"/>
          <w:sz w:val="32"/>
          <w:szCs w:val="32"/>
          <w:lang w:val="en-US" w:eastAsia="zh-CN"/>
        </w:rPr>
        <w:t>年初预算列</w:t>
      </w:r>
      <w:r>
        <w:rPr>
          <w:rFonts w:hint="eastAsia" w:ascii="宋体" w:hAnsi="宋体" w:eastAsia="宋体" w:cs="宋体"/>
          <w:i w:val="0"/>
          <w:iCs w:val="0"/>
          <w:caps w:val="0"/>
          <w:color w:val="000000"/>
          <w:spacing w:val="0"/>
          <w:sz w:val="32"/>
          <w:szCs w:val="32"/>
        </w:rPr>
        <w:t>卫生健康支出（类）医疗保障管理事务（款）行政运行（项）</w:t>
      </w:r>
      <w:r>
        <w:rPr>
          <w:rFonts w:hint="eastAsia" w:ascii="宋体" w:hAnsi="宋体" w:eastAsia="宋体" w:cs="宋体"/>
          <w:i w:val="0"/>
          <w:iCs w:val="0"/>
          <w:caps w:val="0"/>
          <w:color w:val="000000"/>
          <w:spacing w:val="0"/>
          <w:sz w:val="32"/>
          <w:szCs w:val="32"/>
          <w:lang w:eastAsia="zh-CN"/>
        </w:rPr>
        <w:t>，</w:t>
      </w:r>
      <w:r>
        <w:rPr>
          <w:rFonts w:hint="eastAsia" w:ascii="宋体" w:hAnsi="宋体" w:eastAsia="宋体" w:cs="宋体"/>
          <w:i w:val="0"/>
          <w:iCs w:val="0"/>
          <w:caps w:val="0"/>
          <w:color w:val="000000"/>
          <w:spacing w:val="0"/>
          <w:sz w:val="32"/>
          <w:szCs w:val="32"/>
        </w:rPr>
        <w:t>实际支出时单列</w:t>
      </w:r>
      <w:r>
        <w:rPr>
          <w:rFonts w:hint="eastAsia" w:ascii="宋体" w:hAnsi="宋体" w:eastAsia="宋体" w:cs="宋体"/>
          <w:i w:val="0"/>
          <w:iCs w:val="0"/>
          <w:caps w:val="0"/>
          <w:color w:val="000000"/>
          <w:spacing w:val="0"/>
          <w:sz w:val="32"/>
          <w:szCs w:val="32"/>
          <w:lang w:eastAsia="zh-CN"/>
        </w:rPr>
        <w:t>“</w:t>
      </w:r>
      <w:r>
        <w:rPr>
          <w:rFonts w:hint="eastAsia" w:cs="黑体" w:asciiTheme="minorEastAsia" w:hAnsiTheme="minorEastAsia" w:eastAsiaTheme="minorEastAsia"/>
          <w:color w:val="000000"/>
          <w:kern w:val="0"/>
          <w:sz w:val="32"/>
          <w:szCs w:val="32"/>
          <w:lang w:val="en-US" w:eastAsia="zh-CN" w:bidi="ar-SA"/>
        </w:rPr>
        <w:t>行政事业单位医疗（款）其他行政事业单位医疗支出（项）</w:t>
      </w:r>
      <w:r>
        <w:rPr>
          <w:rFonts w:hint="default" w:cs="黑体" w:asciiTheme="minorEastAsia" w:hAnsiTheme="minorEastAsia"/>
          <w:color w:val="000000"/>
          <w:kern w:val="0"/>
          <w:sz w:val="32"/>
          <w:szCs w:val="32"/>
          <w:lang w:val="en-US" w:eastAsia="zh-CN" w:bidi="ar-SA"/>
        </w:rPr>
        <w:t>”</w:t>
      </w:r>
      <w:r>
        <w:rPr>
          <w:rFonts w:hint="eastAsia" w:cs="黑体" w:asciiTheme="minorEastAsia" w:hAnsiTheme="minorEastAsia"/>
          <w:color w:val="000000"/>
          <w:kern w:val="0"/>
          <w:sz w:val="32"/>
          <w:szCs w:val="32"/>
          <w:lang w:val="en-US" w:eastAsia="zh-CN" w:bidi="ar-SA"/>
        </w:rPr>
        <w:t>。</w:t>
      </w:r>
    </w:p>
    <w:p>
      <w:pPr>
        <w:pStyle w:val="7"/>
        <w:keepNext w:val="0"/>
        <w:keepLines w:val="0"/>
        <w:widowControl/>
        <w:suppressLineNumbers w:val="0"/>
        <w:spacing w:before="0" w:beforeAutospacing="0" w:after="1" w:afterAutospacing="0"/>
        <w:ind w:left="0" w:right="0" w:firstLine="641"/>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32"/>
          <w:szCs w:val="32"/>
          <w:lang w:val="en-US" w:eastAsia="zh-CN"/>
        </w:rPr>
        <w:t>7</w:t>
      </w:r>
      <w:r>
        <w:rPr>
          <w:rFonts w:hint="eastAsia" w:ascii="宋体" w:hAnsi="宋体" w:eastAsia="宋体" w:cs="宋体"/>
          <w:i w:val="0"/>
          <w:iCs w:val="0"/>
          <w:caps w:val="0"/>
          <w:color w:val="000000"/>
          <w:spacing w:val="0"/>
          <w:sz w:val="32"/>
          <w:szCs w:val="32"/>
        </w:rPr>
        <w:t>、卫生健康支出（类）财政对基本医疗保险基金的补助（款）财政对城乡居民基本医疗保险基金的补助（项）</w:t>
      </w:r>
      <w:r>
        <w:rPr>
          <w:rFonts w:hint="eastAsia" w:ascii="宋体" w:hAnsi="宋体" w:eastAsia="宋体" w:cs="宋体"/>
          <w:i w:val="0"/>
          <w:iCs w:val="0"/>
          <w:caps w:val="0"/>
          <w:color w:val="000000"/>
          <w:spacing w:val="0"/>
          <w:sz w:val="27"/>
          <w:szCs w:val="27"/>
        </w:rPr>
        <w:t> </w:t>
      </w:r>
    </w:p>
    <w:p>
      <w:pPr>
        <w:pStyle w:val="7"/>
        <w:keepNext w:val="0"/>
        <w:keepLines w:val="0"/>
        <w:widowControl/>
        <w:suppressLineNumbers w:val="0"/>
        <w:spacing w:before="0" w:beforeAutospacing="0" w:after="1" w:afterAutospacing="0"/>
        <w:ind w:left="0" w:right="0" w:firstLine="641"/>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w:t>
      </w:r>
      <w:r>
        <w:rPr>
          <w:rFonts w:hint="eastAsia" w:ascii="宋体" w:hAnsi="宋体" w:eastAsia="宋体" w:cs="宋体"/>
          <w:i w:val="0"/>
          <w:iCs w:val="0"/>
          <w:caps w:val="0"/>
          <w:color w:val="000000"/>
          <w:spacing w:val="0"/>
          <w:sz w:val="32"/>
          <w:szCs w:val="32"/>
          <w:lang w:val="en-US" w:eastAsia="zh-CN"/>
        </w:rPr>
        <w:t>4024</w:t>
      </w:r>
      <w:r>
        <w:rPr>
          <w:rFonts w:hint="eastAsia" w:ascii="宋体" w:hAnsi="宋体" w:eastAsia="宋体" w:cs="宋体"/>
          <w:i w:val="0"/>
          <w:iCs w:val="0"/>
          <w:caps w:val="0"/>
          <w:color w:val="000000"/>
          <w:spacing w:val="0"/>
          <w:sz w:val="32"/>
          <w:szCs w:val="32"/>
        </w:rPr>
        <w:t>万元，支出决算为</w:t>
      </w:r>
      <w:r>
        <w:rPr>
          <w:rFonts w:hint="eastAsia" w:ascii="宋体" w:hAnsi="宋体" w:eastAsia="宋体" w:cs="宋体"/>
          <w:i w:val="0"/>
          <w:iCs w:val="0"/>
          <w:caps w:val="0"/>
          <w:color w:val="000000"/>
          <w:spacing w:val="0"/>
          <w:sz w:val="32"/>
          <w:szCs w:val="32"/>
          <w:lang w:val="en-US" w:eastAsia="zh-CN"/>
        </w:rPr>
        <w:t>36647.27</w:t>
      </w:r>
      <w:r>
        <w:rPr>
          <w:rFonts w:hint="eastAsia" w:ascii="宋体" w:hAnsi="宋体" w:eastAsia="宋体" w:cs="宋体"/>
          <w:i w:val="0"/>
          <w:iCs w:val="0"/>
          <w:caps w:val="0"/>
          <w:color w:val="000000"/>
          <w:spacing w:val="0"/>
          <w:sz w:val="32"/>
          <w:szCs w:val="32"/>
        </w:rPr>
        <w:t>万元，完成年初预算的</w:t>
      </w:r>
      <w:r>
        <w:rPr>
          <w:rFonts w:hint="eastAsia" w:ascii="宋体" w:hAnsi="宋体" w:eastAsia="宋体" w:cs="宋体"/>
          <w:i w:val="0"/>
          <w:iCs w:val="0"/>
          <w:caps w:val="0"/>
          <w:color w:val="000000"/>
          <w:spacing w:val="0"/>
          <w:sz w:val="32"/>
          <w:szCs w:val="32"/>
          <w:lang w:val="en-US" w:eastAsia="zh-CN"/>
        </w:rPr>
        <w:t>910.72</w:t>
      </w:r>
      <w:r>
        <w:rPr>
          <w:rFonts w:hint="eastAsia" w:ascii="宋体" w:hAnsi="宋体" w:eastAsia="宋体" w:cs="宋体"/>
          <w:i w:val="0"/>
          <w:iCs w:val="0"/>
          <w:caps w:val="0"/>
          <w:color w:val="000000"/>
          <w:spacing w:val="0"/>
          <w:sz w:val="32"/>
          <w:szCs w:val="32"/>
        </w:rPr>
        <w:t>%。决算数大于年初预算数的主要原因是：城乡居民基本医疗保险基金</w:t>
      </w:r>
      <w:r>
        <w:rPr>
          <w:rFonts w:hint="eastAsia" w:ascii="宋体" w:hAnsi="宋体" w:eastAsia="宋体" w:cs="宋体"/>
          <w:i w:val="0"/>
          <w:iCs w:val="0"/>
          <w:caps w:val="0"/>
          <w:color w:val="000000"/>
          <w:spacing w:val="0"/>
          <w:sz w:val="32"/>
          <w:szCs w:val="32"/>
          <w:lang w:val="en-US" w:eastAsia="zh-CN"/>
        </w:rPr>
        <w:t>年初</w:t>
      </w:r>
      <w:r>
        <w:rPr>
          <w:rFonts w:hint="eastAsia" w:ascii="宋体" w:hAnsi="宋体" w:eastAsia="宋体" w:cs="宋体"/>
          <w:i w:val="0"/>
          <w:iCs w:val="0"/>
          <w:caps w:val="0"/>
          <w:color w:val="000000"/>
          <w:spacing w:val="0"/>
          <w:sz w:val="32"/>
          <w:szCs w:val="32"/>
        </w:rPr>
        <w:t>预算</w:t>
      </w:r>
      <w:r>
        <w:rPr>
          <w:rFonts w:hint="eastAsia" w:ascii="宋体" w:hAnsi="宋体" w:eastAsia="宋体" w:cs="宋体"/>
          <w:i w:val="0"/>
          <w:iCs w:val="0"/>
          <w:caps w:val="0"/>
          <w:color w:val="000000"/>
          <w:spacing w:val="0"/>
          <w:sz w:val="32"/>
          <w:szCs w:val="32"/>
          <w:lang w:val="en-US" w:eastAsia="zh-CN"/>
        </w:rPr>
        <w:t>数</w:t>
      </w:r>
      <w:r>
        <w:rPr>
          <w:rFonts w:hint="eastAsia" w:ascii="宋体" w:hAnsi="宋体" w:eastAsia="宋体" w:cs="宋体"/>
          <w:i w:val="0"/>
          <w:iCs w:val="0"/>
          <w:caps w:val="0"/>
          <w:color w:val="000000"/>
          <w:spacing w:val="0"/>
          <w:sz w:val="32"/>
          <w:szCs w:val="32"/>
        </w:rPr>
        <w:t>只</w:t>
      </w:r>
      <w:r>
        <w:rPr>
          <w:rFonts w:hint="eastAsia" w:ascii="宋体" w:hAnsi="宋体" w:eastAsia="宋体" w:cs="宋体"/>
          <w:i w:val="0"/>
          <w:iCs w:val="0"/>
          <w:caps w:val="0"/>
          <w:color w:val="000000"/>
          <w:spacing w:val="0"/>
          <w:sz w:val="32"/>
          <w:szCs w:val="32"/>
          <w:lang w:val="en-US" w:eastAsia="zh-CN"/>
        </w:rPr>
        <w:t>含</w:t>
      </w:r>
      <w:r>
        <w:rPr>
          <w:rFonts w:hint="eastAsia" w:ascii="宋体" w:hAnsi="宋体" w:eastAsia="宋体" w:cs="宋体"/>
          <w:i w:val="0"/>
          <w:iCs w:val="0"/>
          <w:caps w:val="0"/>
          <w:color w:val="000000"/>
          <w:spacing w:val="0"/>
          <w:sz w:val="32"/>
          <w:szCs w:val="32"/>
        </w:rPr>
        <w:t>县级财政补助资金，决算</w:t>
      </w:r>
      <w:r>
        <w:rPr>
          <w:rFonts w:hint="eastAsia" w:ascii="宋体" w:hAnsi="宋体" w:eastAsia="宋体" w:cs="宋体"/>
          <w:i w:val="0"/>
          <w:iCs w:val="0"/>
          <w:caps w:val="0"/>
          <w:color w:val="000000"/>
          <w:spacing w:val="0"/>
          <w:sz w:val="32"/>
          <w:szCs w:val="32"/>
          <w:lang w:val="en-US" w:eastAsia="zh-CN"/>
        </w:rPr>
        <w:t>数</w:t>
      </w:r>
      <w:r>
        <w:rPr>
          <w:rFonts w:hint="eastAsia" w:ascii="宋体" w:hAnsi="宋体" w:eastAsia="宋体" w:cs="宋体"/>
          <w:i w:val="0"/>
          <w:iCs w:val="0"/>
          <w:caps w:val="0"/>
          <w:color w:val="000000"/>
          <w:spacing w:val="0"/>
          <w:sz w:val="32"/>
          <w:szCs w:val="32"/>
        </w:rPr>
        <w:t>含中央</w:t>
      </w:r>
      <w:r>
        <w:rPr>
          <w:rFonts w:hint="eastAsia" w:ascii="宋体" w:hAnsi="宋体" w:eastAsia="宋体" w:cs="宋体"/>
          <w:i w:val="0"/>
          <w:iCs w:val="0"/>
          <w:caps w:val="0"/>
          <w:color w:val="000000"/>
          <w:spacing w:val="0"/>
          <w:sz w:val="32"/>
          <w:szCs w:val="32"/>
          <w:lang w:eastAsia="zh-CN"/>
        </w:rPr>
        <w:t>、</w:t>
      </w:r>
      <w:r>
        <w:rPr>
          <w:rFonts w:hint="eastAsia" w:ascii="宋体" w:hAnsi="宋体" w:eastAsia="宋体" w:cs="宋体"/>
          <w:i w:val="0"/>
          <w:iCs w:val="0"/>
          <w:caps w:val="0"/>
          <w:color w:val="000000"/>
          <w:spacing w:val="0"/>
          <w:sz w:val="32"/>
          <w:szCs w:val="32"/>
        </w:rPr>
        <w:t>省</w:t>
      </w:r>
      <w:r>
        <w:rPr>
          <w:rFonts w:hint="eastAsia" w:ascii="宋体" w:hAnsi="宋体" w:eastAsia="宋体" w:cs="宋体"/>
          <w:i w:val="0"/>
          <w:iCs w:val="0"/>
          <w:caps w:val="0"/>
          <w:color w:val="000000"/>
          <w:spacing w:val="0"/>
          <w:sz w:val="32"/>
          <w:szCs w:val="32"/>
          <w:lang w:eastAsia="zh-CN"/>
        </w:rPr>
        <w:t>、</w:t>
      </w:r>
      <w:r>
        <w:rPr>
          <w:rFonts w:hint="eastAsia" w:ascii="宋体" w:hAnsi="宋体" w:eastAsia="宋体" w:cs="宋体"/>
          <w:i w:val="0"/>
          <w:iCs w:val="0"/>
          <w:caps w:val="0"/>
          <w:color w:val="000000"/>
          <w:spacing w:val="0"/>
          <w:sz w:val="32"/>
          <w:szCs w:val="32"/>
          <w:lang w:val="en-US" w:eastAsia="zh-CN"/>
        </w:rPr>
        <w:t>县三级</w:t>
      </w:r>
      <w:r>
        <w:rPr>
          <w:rFonts w:hint="eastAsia" w:ascii="宋体" w:hAnsi="宋体" w:eastAsia="宋体" w:cs="宋体"/>
          <w:i w:val="0"/>
          <w:iCs w:val="0"/>
          <w:caps w:val="0"/>
          <w:color w:val="000000"/>
          <w:spacing w:val="0"/>
          <w:sz w:val="32"/>
          <w:szCs w:val="32"/>
        </w:rPr>
        <w:t>财政补助资金。</w:t>
      </w:r>
    </w:p>
    <w:p>
      <w:pPr>
        <w:pStyle w:val="7"/>
        <w:keepNext w:val="0"/>
        <w:keepLines w:val="0"/>
        <w:widowControl/>
        <w:suppressLineNumbers w:val="0"/>
        <w:spacing w:before="0" w:beforeAutospacing="0" w:after="1" w:afterAutospacing="0"/>
        <w:ind w:left="0" w:right="0" w:firstLine="641"/>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8</w:t>
      </w:r>
      <w:r>
        <w:rPr>
          <w:rFonts w:hint="eastAsia" w:ascii="宋体" w:hAnsi="宋体" w:eastAsia="宋体" w:cs="宋体"/>
          <w:i w:val="0"/>
          <w:iCs w:val="0"/>
          <w:caps w:val="0"/>
          <w:color w:val="000000"/>
          <w:spacing w:val="0"/>
          <w:sz w:val="32"/>
          <w:szCs w:val="32"/>
        </w:rPr>
        <w:t>、卫生健康支出（类）财政对基本医疗保险基金的补助（款）财政对其他基本医疗保险基金的补助（项） </w:t>
      </w:r>
    </w:p>
    <w:p>
      <w:pPr>
        <w:pStyle w:val="7"/>
        <w:keepNext w:val="0"/>
        <w:keepLines w:val="0"/>
        <w:widowControl/>
        <w:suppressLineNumbers w:val="0"/>
        <w:spacing w:before="0" w:beforeAutospacing="0" w:after="1" w:afterAutospacing="0"/>
        <w:ind w:left="0" w:right="0" w:firstLine="641"/>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w:t>
      </w:r>
      <w:r>
        <w:rPr>
          <w:rFonts w:hint="eastAsia" w:ascii="宋体" w:hAnsi="宋体" w:eastAsia="宋体" w:cs="宋体"/>
          <w:i w:val="0"/>
          <w:iCs w:val="0"/>
          <w:caps w:val="0"/>
          <w:color w:val="000000"/>
          <w:spacing w:val="0"/>
          <w:sz w:val="32"/>
          <w:szCs w:val="32"/>
          <w:lang w:val="en-US" w:eastAsia="zh-CN"/>
        </w:rPr>
        <w:t>270</w:t>
      </w:r>
      <w:r>
        <w:rPr>
          <w:rFonts w:hint="eastAsia" w:ascii="宋体" w:hAnsi="宋体" w:eastAsia="宋体" w:cs="宋体"/>
          <w:i w:val="0"/>
          <w:iCs w:val="0"/>
          <w:caps w:val="0"/>
          <w:color w:val="000000"/>
          <w:spacing w:val="0"/>
          <w:sz w:val="32"/>
          <w:szCs w:val="32"/>
        </w:rPr>
        <w:t>万元，支出决算为</w:t>
      </w:r>
      <w:r>
        <w:rPr>
          <w:rFonts w:hint="eastAsia" w:ascii="宋体" w:hAnsi="宋体" w:eastAsia="宋体" w:cs="宋体"/>
          <w:i w:val="0"/>
          <w:iCs w:val="0"/>
          <w:caps w:val="0"/>
          <w:color w:val="000000"/>
          <w:spacing w:val="0"/>
          <w:sz w:val="32"/>
          <w:szCs w:val="32"/>
          <w:lang w:val="en-US" w:eastAsia="zh-CN"/>
        </w:rPr>
        <w:t>254.35</w:t>
      </w:r>
      <w:r>
        <w:rPr>
          <w:rFonts w:hint="eastAsia" w:ascii="宋体" w:hAnsi="宋体" w:eastAsia="宋体" w:cs="宋体"/>
          <w:i w:val="0"/>
          <w:iCs w:val="0"/>
          <w:caps w:val="0"/>
          <w:color w:val="000000"/>
          <w:spacing w:val="0"/>
          <w:sz w:val="32"/>
          <w:szCs w:val="32"/>
        </w:rPr>
        <w:t>万元，完成年初预算的</w:t>
      </w:r>
      <w:r>
        <w:rPr>
          <w:rFonts w:hint="eastAsia" w:ascii="宋体" w:hAnsi="宋体" w:eastAsia="宋体" w:cs="宋体"/>
          <w:i w:val="0"/>
          <w:iCs w:val="0"/>
          <w:caps w:val="0"/>
          <w:color w:val="000000"/>
          <w:spacing w:val="0"/>
          <w:sz w:val="32"/>
          <w:szCs w:val="32"/>
          <w:lang w:val="en-US" w:eastAsia="zh-CN"/>
        </w:rPr>
        <w:t>94.20</w:t>
      </w:r>
      <w:r>
        <w:rPr>
          <w:rFonts w:hint="eastAsia" w:ascii="宋体" w:hAnsi="宋体" w:eastAsia="宋体" w:cs="宋体"/>
          <w:i w:val="0"/>
          <w:iCs w:val="0"/>
          <w:caps w:val="0"/>
          <w:color w:val="000000"/>
          <w:spacing w:val="0"/>
          <w:sz w:val="32"/>
          <w:szCs w:val="32"/>
        </w:rPr>
        <w:t>%。决算数小于年初预算数的主要原因是：财政根据实际情况核减资金。</w:t>
      </w:r>
    </w:p>
    <w:p>
      <w:pPr>
        <w:pStyle w:val="7"/>
        <w:keepNext w:val="0"/>
        <w:keepLines w:val="0"/>
        <w:widowControl/>
        <w:suppressLineNumbers w:val="0"/>
        <w:spacing w:before="0" w:beforeAutospacing="0" w:after="1" w:afterAutospacing="0"/>
        <w:ind w:left="0" w:right="0" w:firstLine="641"/>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9</w:t>
      </w:r>
      <w:r>
        <w:rPr>
          <w:rFonts w:hint="eastAsia" w:ascii="宋体" w:hAnsi="宋体" w:eastAsia="宋体" w:cs="宋体"/>
          <w:i w:val="0"/>
          <w:iCs w:val="0"/>
          <w:caps w:val="0"/>
          <w:color w:val="000000"/>
          <w:spacing w:val="0"/>
          <w:sz w:val="32"/>
          <w:szCs w:val="32"/>
        </w:rPr>
        <w:t>、卫生健康支出（类）医疗救助（款）城乡医疗救助（项） </w:t>
      </w:r>
    </w:p>
    <w:p>
      <w:pPr>
        <w:pStyle w:val="7"/>
        <w:keepNext w:val="0"/>
        <w:keepLines w:val="0"/>
        <w:widowControl/>
        <w:suppressLineNumbers w:val="0"/>
        <w:spacing w:before="0" w:beforeAutospacing="0" w:after="1" w:afterAutospacing="0"/>
        <w:ind w:left="0" w:right="0" w:firstLine="641"/>
        <w:jc w:val="left"/>
        <w:rPr>
          <w:rFonts w:hint="default" w:ascii="宋体" w:hAnsi="宋体" w:eastAsia="宋体" w:cs="宋体"/>
          <w:i w:val="0"/>
          <w:iCs w:val="0"/>
          <w:caps w:val="0"/>
          <w:color w:val="000000"/>
          <w:spacing w:val="0"/>
          <w:sz w:val="32"/>
          <w:szCs w:val="32"/>
          <w:lang w:val="en-US" w:eastAsia="zh-CN"/>
        </w:rPr>
      </w:pPr>
      <w:r>
        <w:rPr>
          <w:rFonts w:hint="eastAsia" w:ascii="宋体" w:hAnsi="宋体" w:eastAsia="宋体" w:cs="宋体"/>
          <w:i w:val="0"/>
          <w:iCs w:val="0"/>
          <w:caps w:val="0"/>
          <w:color w:val="000000"/>
          <w:spacing w:val="0"/>
          <w:sz w:val="32"/>
          <w:szCs w:val="32"/>
        </w:rPr>
        <w:t>年初预算为</w:t>
      </w:r>
      <w:r>
        <w:rPr>
          <w:rFonts w:hint="eastAsia" w:ascii="宋体" w:hAnsi="宋体" w:eastAsia="宋体" w:cs="宋体"/>
          <w:i w:val="0"/>
          <w:iCs w:val="0"/>
          <w:caps w:val="0"/>
          <w:color w:val="000000"/>
          <w:spacing w:val="0"/>
          <w:sz w:val="32"/>
          <w:szCs w:val="32"/>
          <w:lang w:val="en-US" w:eastAsia="zh-CN"/>
        </w:rPr>
        <w:t>2</w:t>
      </w:r>
      <w:r>
        <w:rPr>
          <w:rFonts w:hint="eastAsia" w:ascii="宋体" w:hAnsi="宋体" w:eastAsia="宋体" w:cs="宋体"/>
          <w:i w:val="0"/>
          <w:iCs w:val="0"/>
          <w:caps w:val="0"/>
          <w:color w:val="000000"/>
          <w:spacing w:val="0"/>
          <w:sz w:val="32"/>
          <w:szCs w:val="32"/>
        </w:rPr>
        <w:t>00万元，支出决算为</w:t>
      </w:r>
      <w:r>
        <w:rPr>
          <w:rFonts w:hint="eastAsia" w:ascii="宋体" w:hAnsi="宋体" w:eastAsia="宋体" w:cs="宋体"/>
          <w:i w:val="0"/>
          <w:iCs w:val="0"/>
          <w:caps w:val="0"/>
          <w:color w:val="000000"/>
          <w:spacing w:val="0"/>
          <w:sz w:val="32"/>
          <w:szCs w:val="32"/>
          <w:lang w:val="en-US" w:eastAsia="zh-CN"/>
        </w:rPr>
        <w:t>561.03</w:t>
      </w:r>
      <w:r>
        <w:rPr>
          <w:rFonts w:hint="eastAsia" w:ascii="宋体" w:hAnsi="宋体" w:eastAsia="宋体" w:cs="宋体"/>
          <w:i w:val="0"/>
          <w:iCs w:val="0"/>
          <w:caps w:val="0"/>
          <w:color w:val="000000"/>
          <w:spacing w:val="0"/>
          <w:sz w:val="32"/>
          <w:szCs w:val="32"/>
        </w:rPr>
        <w:t>万元，完成年初预算的</w:t>
      </w:r>
      <w:r>
        <w:rPr>
          <w:rFonts w:hint="eastAsia" w:ascii="宋体" w:hAnsi="宋体" w:eastAsia="宋体" w:cs="宋体"/>
          <w:i w:val="0"/>
          <w:iCs w:val="0"/>
          <w:caps w:val="0"/>
          <w:color w:val="000000"/>
          <w:spacing w:val="0"/>
          <w:sz w:val="32"/>
          <w:szCs w:val="32"/>
          <w:lang w:val="en-US" w:eastAsia="zh-CN"/>
        </w:rPr>
        <w:t>280.51</w:t>
      </w:r>
      <w:r>
        <w:rPr>
          <w:rFonts w:hint="eastAsia" w:ascii="宋体" w:hAnsi="宋体" w:eastAsia="宋体" w:cs="宋体"/>
          <w:i w:val="0"/>
          <w:iCs w:val="0"/>
          <w:caps w:val="0"/>
          <w:color w:val="000000"/>
          <w:spacing w:val="0"/>
          <w:sz w:val="32"/>
          <w:szCs w:val="32"/>
        </w:rPr>
        <w:t>%。决算数大于年初预算数的主要原因是：预算</w:t>
      </w:r>
      <w:r>
        <w:rPr>
          <w:rFonts w:hint="eastAsia" w:ascii="宋体" w:hAnsi="宋体" w:eastAsia="宋体" w:cs="宋体"/>
          <w:i w:val="0"/>
          <w:iCs w:val="0"/>
          <w:caps w:val="0"/>
          <w:color w:val="000000"/>
          <w:spacing w:val="0"/>
          <w:sz w:val="32"/>
          <w:szCs w:val="32"/>
          <w:lang w:val="en-US" w:eastAsia="zh-CN"/>
        </w:rPr>
        <w:t>数</w:t>
      </w:r>
      <w:r>
        <w:rPr>
          <w:rFonts w:hint="eastAsia" w:ascii="宋体" w:hAnsi="宋体" w:eastAsia="宋体" w:cs="宋体"/>
          <w:i w:val="0"/>
          <w:iCs w:val="0"/>
          <w:caps w:val="0"/>
          <w:color w:val="000000"/>
          <w:spacing w:val="0"/>
          <w:sz w:val="32"/>
          <w:szCs w:val="32"/>
        </w:rPr>
        <w:t>只</w:t>
      </w:r>
      <w:r>
        <w:rPr>
          <w:rFonts w:hint="eastAsia" w:ascii="宋体" w:hAnsi="宋体" w:eastAsia="宋体" w:cs="宋体"/>
          <w:i w:val="0"/>
          <w:iCs w:val="0"/>
          <w:caps w:val="0"/>
          <w:color w:val="000000"/>
          <w:spacing w:val="0"/>
          <w:sz w:val="32"/>
          <w:szCs w:val="32"/>
          <w:lang w:val="en-US" w:eastAsia="zh-CN"/>
        </w:rPr>
        <w:t>含</w:t>
      </w:r>
      <w:r>
        <w:rPr>
          <w:rFonts w:hint="eastAsia" w:ascii="宋体" w:hAnsi="宋体" w:eastAsia="宋体" w:cs="宋体"/>
          <w:i w:val="0"/>
          <w:iCs w:val="0"/>
          <w:caps w:val="0"/>
          <w:color w:val="000000"/>
          <w:spacing w:val="0"/>
          <w:sz w:val="32"/>
          <w:szCs w:val="32"/>
        </w:rPr>
        <w:t>县级财政补助资金，决算</w:t>
      </w:r>
      <w:r>
        <w:rPr>
          <w:rFonts w:hint="eastAsia" w:ascii="宋体" w:hAnsi="宋体" w:eastAsia="宋体" w:cs="宋体"/>
          <w:i w:val="0"/>
          <w:iCs w:val="0"/>
          <w:caps w:val="0"/>
          <w:color w:val="000000"/>
          <w:spacing w:val="0"/>
          <w:sz w:val="32"/>
          <w:szCs w:val="32"/>
          <w:lang w:val="en-US" w:eastAsia="zh-CN"/>
        </w:rPr>
        <w:t>数</w:t>
      </w:r>
      <w:r>
        <w:rPr>
          <w:rFonts w:hint="eastAsia" w:ascii="宋体" w:hAnsi="宋体" w:eastAsia="宋体" w:cs="宋体"/>
          <w:i w:val="0"/>
          <w:iCs w:val="0"/>
          <w:caps w:val="0"/>
          <w:color w:val="000000"/>
          <w:spacing w:val="0"/>
          <w:sz w:val="32"/>
          <w:szCs w:val="32"/>
        </w:rPr>
        <w:t>含中央</w:t>
      </w:r>
      <w:r>
        <w:rPr>
          <w:rFonts w:hint="eastAsia" w:ascii="宋体" w:hAnsi="宋体" w:eastAsia="宋体" w:cs="宋体"/>
          <w:i w:val="0"/>
          <w:iCs w:val="0"/>
          <w:caps w:val="0"/>
          <w:color w:val="000000"/>
          <w:spacing w:val="0"/>
          <w:sz w:val="32"/>
          <w:szCs w:val="32"/>
          <w:lang w:eastAsia="zh-CN"/>
        </w:rPr>
        <w:t>、</w:t>
      </w:r>
      <w:r>
        <w:rPr>
          <w:rFonts w:hint="eastAsia" w:ascii="宋体" w:hAnsi="宋体" w:eastAsia="宋体" w:cs="宋体"/>
          <w:i w:val="0"/>
          <w:iCs w:val="0"/>
          <w:caps w:val="0"/>
          <w:color w:val="000000"/>
          <w:spacing w:val="0"/>
          <w:sz w:val="32"/>
          <w:szCs w:val="32"/>
        </w:rPr>
        <w:t>省</w:t>
      </w:r>
      <w:r>
        <w:rPr>
          <w:rFonts w:hint="eastAsia" w:ascii="宋体" w:hAnsi="宋体" w:eastAsia="宋体" w:cs="宋体"/>
          <w:i w:val="0"/>
          <w:iCs w:val="0"/>
          <w:caps w:val="0"/>
          <w:color w:val="000000"/>
          <w:spacing w:val="0"/>
          <w:sz w:val="32"/>
          <w:szCs w:val="32"/>
          <w:lang w:val="en-US" w:eastAsia="zh-CN"/>
        </w:rPr>
        <w:t>级</w:t>
      </w:r>
      <w:r>
        <w:rPr>
          <w:rFonts w:hint="eastAsia" w:ascii="宋体" w:hAnsi="宋体" w:eastAsia="宋体" w:cs="宋体"/>
          <w:i w:val="0"/>
          <w:iCs w:val="0"/>
          <w:caps w:val="0"/>
          <w:color w:val="000000"/>
          <w:spacing w:val="0"/>
          <w:sz w:val="32"/>
          <w:szCs w:val="32"/>
        </w:rPr>
        <w:t>财政补助资金</w:t>
      </w:r>
      <w:r>
        <w:rPr>
          <w:rFonts w:hint="eastAsia" w:ascii="宋体" w:hAnsi="宋体" w:eastAsia="宋体" w:cs="宋体"/>
          <w:i w:val="0"/>
          <w:iCs w:val="0"/>
          <w:caps w:val="0"/>
          <w:color w:val="000000"/>
          <w:spacing w:val="0"/>
          <w:sz w:val="32"/>
          <w:szCs w:val="32"/>
          <w:lang w:val="en-US" w:eastAsia="zh-CN"/>
        </w:rPr>
        <w:t>和上年结转资金。</w:t>
      </w:r>
    </w:p>
    <w:p>
      <w:pPr>
        <w:pStyle w:val="7"/>
        <w:keepNext w:val="0"/>
        <w:keepLines w:val="0"/>
        <w:widowControl/>
        <w:suppressLineNumbers w:val="0"/>
        <w:spacing w:before="0" w:beforeAutospacing="0" w:after="1" w:afterAutospacing="0"/>
        <w:ind w:left="0" w:right="0" w:firstLine="641"/>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10</w:t>
      </w:r>
      <w:r>
        <w:rPr>
          <w:rFonts w:hint="eastAsia" w:ascii="宋体" w:hAnsi="宋体" w:eastAsia="宋体" w:cs="宋体"/>
          <w:i w:val="0"/>
          <w:iCs w:val="0"/>
          <w:caps w:val="0"/>
          <w:color w:val="000000"/>
          <w:spacing w:val="0"/>
          <w:sz w:val="32"/>
          <w:szCs w:val="32"/>
        </w:rPr>
        <w:t>、卫生健康支出（类）医疗救助（款）</w:t>
      </w:r>
      <w:r>
        <w:rPr>
          <w:rFonts w:hint="eastAsia" w:ascii="宋体" w:hAnsi="宋体" w:eastAsia="宋体" w:cs="宋体"/>
          <w:i w:val="0"/>
          <w:iCs w:val="0"/>
          <w:caps w:val="0"/>
          <w:color w:val="000000"/>
          <w:spacing w:val="0"/>
          <w:sz w:val="32"/>
          <w:szCs w:val="32"/>
          <w:lang w:val="en-US" w:eastAsia="zh-CN"/>
        </w:rPr>
        <w:t>其他</w:t>
      </w:r>
      <w:r>
        <w:rPr>
          <w:rFonts w:hint="eastAsia" w:ascii="宋体" w:hAnsi="宋体" w:eastAsia="宋体" w:cs="宋体"/>
          <w:i w:val="0"/>
          <w:iCs w:val="0"/>
          <w:caps w:val="0"/>
          <w:color w:val="000000"/>
          <w:spacing w:val="0"/>
          <w:sz w:val="32"/>
          <w:szCs w:val="32"/>
        </w:rPr>
        <w:t>医疗救助</w:t>
      </w:r>
      <w:r>
        <w:rPr>
          <w:rFonts w:hint="eastAsia" w:ascii="宋体" w:hAnsi="宋体" w:eastAsia="宋体" w:cs="宋体"/>
          <w:i w:val="0"/>
          <w:iCs w:val="0"/>
          <w:caps w:val="0"/>
          <w:color w:val="000000"/>
          <w:spacing w:val="0"/>
          <w:sz w:val="32"/>
          <w:szCs w:val="32"/>
          <w:lang w:val="en-US" w:eastAsia="zh-CN"/>
        </w:rPr>
        <w:t>支出</w:t>
      </w:r>
      <w:r>
        <w:rPr>
          <w:rFonts w:hint="eastAsia" w:ascii="宋体" w:hAnsi="宋体" w:eastAsia="宋体" w:cs="宋体"/>
          <w:i w:val="0"/>
          <w:iCs w:val="0"/>
          <w:caps w:val="0"/>
          <w:color w:val="000000"/>
          <w:spacing w:val="0"/>
          <w:sz w:val="32"/>
          <w:szCs w:val="32"/>
        </w:rPr>
        <w:t>（项） </w:t>
      </w:r>
    </w:p>
    <w:p>
      <w:pPr>
        <w:pStyle w:val="7"/>
        <w:keepNext w:val="0"/>
        <w:keepLines w:val="0"/>
        <w:widowControl/>
        <w:suppressLineNumbers w:val="0"/>
        <w:spacing w:before="0" w:beforeAutospacing="0" w:after="1" w:afterAutospacing="0"/>
        <w:ind w:left="0" w:right="0" w:firstLine="641"/>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年初预算为</w:t>
      </w:r>
      <w:r>
        <w:rPr>
          <w:rFonts w:hint="eastAsia" w:ascii="宋体" w:hAnsi="宋体" w:eastAsia="宋体" w:cs="宋体"/>
          <w:i w:val="0"/>
          <w:iCs w:val="0"/>
          <w:caps w:val="0"/>
          <w:color w:val="000000"/>
          <w:spacing w:val="0"/>
          <w:sz w:val="32"/>
          <w:szCs w:val="32"/>
          <w:lang w:val="en-US" w:eastAsia="zh-CN"/>
        </w:rPr>
        <w:t>0</w:t>
      </w:r>
      <w:r>
        <w:rPr>
          <w:rFonts w:hint="eastAsia" w:ascii="宋体" w:hAnsi="宋体" w:eastAsia="宋体" w:cs="宋体"/>
          <w:i w:val="0"/>
          <w:iCs w:val="0"/>
          <w:caps w:val="0"/>
          <w:color w:val="000000"/>
          <w:spacing w:val="0"/>
          <w:sz w:val="32"/>
          <w:szCs w:val="32"/>
        </w:rPr>
        <w:t>万元，支出决算为</w:t>
      </w:r>
      <w:r>
        <w:rPr>
          <w:rFonts w:hint="eastAsia" w:ascii="宋体" w:hAnsi="宋体" w:eastAsia="宋体" w:cs="宋体"/>
          <w:i w:val="0"/>
          <w:iCs w:val="0"/>
          <w:caps w:val="0"/>
          <w:color w:val="000000"/>
          <w:spacing w:val="0"/>
          <w:sz w:val="32"/>
          <w:szCs w:val="32"/>
          <w:lang w:val="en-US" w:eastAsia="zh-CN"/>
        </w:rPr>
        <w:t>1068.22</w:t>
      </w:r>
      <w:r>
        <w:rPr>
          <w:rFonts w:hint="eastAsia" w:ascii="宋体" w:hAnsi="宋体" w:eastAsia="宋体" w:cs="宋体"/>
          <w:i w:val="0"/>
          <w:iCs w:val="0"/>
          <w:caps w:val="0"/>
          <w:color w:val="000000"/>
          <w:spacing w:val="0"/>
          <w:sz w:val="32"/>
          <w:szCs w:val="32"/>
        </w:rPr>
        <w:t>万元，</w:t>
      </w:r>
      <w:r>
        <w:rPr>
          <w:rFonts w:hint="eastAsia" w:asciiTheme="minorEastAsia" w:hAnsiTheme="minorEastAsia" w:eastAsiaTheme="minorEastAsia"/>
          <w:sz w:val="32"/>
          <w:szCs w:val="32"/>
          <w:lang w:val="en-US" w:eastAsia="zh-CN"/>
        </w:rPr>
        <w:t>无法计算完成比率</w:t>
      </w:r>
      <w:r>
        <w:rPr>
          <w:rFonts w:hint="eastAsia" w:ascii="宋体" w:hAnsi="宋体" w:eastAsia="宋体" w:cs="宋体"/>
          <w:i w:val="0"/>
          <w:iCs w:val="0"/>
          <w:caps w:val="0"/>
          <w:color w:val="000000"/>
          <w:spacing w:val="0"/>
          <w:sz w:val="32"/>
          <w:szCs w:val="32"/>
        </w:rPr>
        <w:t>。决算数大于年初预算数的主要原因是：预算</w:t>
      </w:r>
      <w:r>
        <w:rPr>
          <w:rFonts w:hint="eastAsia" w:ascii="宋体" w:hAnsi="宋体" w:eastAsia="宋体" w:cs="宋体"/>
          <w:i w:val="0"/>
          <w:iCs w:val="0"/>
          <w:caps w:val="0"/>
          <w:color w:val="000000"/>
          <w:spacing w:val="0"/>
          <w:sz w:val="32"/>
          <w:szCs w:val="32"/>
          <w:lang w:val="en-US" w:eastAsia="zh-CN"/>
        </w:rPr>
        <w:t>数</w:t>
      </w:r>
      <w:r>
        <w:rPr>
          <w:rFonts w:hint="eastAsia" w:ascii="宋体" w:hAnsi="宋体" w:eastAsia="宋体" w:cs="宋体"/>
          <w:i w:val="0"/>
          <w:iCs w:val="0"/>
          <w:caps w:val="0"/>
          <w:color w:val="000000"/>
          <w:spacing w:val="0"/>
          <w:sz w:val="32"/>
          <w:szCs w:val="32"/>
        </w:rPr>
        <w:t>只</w:t>
      </w:r>
      <w:r>
        <w:rPr>
          <w:rFonts w:hint="eastAsia" w:ascii="宋体" w:hAnsi="宋体" w:eastAsia="宋体" w:cs="宋体"/>
          <w:i w:val="0"/>
          <w:iCs w:val="0"/>
          <w:caps w:val="0"/>
          <w:color w:val="000000"/>
          <w:spacing w:val="0"/>
          <w:sz w:val="32"/>
          <w:szCs w:val="32"/>
          <w:lang w:val="en-US" w:eastAsia="zh-CN"/>
        </w:rPr>
        <w:t>含</w:t>
      </w:r>
      <w:r>
        <w:rPr>
          <w:rFonts w:hint="eastAsia" w:ascii="宋体" w:hAnsi="宋体" w:eastAsia="宋体" w:cs="宋体"/>
          <w:i w:val="0"/>
          <w:iCs w:val="0"/>
          <w:caps w:val="0"/>
          <w:color w:val="000000"/>
          <w:spacing w:val="0"/>
          <w:sz w:val="32"/>
          <w:szCs w:val="32"/>
        </w:rPr>
        <w:t>县级财政补助资金，决算</w:t>
      </w:r>
      <w:r>
        <w:rPr>
          <w:rFonts w:hint="eastAsia" w:ascii="宋体" w:hAnsi="宋体" w:eastAsia="宋体" w:cs="宋体"/>
          <w:i w:val="0"/>
          <w:iCs w:val="0"/>
          <w:caps w:val="0"/>
          <w:color w:val="000000"/>
          <w:spacing w:val="0"/>
          <w:sz w:val="32"/>
          <w:szCs w:val="32"/>
          <w:lang w:val="en-US" w:eastAsia="zh-CN"/>
        </w:rPr>
        <w:t>数</w:t>
      </w:r>
      <w:r>
        <w:rPr>
          <w:rFonts w:hint="eastAsia" w:ascii="宋体" w:hAnsi="宋体" w:eastAsia="宋体" w:cs="宋体"/>
          <w:i w:val="0"/>
          <w:iCs w:val="0"/>
          <w:caps w:val="0"/>
          <w:color w:val="000000"/>
          <w:spacing w:val="0"/>
          <w:sz w:val="32"/>
          <w:szCs w:val="32"/>
        </w:rPr>
        <w:t>含中央</w:t>
      </w:r>
      <w:r>
        <w:rPr>
          <w:rFonts w:hint="eastAsia" w:ascii="宋体" w:hAnsi="宋体" w:eastAsia="宋体" w:cs="宋体"/>
          <w:i w:val="0"/>
          <w:iCs w:val="0"/>
          <w:caps w:val="0"/>
          <w:color w:val="000000"/>
          <w:spacing w:val="0"/>
          <w:sz w:val="32"/>
          <w:szCs w:val="32"/>
          <w:lang w:eastAsia="zh-CN"/>
        </w:rPr>
        <w:t>、</w:t>
      </w:r>
      <w:r>
        <w:rPr>
          <w:rFonts w:hint="eastAsia" w:ascii="宋体" w:hAnsi="宋体" w:eastAsia="宋体" w:cs="宋体"/>
          <w:i w:val="0"/>
          <w:iCs w:val="0"/>
          <w:caps w:val="0"/>
          <w:color w:val="000000"/>
          <w:spacing w:val="0"/>
          <w:sz w:val="32"/>
          <w:szCs w:val="32"/>
        </w:rPr>
        <w:t>省</w:t>
      </w:r>
      <w:r>
        <w:rPr>
          <w:rFonts w:hint="eastAsia" w:ascii="宋体" w:hAnsi="宋体" w:eastAsia="宋体" w:cs="宋体"/>
          <w:i w:val="0"/>
          <w:iCs w:val="0"/>
          <w:caps w:val="0"/>
          <w:color w:val="000000"/>
          <w:spacing w:val="0"/>
          <w:sz w:val="32"/>
          <w:szCs w:val="32"/>
          <w:lang w:val="en-US" w:eastAsia="zh-CN"/>
        </w:rPr>
        <w:t>级</w:t>
      </w:r>
      <w:r>
        <w:rPr>
          <w:rFonts w:hint="eastAsia" w:ascii="宋体" w:hAnsi="宋体" w:eastAsia="宋体" w:cs="宋体"/>
          <w:i w:val="0"/>
          <w:iCs w:val="0"/>
          <w:caps w:val="0"/>
          <w:color w:val="000000"/>
          <w:spacing w:val="0"/>
          <w:sz w:val="32"/>
          <w:szCs w:val="32"/>
        </w:rPr>
        <w:t>财政补助资金。</w:t>
      </w:r>
    </w:p>
    <w:p>
      <w:pPr>
        <w:pStyle w:val="7"/>
        <w:keepNext w:val="0"/>
        <w:keepLines w:val="0"/>
        <w:widowControl/>
        <w:suppressLineNumbers w:val="0"/>
        <w:spacing w:before="0" w:beforeAutospacing="0" w:after="1" w:afterAutospacing="0"/>
        <w:ind w:left="0" w:right="0" w:firstLine="641"/>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11</w:t>
      </w:r>
      <w:r>
        <w:rPr>
          <w:rFonts w:hint="eastAsia" w:ascii="宋体" w:hAnsi="宋体" w:eastAsia="宋体" w:cs="宋体"/>
          <w:i w:val="0"/>
          <w:iCs w:val="0"/>
          <w:caps w:val="0"/>
          <w:color w:val="000000"/>
          <w:spacing w:val="0"/>
          <w:sz w:val="32"/>
          <w:szCs w:val="32"/>
        </w:rPr>
        <w:t>、卫生健康支出（类）医疗保障管理事务（款）行政运行（项） </w:t>
      </w:r>
    </w:p>
    <w:p>
      <w:pPr>
        <w:pStyle w:val="7"/>
        <w:keepNext w:val="0"/>
        <w:keepLines w:val="0"/>
        <w:widowControl/>
        <w:suppressLineNumbers w:val="0"/>
        <w:spacing w:before="0" w:beforeAutospacing="0" w:after="1" w:afterAutospacing="0"/>
        <w:ind w:left="0" w:right="0" w:firstLine="641"/>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w:t>
      </w:r>
      <w:r>
        <w:rPr>
          <w:rFonts w:hint="eastAsia" w:ascii="宋体" w:hAnsi="宋体" w:eastAsia="宋体" w:cs="宋体"/>
          <w:i w:val="0"/>
          <w:iCs w:val="0"/>
          <w:caps w:val="0"/>
          <w:color w:val="000000"/>
          <w:spacing w:val="0"/>
          <w:sz w:val="32"/>
          <w:szCs w:val="32"/>
          <w:lang w:val="en-US" w:eastAsia="zh-CN"/>
        </w:rPr>
        <w:t>637.24</w:t>
      </w:r>
      <w:r>
        <w:rPr>
          <w:rFonts w:hint="eastAsia" w:ascii="宋体" w:hAnsi="宋体" w:eastAsia="宋体" w:cs="宋体"/>
          <w:i w:val="0"/>
          <w:iCs w:val="0"/>
          <w:caps w:val="0"/>
          <w:color w:val="000000"/>
          <w:spacing w:val="0"/>
          <w:sz w:val="32"/>
          <w:szCs w:val="32"/>
        </w:rPr>
        <w:t>万元，支出决算为</w:t>
      </w:r>
      <w:r>
        <w:rPr>
          <w:rFonts w:hint="eastAsia" w:ascii="宋体" w:hAnsi="宋体" w:eastAsia="宋体" w:cs="宋体"/>
          <w:i w:val="0"/>
          <w:iCs w:val="0"/>
          <w:caps w:val="0"/>
          <w:color w:val="000000"/>
          <w:spacing w:val="0"/>
          <w:sz w:val="32"/>
          <w:szCs w:val="32"/>
          <w:lang w:val="en-US" w:eastAsia="zh-CN"/>
        </w:rPr>
        <w:t>429.51</w:t>
      </w:r>
      <w:r>
        <w:rPr>
          <w:rFonts w:hint="eastAsia" w:ascii="宋体" w:hAnsi="宋体" w:eastAsia="宋体" w:cs="宋体"/>
          <w:i w:val="0"/>
          <w:iCs w:val="0"/>
          <w:caps w:val="0"/>
          <w:color w:val="000000"/>
          <w:spacing w:val="0"/>
          <w:sz w:val="32"/>
          <w:szCs w:val="32"/>
        </w:rPr>
        <w:t>万元，完成年初预算的</w:t>
      </w:r>
      <w:r>
        <w:rPr>
          <w:rFonts w:hint="eastAsia" w:ascii="宋体" w:hAnsi="宋体" w:eastAsia="宋体" w:cs="宋体"/>
          <w:i w:val="0"/>
          <w:iCs w:val="0"/>
          <w:caps w:val="0"/>
          <w:color w:val="000000"/>
          <w:spacing w:val="0"/>
          <w:sz w:val="32"/>
          <w:szCs w:val="32"/>
          <w:lang w:val="en-US" w:eastAsia="zh-CN"/>
        </w:rPr>
        <w:t>67.40</w:t>
      </w:r>
      <w:r>
        <w:rPr>
          <w:rFonts w:hint="eastAsia" w:ascii="宋体" w:hAnsi="宋体" w:eastAsia="宋体" w:cs="宋体"/>
          <w:i w:val="0"/>
          <w:iCs w:val="0"/>
          <w:caps w:val="0"/>
          <w:color w:val="000000"/>
          <w:spacing w:val="0"/>
          <w:sz w:val="32"/>
          <w:szCs w:val="32"/>
        </w:rPr>
        <w:t>%。决算数小于年初预算数的主要原因是：预算数含医保、养老保险、公积金，实际支出时单列</w:t>
      </w:r>
      <w:r>
        <w:rPr>
          <w:rFonts w:hint="eastAsia" w:ascii="宋体" w:hAnsi="宋体" w:eastAsia="宋体" w:cs="宋体"/>
          <w:i w:val="0"/>
          <w:iCs w:val="0"/>
          <w:caps w:val="0"/>
          <w:color w:val="000000"/>
          <w:spacing w:val="0"/>
          <w:sz w:val="32"/>
          <w:szCs w:val="32"/>
          <w:lang w:val="en-US" w:eastAsia="zh-CN"/>
        </w:rPr>
        <w:t>各相关类、款、项</w:t>
      </w:r>
      <w:r>
        <w:rPr>
          <w:rFonts w:hint="eastAsia" w:ascii="宋体" w:hAnsi="宋体" w:eastAsia="宋体" w:cs="宋体"/>
          <w:i w:val="0"/>
          <w:iCs w:val="0"/>
          <w:caps w:val="0"/>
          <w:color w:val="000000"/>
          <w:spacing w:val="0"/>
          <w:sz w:val="32"/>
          <w:szCs w:val="32"/>
        </w:rPr>
        <w:t>。</w:t>
      </w:r>
    </w:p>
    <w:p>
      <w:pPr>
        <w:pStyle w:val="7"/>
        <w:keepNext w:val="0"/>
        <w:keepLines w:val="0"/>
        <w:widowControl/>
        <w:suppressLineNumbers w:val="0"/>
        <w:spacing w:before="0" w:beforeAutospacing="0" w:after="1" w:afterAutospacing="0"/>
        <w:ind w:left="0" w:right="0" w:firstLine="641"/>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32"/>
          <w:szCs w:val="32"/>
          <w:lang w:val="en-US" w:eastAsia="zh-CN"/>
        </w:rPr>
        <w:t>12</w:t>
      </w:r>
      <w:r>
        <w:rPr>
          <w:rFonts w:hint="eastAsia" w:ascii="宋体" w:hAnsi="宋体" w:eastAsia="宋体" w:cs="宋体"/>
          <w:i w:val="0"/>
          <w:iCs w:val="0"/>
          <w:caps w:val="0"/>
          <w:color w:val="000000"/>
          <w:spacing w:val="0"/>
          <w:sz w:val="32"/>
          <w:szCs w:val="32"/>
        </w:rPr>
        <w:t>、卫生健康支出（类）医疗保障管理事务（款）医疗保障政策管理（项） </w:t>
      </w:r>
    </w:p>
    <w:p>
      <w:pPr>
        <w:pStyle w:val="7"/>
        <w:keepNext w:val="0"/>
        <w:keepLines w:val="0"/>
        <w:widowControl/>
        <w:suppressLineNumbers w:val="0"/>
        <w:spacing w:before="0" w:beforeAutospacing="0" w:after="1" w:afterAutospacing="0"/>
        <w:ind w:left="0" w:right="0" w:firstLine="641"/>
        <w:jc w:val="left"/>
        <w:rPr>
          <w:rFonts w:hint="eastAsia" w:ascii="宋体" w:hAnsi="宋体" w:eastAsia="宋体" w:cs="宋体"/>
          <w:i w:val="0"/>
          <w:iCs w:val="0"/>
          <w:caps w:val="0"/>
          <w:color w:val="000000"/>
          <w:spacing w:val="0"/>
          <w:sz w:val="32"/>
          <w:szCs w:val="32"/>
          <w:lang w:val="en-US" w:eastAsia="zh-CN"/>
        </w:rPr>
      </w:pPr>
      <w:r>
        <w:rPr>
          <w:rFonts w:hint="eastAsia" w:ascii="宋体" w:hAnsi="宋体" w:eastAsia="宋体" w:cs="宋体"/>
          <w:i w:val="0"/>
          <w:iCs w:val="0"/>
          <w:caps w:val="0"/>
          <w:color w:val="000000"/>
          <w:spacing w:val="0"/>
          <w:sz w:val="32"/>
          <w:szCs w:val="32"/>
        </w:rPr>
        <w:t>年初预算为</w:t>
      </w:r>
      <w:r>
        <w:rPr>
          <w:rFonts w:hint="eastAsia" w:ascii="宋体" w:hAnsi="宋体" w:eastAsia="宋体" w:cs="宋体"/>
          <w:i w:val="0"/>
          <w:iCs w:val="0"/>
          <w:caps w:val="0"/>
          <w:color w:val="000000"/>
          <w:spacing w:val="0"/>
          <w:sz w:val="32"/>
          <w:szCs w:val="32"/>
          <w:lang w:val="en-US" w:eastAsia="zh-CN"/>
        </w:rPr>
        <w:t>32</w:t>
      </w:r>
      <w:r>
        <w:rPr>
          <w:rFonts w:hint="eastAsia" w:ascii="宋体" w:hAnsi="宋体" w:eastAsia="宋体" w:cs="宋体"/>
          <w:i w:val="0"/>
          <w:iCs w:val="0"/>
          <w:caps w:val="0"/>
          <w:color w:val="000000"/>
          <w:spacing w:val="0"/>
          <w:sz w:val="32"/>
          <w:szCs w:val="32"/>
        </w:rPr>
        <w:t>万元，支出决算为</w:t>
      </w:r>
      <w:r>
        <w:rPr>
          <w:rFonts w:hint="eastAsia" w:ascii="宋体" w:hAnsi="宋体" w:eastAsia="宋体" w:cs="宋体"/>
          <w:i w:val="0"/>
          <w:iCs w:val="0"/>
          <w:caps w:val="0"/>
          <w:color w:val="000000"/>
          <w:spacing w:val="0"/>
          <w:sz w:val="32"/>
          <w:szCs w:val="32"/>
          <w:lang w:val="en-US" w:eastAsia="zh-CN"/>
        </w:rPr>
        <w:t>10</w:t>
      </w:r>
      <w:r>
        <w:rPr>
          <w:rFonts w:hint="eastAsia" w:ascii="宋体" w:hAnsi="宋体" w:eastAsia="宋体" w:cs="宋体"/>
          <w:i w:val="0"/>
          <w:iCs w:val="0"/>
          <w:caps w:val="0"/>
          <w:color w:val="000000"/>
          <w:spacing w:val="0"/>
          <w:sz w:val="32"/>
          <w:szCs w:val="32"/>
        </w:rPr>
        <w:t>万元，</w:t>
      </w:r>
      <w:r>
        <w:rPr>
          <w:rFonts w:hint="eastAsia" w:ascii="宋体" w:hAnsi="宋体" w:eastAsia="宋体" w:cs="宋体"/>
          <w:i w:val="0"/>
          <w:iCs w:val="0"/>
          <w:caps w:val="0"/>
          <w:color w:val="auto"/>
          <w:spacing w:val="0"/>
          <w:sz w:val="32"/>
          <w:szCs w:val="32"/>
        </w:rPr>
        <w:t>完成年初预算的</w:t>
      </w:r>
      <w:r>
        <w:rPr>
          <w:rFonts w:hint="eastAsia" w:ascii="宋体" w:hAnsi="宋体" w:eastAsia="宋体" w:cs="宋体"/>
          <w:i w:val="0"/>
          <w:iCs w:val="0"/>
          <w:caps w:val="0"/>
          <w:color w:val="auto"/>
          <w:spacing w:val="0"/>
          <w:sz w:val="32"/>
          <w:szCs w:val="32"/>
          <w:lang w:val="en-US" w:eastAsia="zh-CN"/>
        </w:rPr>
        <w:t>31.25</w:t>
      </w:r>
      <w:r>
        <w:rPr>
          <w:rFonts w:hint="eastAsia" w:ascii="宋体" w:hAnsi="宋体" w:eastAsia="宋体" w:cs="宋体"/>
          <w:i w:val="0"/>
          <w:iCs w:val="0"/>
          <w:caps w:val="0"/>
          <w:color w:val="auto"/>
          <w:spacing w:val="0"/>
          <w:sz w:val="32"/>
          <w:szCs w:val="32"/>
        </w:rPr>
        <w:t>%。决算数</w:t>
      </w:r>
      <w:r>
        <w:rPr>
          <w:rFonts w:hint="eastAsia" w:ascii="宋体" w:hAnsi="宋体" w:eastAsia="宋体" w:cs="宋体"/>
          <w:i w:val="0"/>
          <w:iCs w:val="0"/>
          <w:caps w:val="0"/>
          <w:color w:val="auto"/>
          <w:spacing w:val="0"/>
          <w:sz w:val="32"/>
          <w:szCs w:val="32"/>
          <w:lang w:val="en-US" w:eastAsia="zh-CN"/>
        </w:rPr>
        <w:t>小</w:t>
      </w:r>
      <w:r>
        <w:rPr>
          <w:rFonts w:hint="eastAsia" w:ascii="宋体" w:hAnsi="宋体" w:eastAsia="宋体" w:cs="宋体"/>
          <w:i w:val="0"/>
          <w:iCs w:val="0"/>
          <w:caps w:val="0"/>
          <w:color w:val="auto"/>
          <w:spacing w:val="0"/>
          <w:sz w:val="32"/>
          <w:szCs w:val="32"/>
        </w:rPr>
        <w:t>于年初预算数的主要原因是：</w:t>
      </w:r>
      <w:r>
        <w:rPr>
          <w:rFonts w:hint="eastAsia" w:ascii="宋体" w:hAnsi="宋体" w:eastAsia="宋体" w:cs="宋体"/>
          <w:i w:val="0"/>
          <w:iCs w:val="0"/>
          <w:caps w:val="0"/>
          <w:color w:val="auto"/>
          <w:spacing w:val="0"/>
          <w:sz w:val="32"/>
          <w:szCs w:val="32"/>
          <w:lang w:val="en-US" w:eastAsia="zh-CN"/>
        </w:rPr>
        <w:t>财政核减</w:t>
      </w:r>
      <w:r>
        <w:rPr>
          <w:rFonts w:hint="eastAsia" w:ascii="宋体" w:hAnsi="宋体" w:eastAsia="宋体" w:cs="宋体"/>
          <w:i w:val="0"/>
          <w:iCs w:val="0"/>
          <w:caps w:val="0"/>
          <w:color w:val="000000"/>
          <w:spacing w:val="0"/>
          <w:sz w:val="32"/>
          <w:szCs w:val="32"/>
          <w:lang w:val="en-US" w:eastAsia="zh-CN"/>
        </w:rPr>
        <w:t>指标数且下达为医疗保障经办事务项。</w:t>
      </w:r>
    </w:p>
    <w:p>
      <w:pPr>
        <w:pStyle w:val="7"/>
        <w:keepNext w:val="0"/>
        <w:keepLines w:val="0"/>
        <w:widowControl/>
        <w:suppressLineNumbers w:val="0"/>
        <w:spacing w:before="0" w:beforeAutospacing="0" w:after="1" w:afterAutospacing="0"/>
        <w:ind w:left="0" w:right="0" w:firstLine="641"/>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32"/>
          <w:szCs w:val="32"/>
          <w:lang w:val="en-US" w:eastAsia="zh-CN"/>
        </w:rPr>
        <w:t>13</w:t>
      </w:r>
      <w:r>
        <w:rPr>
          <w:rFonts w:hint="eastAsia" w:ascii="宋体" w:hAnsi="宋体" w:eastAsia="宋体" w:cs="宋体"/>
          <w:i w:val="0"/>
          <w:iCs w:val="0"/>
          <w:caps w:val="0"/>
          <w:color w:val="000000"/>
          <w:spacing w:val="0"/>
          <w:sz w:val="32"/>
          <w:szCs w:val="32"/>
        </w:rPr>
        <w:t>、卫生健康支出（类）医疗保障管理事务（款）医疗保障经办事务（项） </w:t>
      </w:r>
    </w:p>
    <w:p>
      <w:pPr>
        <w:pStyle w:val="7"/>
        <w:keepNext w:val="0"/>
        <w:keepLines w:val="0"/>
        <w:widowControl/>
        <w:suppressLineNumbers w:val="0"/>
        <w:spacing w:before="0" w:beforeAutospacing="0" w:after="1" w:afterAutospacing="0"/>
        <w:ind w:left="0" w:right="0" w:firstLine="641"/>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年初预算为</w:t>
      </w:r>
      <w:r>
        <w:rPr>
          <w:rFonts w:hint="eastAsia" w:ascii="宋体" w:hAnsi="宋体" w:eastAsia="宋体" w:cs="宋体"/>
          <w:i w:val="0"/>
          <w:iCs w:val="0"/>
          <w:caps w:val="0"/>
          <w:color w:val="000000"/>
          <w:spacing w:val="0"/>
          <w:sz w:val="32"/>
          <w:szCs w:val="32"/>
          <w:lang w:val="en-US" w:eastAsia="zh-CN"/>
        </w:rPr>
        <w:t>8.1</w:t>
      </w:r>
      <w:r>
        <w:rPr>
          <w:rFonts w:hint="eastAsia" w:ascii="宋体" w:hAnsi="宋体" w:eastAsia="宋体" w:cs="宋体"/>
          <w:i w:val="0"/>
          <w:iCs w:val="0"/>
          <w:caps w:val="0"/>
          <w:color w:val="000000"/>
          <w:spacing w:val="0"/>
          <w:sz w:val="32"/>
          <w:szCs w:val="32"/>
        </w:rPr>
        <w:t>万元，支出决算为</w:t>
      </w:r>
      <w:r>
        <w:rPr>
          <w:rFonts w:hint="eastAsia" w:ascii="宋体" w:hAnsi="宋体" w:eastAsia="宋体" w:cs="宋体"/>
          <w:i w:val="0"/>
          <w:iCs w:val="0"/>
          <w:caps w:val="0"/>
          <w:color w:val="000000"/>
          <w:spacing w:val="0"/>
          <w:sz w:val="32"/>
          <w:szCs w:val="32"/>
          <w:lang w:val="en-US" w:eastAsia="zh-CN"/>
        </w:rPr>
        <w:t>16.1</w:t>
      </w:r>
      <w:r>
        <w:rPr>
          <w:rFonts w:hint="eastAsia" w:ascii="宋体" w:hAnsi="宋体" w:eastAsia="宋体" w:cs="宋体"/>
          <w:i w:val="0"/>
          <w:iCs w:val="0"/>
          <w:caps w:val="0"/>
          <w:color w:val="000000"/>
          <w:spacing w:val="0"/>
          <w:sz w:val="32"/>
          <w:szCs w:val="32"/>
        </w:rPr>
        <w:t>万元，</w:t>
      </w:r>
      <w:r>
        <w:rPr>
          <w:rFonts w:hint="eastAsia" w:ascii="宋体" w:hAnsi="宋体" w:eastAsia="宋体" w:cs="宋体"/>
          <w:i w:val="0"/>
          <w:iCs w:val="0"/>
          <w:caps w:val="0"/>
          <w:color w:val="000000"/>
          <w:spacing w:val="0"/>
          <w:sz w:val="32"/>
          <w:szCs w:val="32"/>
          <w:lang w:val="en-US" w:eastAsia="zh-CN"/>
        </w:rPr>
        <w:t>完成</w:t>
      </w:r>
      <w:r>
        <w:rPr>
          <w:rFonts w:hint="eastAsia" w:ascii="宋体" w:hAnsi="宋体" w:eastAsia="宋体" w:cs="宋体"/>
          <w:i w:val="0"/>
          <w:iCs w:val="0"/>
          <w:caps w:val="0"/>
          <w:color w:val="000000"/>
          <w:spacing w:val="0"/>
          <w:sz w:val="32"/>
          <w:szCs w:val="32"/>
        </w:rPr>
        <w:t>年初预算的1</w:t>
      </w:r>
      <w:r>
        <w:rPr>
          <w:rFonts w:hint="eastAsia" w:ascii="宋体" w:hAnsi="宋体" w:eastAsia="宋体" w:cs="宋体"/>
          <w:i w:val="0"/>
          <w:iCs w:val="0"/>
          <w:caps w:val="0"/>
          <w:color w:val="000000"/>
          <w:spacing w:val="0"/>
          <w:sz w:val="32"/>
          <w:szCs w:val="32"/>
          <w:lang w:val="en-US" w:eastAsia="zh-CN"/>
        </w:rPr>
        <w:t>98</w:t>
      </w:r>
      <w:r>
        <w:rPr>
          <w:rFonts w:hint="eastAsia" w:ascii="宋体" w:hAnsi="宋体" w:eastAsia="宋体" w:cs="宋体"/>
          <w:i w:val="0"/>
          <w:iCs w:val="0"/>
          <w:caps w:val="0"/>
          <w:color w:val="000000"/>
          <w:spacing w:val="0"/>
          <w:sz w:val="32"/>
          <w:szCs w:val="32"/>
        </w:rPr>
        <w:t>%。决算数大于年初预算数的主要原因是：预算时</w:t>
      </w:r>
      <w:r>
        <w:rPr>
          <w:rFonts w:hint="eastAsia" w:ascii="宋体" w:hAnsi="宋体" w:eastAsia="宋体" w:cs="宋体"/>
          <w:i w:val="0"/>
          <w:iCs w:val="0"/>
          <w:caps w:val="0"/>
          <w:color w:val="000000"/>
          <w:spacing w:val="0"/>
          <w:sz w:val="32"/>
          <w:szCs w:val="32"/>
          <w:lang w:val="en-US" w:eastAsia="zh-CN"/>
        </w:rPr>
        <w:t>列</w:t>
      </w:r>
      <w:r>
        <w:rPr>
          <w:rFonts w:hint="eastAsia" w:ascii="宋体" w:hAnsi="宋体" w:eastAsia="宋体" w:cs="宋体"/>
          <w:i w:val="0"/>
          <w:iCs w:val="0"/>
          <w:caps w:val="0"/>
          <w:color w:val="000000"/>
          <w:spacing w:val="0"/>
          <w:sz w:val="32"/>
          <w:szCs w:val="32"/>
        </w:rPr>
        <w:t>医疗保障政策管理支出项，实际支出为</w:t>
      </w:r>
      <w:r>
        <w:rPr>
          <w:rFonts w:hint="eastAsia" w:ascii="宋体" w:hAnsi="宋体" w:eastAsia="宋体" w:cs="宋体"/>
          <w:i w:val="0"/>
          <w:iCs w:val="0"/>
          <w:caps w:val="0"/>
          <w:color w:val="000000"/>
          <w:spacing w:val="0"/>
          <w:sz w:val="32"/>
          <w:szCs w:val="32"/>
          <w:lang w:eastAsia="zh-CN"/>
        </w:rPr>
        <w:t>“</w:t>
      </w:r>
      <w:r>
        <w:rPr>
          <w:rFonts w:hint="eastAsia" w:ascii="宋体" w:hAnsi="宋体" w:eastAsia="宋体" w:cs="宋体"/>
          <w:i w:val="0"/>
          <w:iCs w:val="0"/>
          <w:caps w:val="0"/>
          <w:color w:val="000000"/>
          <w:spacing w:val="0"/>
          <w:sz w:val="32"/>
          <w:szCs w:val="32"/>
        </w:rPr>
        <w:t>医疗保障经办事务项</w:t>
      </w:r>
      <w:r>
        <w:rPr>
          <w:rFonts w:hint="eastAsia" w:ascii="宋体" w:hAnsi="宋体" w:eastAsia="宋体" w:cs="宋体"/>
          <w:i w:val="0"/>
          <w:iCs w:val="0"/>
          <w:caps w:val="0"/>
          <w:color w:val="000000"/>
          <w:spacing w:val="0"/>
          <w:sz w:val="32"/>
          <w:szCs w:val="32"/>
          <w:lang w:eastAsia="zh-CN"/>
        </w:rPr>
        <w:t>”</w:t>
      </w:r>
      <w:r>
        <w:rPr>
          <w:rFonts w:hint="eastAsia" w:ascii="宋体" w:hAnsi="宋体" w:eastAsia="宋体" w:cs="宋体"/>
          <w:i w:val="0"/>
          <w:iCs w:val="0"/>
          <w:caps w:val="0"/>
          <w:color w:val="000000"/>
          <w:spacing w:val="0"/>
          <w:sz w:val="32"/>
          <w:szCs w:val="32"/>
        </w:rPr>
        <w:t>。</w:t>
      </w:r>
    </w:p>
    <w:p>
      <w:pPr>
        <w:pStyle w:val="7"/>
        <w:keepNext w:val="0"/>
        <w:keepLines w:val="0"/>
        <w:widowControl/>
        <w:suppressLineNumbers w:val="0"/>
        <w:spacing w:before="0" w:beforeAutospacing="0" w:after="1" w:afterAutospacing="0"/>
        <w:ind w:left="0" w:right="0" w:firstLine="641"/>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14</w:t>
      </w:r>
      <w:r>
        <w:rPr>
          <w:rFonts w:hint="eastAsia" w:ascii="宋体" w:hAnsi="宋体" w:eastAsia="宋体" w:cs="宋体"/>
          <w:i w:val="0"/>
          <w:iCs w:val="0"/>
          <w:caps w:val="0"/>
          <w:color w:val="000000"/>
          <w:spacing w:val="0"/>
          <w:sz w:val="32"/>
          <w:szCs w:val="32"/>
        </w:rPr>
        <w:t>、卫生健康支出（类）医疗保障管理事务（款）其他医疗保障管理事务支出（项） </w:t>
      </w:r>
    </w:p>
    <w:p>
      <w:pPr>
        <w:pStyle w:val="7"/>
        <w:keepNext w:val="0"/>
        <w:keepLines w:val="0"/>
        <w:widowControl/>
        <w:suppressLineNumbers w:val="0"/>
        <w:spacing w:before="0" w:beforeAutospacing="0" w:after="1" w:afterAutospacing="0"/>
        <w:ind w:left="0" w:right="0" w:firstLine="641"/>
        <w:jc w:val="left"/>
        <w:rPr>
          <w:rFonts w:hint="default" w:asciiTheme="minorEastAsia" w:hAnsiTheme="minorEastAsia" w:eastAsiaTheme="minorEastAsia"/>
          <w:sz w:val="32"/>
          <w:szCs w:val="32"/>
          <w:lang w:val="en-US" w:eastAsia="zh-CN"/>
        </w:rPr>
      </w:pPr>
      <w:r>
        <w:rPr>
          <w:rFonts w:hint="eastAsia" w:ascii="宋体" w:hAnsi="宋体" w:eastAsia="宋体" w:cs="宋体"/>
          <w:i w:val="0"/>
          <w:iCs w:val="0"/>
          <w:caps w:val="0"/>
          <w:color w:val="000000"/>
          <w:spacing w:val="0"/>
          <w:sz w:val="32"/>
          <w:szCs w:val="32"/>
        </w:rPr>
        <w:t>年初预算为</w:t>
      </w:r>
      <w:r>
        <w:rPr>
          <w:rFonts w:hint="eastAsia" w:ascii="宋体" w:hAnsi="宋体" w:eastAsia="宋体" w:cs="宋体"/>
          <w:i w:val="0"/>
          <w:iCs w:val="0"/>
          <w:caps w:val="0"/>
          <w:color w:val="000000"/>
          <w:spacing w:val="0"/>
          <w:sz w:val="32"/>
          <w:szCs w:val="32"/>
          <w:lang w:val="en-US" w:eastAsia="zh-CN"/>
        </w:rPr>
        <w:t>20</w:t>
      </w:r>
      <w:r>
        <w:rPr>
          <w:rFonts w:hint="eastAsia" w:ascii="宋体" w:hAnsi="宋体" w:eastAsia="宋体" w:cs="宋体"/>
          <w:i w:val="0"/>
          <w:iCs w:val="0"/>
          <w:caps w:val="0"/>
          <w:color w:val="000000"/>
          <w:spacing w:val="0"/>
          <w:sz w:val="32"/>
          <w:szCs w:val="32"/>
        </w:rPr>
        <w:t>万元，支出决算为</w:t>
      </w:r>
      <w:r>
        <w:rPr>
          <w:rFonts w:hint="eastAsia" w:ascii="宋体" w:hAnsi="宋体" w:eastAsia="宋体" w:cs="宋体"/>
          <w:i w:val="0"/>
          <w:iCs w:val="0"/>
          <w:caps w:val="0"/>
          <w:color w:val="000000"/>
          <w:spacing w:val="0"/>
          <w:sz w:val="32"/>
          <w:szCs w:val="32"/>
          <w:lang w:val="en-US" w:eastAsia="zh-CN"/>
        </w:rPr>
        <w:t>839.64</w:t>
      </w:r>
      <w:r>
        <w:rPr>
          <w:rFonts w:hint="eastAsia" w:ascii="宋体" w:hAnsi="宋体" w:eastAsia="宋体" w:cs="宋体"/>
          <w:i w:val="0"/>
          <w:iCs w:val="0"/>
          <w:caps w:val="0"/>
          <w:color w:val="000000"/>
          <w:spacing w:val="0"/>
          <w:sz w:val="32"/>
          <w:szCs w:val="32"/>
        </w:rPr>
        <w:t>万元，</w:t>
      </w:r>
      <w:r>
        <w:rPr>
          <w:rFonts w:hint="eastAsia" w:cs="黑体" w:asciiTheme="minorEastAsia" w:hAnsiTheme="minorEastAsia" w:eastAsiaTheme="minorEastAsia"/>
          <w:color w:val="000000"/>
          <w:kern w:val="0"/>
          <w:sz w:val="32"/>
          <w:szCs w:val="32"/>
          <w:lang w:val="en-US" w:eastAsia="zh-CN" w:bidi="ar-SA"/>
        </w:rPr>
        <w:t>完成年初预算的4198%。决算数大于年初预算数的主要原因是：政府兜底由县财政统一做预算，单位未单列</w:t>
      </w:r>
      <w:r>
        <w:rPr>
          <w:rFonts w:hint="eastAsia" w:cs="黑体" w:asciiTheme="minorEastAsia" w:hAnsiTheme="minorEastAsia"/>
          <w:color w:val="000000"/>
          <w:kern w:val="0"/>
          <w:sz w:val="32"/>
          <w:szCs w:val="32"/>
          <w:lang w:val="en-US" w:eastAsia="zh-CN" w:bidi="ar-SA"/>
        </w:rPr>
        <w:t>此项</w:t>
      </w:r>
      <w:r>
        <w:rPr>
          <w:rFonts w:hint="eastAsia" w:cs="黑体" w:asciiTheme="minorEastAsia" w:hAnsiTheme="minorEastAsia" w:eastAsiaTheme="minorEastAsia"/>
          <w:color w:val="000000"/>
          <w:kern w:val="0"/>
          <w:sz w:val="32"/>
          <w:szCs w:val="32"/>
          <w:lang w:val="en-US" w:eastAsia="zh-CN" w:bidi="ar-SA"/>
        </w:rPr>
        <w:t>。</w:t>
      </w:r>
    </w:p>
    <w:p>
      <w:pPr>
        <w:pStyle w:val="12"/>
        <w:ind w:firstLine="640" w:firstLineChars="200"/>
        <w:rPr>
          <w:rFonts w:hAnsi="黑体"/>
          <w:b/>
          <w:sz w:val="32"/>
          <w:szCs w:val="32"/>
        </w:rPr>
      </w:pPr>
      <w:r>
        <w:rPr>
          <w:rFonts w:hint="eastAsia" w:hAnsi="黑体"/>
          <w:b/>
          <w:sz w:val="32"/>
          <w:szCs w:val="32"/>
        </w:rPr>
        <w:t>六、一般公共预算财政拨款基本支出决算情况说明</w:t>
      </w:r>
    </w:p>
    <w:p>
      <w:pPr>
        <w:pStyle w:val="12"/>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38511.61</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38385.44</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99.67</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、绩效工资、机关事业单位基本养老保险缴费、职工基本医疗保险缴费、其他社会保障缴费、</w:t>
      </w:r>
      <w:r>
        <w:rPr>
          <w:rFonts w:hint="eastAsia" w:asciiTheme="minorEastAsia" w:hAnsiTheme="minorEastAsia" w:eastAsiaTheme="minorEastAsia"/>
          <w:sz w:val="32"/>
          <w:szCs w:val="32"/>
          <w:lang w:val="en-US" w:eastAsia="zh-CN"/>
        </w:rPr>
        <w:t>对个人和家庭补助支出的医疗费补助等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126.17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0.33</w:t>
      </w:r>
      <w:r>
        <w:rPr>
          <w:rFonts w:hint="eastAsia" w:asciiTheme="minorEastAsia" w:hAnsiTheme="minorEastAsia" w:eastAsiaTheme="minorEastAsia"/>
          <w:sz w:val="32"/>
          <w:szCs w:val="32"/>
        </w:rPr>
        <w:t>%，主要包括办公费、印刷费、电费</w:t>
      </w:r>
      <w:r>
        <w:rPr>
          <w:rFonts w:hint="eastAsia" w:asciiTheme="minorEastAsia" w:hAnsiTheme="minorEastAsia" w:eastAsiaTheme="minorEastAsia"/>
          <w:sz w:val="32"/>
          <w:szCs w:val="32"/>
          <w:lang w:eastAsia="zh-CN"/>
        </w:rPr>
        <w:t>、邮电费、</w:t>
      </w:r>
      <w:r>
        <w:rPr>
          <w:rFonts w:hint="eastAsia" w:asciiTheme="minorEastAsia" w:hAnsiTheme="minorEastAsia" w:eastAsiaTheme="minorEastAsia"/>
          <w:sz w:val="32"/>
          <w:szCs w:val="32"/>
        </w:rPr>
        <w:t>差旅费、租赁费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会议费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培训费</w:t>
      </w:r>
      <w:r>
        <w:rPr>
          <w:rFonts w:hint="eastAsia" w:asciiTheme="minorEastAsia" w:hAnsiTheme="minorEastAsia" w:eastAsiaTheme="minorEastAsia"/>
          <w:sz w:val="32"/>
          <w:szCs w:val="32"/>
          <w:lang w:eastAsia="zh-CN"/>
        </w:rPr>
        <w:t>、公务接待费、劳务费、工会经费、其他交通费用、其他商品和服务支出</w:t>
      </w:r>
      <w:r>
        <w:rPr>
          <w:rFonts w:hint="eastAsia" w:asciiTheme="minorEastAsia" w:hAnsiTheme="minorEastAsia" w:eastAsiaTheme="minorEastAsia"/>
          <w:sz w:val="32"/>
          <w:szCs w:val="32"/>
          <w:lang w:val="en-US" w:eastAsia="zh-CN"/>
        </w:rPr>
        <w:t>等</w:t>
      </w:r>
      <w:r>
        <w:rPr>
          <w:rFonts w:hint="eastAsia" w:asciiTheme="minorEastAsia" w:hAnsiTheme="minorEastAsia" w:eastAsiaTheme="minorEastAsia"/>
          <w:sz w:val="32"/>
          <w:szCs w:val="32"/>
        </w:rPr>
        <w:t>。</w:t>
      </w:r>
    </w:p>
    <w:p>
      <w:pPr>
        <w:pStyle w:val="12"/>
        <w:ind w:firstLine="640" w:firstLineChars="200"/>
        <w:rPr>
          <w:rFonts w:hAnsi="黑体"/>
          <w:b/>
          <w:sz w:val="32"/>
          <w:szCs w:val="32"/>
        </w:rPr>
      </w:pPr>
      <w:r>
        <w:rPr>
          <w:rFonts w:hint="eastAsia" w:hAnsi="黑体"/>
          <w:b/>
          <w:sz w:val="32"/>
          <w:szCs w:val="32"/>
        </w:rPr>
        <w:t>七、一般公共预算财政拨款“三公”经费支出决算情况说明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12.55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69.72</w:t>
      </w:r>
      <w:r>
        <w:rPr>
          <w:rFonts w:hint="eastAsia" w:asciiTheme="minorEastAsia" w:hAnsiTheme="minorEastAsia" w:eastAsiaTheme="minorEastAsia"/>
          <w:sz w:val="32"/>
          <w:szCs w:val="32"/>
        </w:rPr>
        <w:t>%，其中：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12.55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69.72</w:t>
      </w:r>
      <w:r>
        <w:rPr>
          <w:rFonts w:hint="eastAsia" w:asciiTheme="minorEastAsia" w:hAnsiTheme="minorEastAsia" w:eastAsiaTheme="minorEastAsia"/>
          <w:sz w:val="32"/>
          <w:szCs w:val="32"/>
        </w:rPr>
        <w:t>%，决算数小于预算数的主要原因是单位贯彻落实中央八项规定到位，内控制度更完美，严控支出 ，与上年相比减少</w:t>
      </w:r>
      <w:r>
        <w:rPr>
          <w:rFonts w:hint="eastAsia" w:asciiTheme="minorEastAsia" w:hAnsiTheme="minorEastAsia" w:eastAsiaTheme="minorEastAsia"/>
          <w:sz w:val="32"/>
          <w:szCs w:val="32"/>
          <w:lang w:val="en-US" w:eastAsia="zh-CN"/>
        </w:rPr>
        <w:t>0.39</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3.01</w:t>
      </w:r>
      <w:r>
        <w:rPr>
          <w:rFonts w:hint="eastAsia" w:asciiTheme="minorEastAsia" w:hAnsiTheme="minorEastAsia" w:eastAsiaTheme="minorEastAsia"/>
          <w:sz w:val="32"/>
          <w:szCs w:val="32"/>
        </w:rPr>
        <w:t>%,减少的主要原因是单位贯彻落实中央八项规定到位，内控制度更完美，严控支出 。</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，本年无公务用车购置预算。</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，本年本单位无公务用车需要维护。</w:t>
      </w:r>
    </w:p>
    <w:p>
      <w:pPr>
        <w:pStyle w:val="12"/>
        <w:ind w:firstLine="640" w:firstLineChars="200"/>
        <w:rPr>
          <w:rFonts w:asciiTheme="minorEastAsia" w:hAnsiTheme="minorEastAsia" w:eastAsiaTheme="minorEastAsia"/>
          <w:b/>
          <w:sz w:val="32"/>
          <w:szCs w:val="32"/>
        </w:rPr>
      </w:pPr>
      <w:bookmarkStart w:id="3" w:name="_GoBack"/>
      <w:bookmarkEnd w:id="3"/>
      <w:r>
        <w:rPr>
          <w:rFonts w:hint="eastAsia" w:asciiTheme="minorEastAsia" w:hAnsiTheme="minorEastAsia" w:eastAsiaTheme="minorEastAsia"/>
          <w:b/>
          <w:sz w:val="32"/>
          <w:szCs w:val="32"/>
        </w:rPr>
        <w:t>（二）“三公”经费财政拨款支出决算具体情况说明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12.55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2、公务接待费支出预算为</w:t>
      </w:r>
      <w:r>
        <w:rPr>
          <w:rFonts w:hint="eastAsia" w:asciiTheme="minorEastAsia" w:hAnsiTheme="minorEastAsia" w:eastAsiaTheme="minorEastAsia"/>
          <w:sz w:val="32"/>
          <w:szCs w:val="32"/>
          <w:lang w:val="en-US" w:eastAsia="zh-CN"/>
        </w:rPr>
        <w:t>12.55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12.55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，完成预算支出的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全年共接待来访团组</w:t>
      </w:r>
      <w:r>
        <w:rPr>
          <w:rFonts w:hint="eastAsia" w:asciiTheme="minorEastAsia" w:hAnsiTheme="minorEastAsia" w:eastAsiaTheme="minorEastAsia"/>
          <w:sz w:val="32"/>
          <w:szCs w:val="32"/>
          <w:lang w:val="en-US" w:eastAsia="zh-CN"/>
        </w:rPr>
        <w:t>94</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976</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val="en-US" w:eastAsia="zh-CN"/>
        </w:rPr>
        <w:t>省、</w:t>
      </w:r>
      <w:r>
        <w:rPr>
          <w:rFonts w:hint="eastAsia" w:asciiTheme="minorEastAsia" w:hAnsiTheme="minorEastAsia" w:eastAsiaTheme="minorEastAsia"/>
          <w:sz w:val="32"/>
          <w:szCs w:val="32"/>
        </w:rPr>
        <w:t>市内医保部门相互交流学习医保基金经办、监管业务发生的接待支出发生的接待支出。</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，本年无公务用车购置预算。</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公务用车运行维护费支出</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，本年本单位无公务用车需要维护。</w:t>
      </w:r>
    </w:p>
    <w:p>
      <w:pPr>
        <w:pStyle w:val="12"/>
        <w:ind w:firstLine="640" w:firstLineChars="200"/>
        <w:rPr>
          <w:rFonts w:hAnsi="黑体"/>
          <w:b/>
          <w:sz w:val="32"/>
          <w:szCs w:val="32"/>
        </w:rPr>
      </w:pPr>
      <w:r>
        <w:rPr>
          <w:rFonts w:hint="eastAsia" w:hAnsi="黑体"/>
          <w:b/>
          <w:sz w:val="32"/>
          <w:szCs w:val="32"/>
        </w:rPr>
        <w:t>八、政府性基金预算收入支出决算情况</w:t>
      </w:r>
    </w:p>
    <w:p>
      <w:pPr>
        <w:pStyle w:val="12"/>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79.91</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79.91</w:t>
      </w:r>
      <w:r>
        <w:rPr>
          <w:rFonts w:hint="eastAsia" w:asciiTheme="minorEastAsia" w:hAnsiTheme="minorEastAsia" w:eastAsiaTheme="minorEastAsia"/>
          <w:sz w:val="32"/>
          <w:szCs w:val="32"/>
        </w:rPr>
        <w:t>万元，其中</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79.91</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1、其他支出（类）彩票公益金安排的支出（款）用于城乡医疗救助的彩票公益金支出（项）。</w:t>
      </w:r>
    </w:p>
    <w:p>
      <w:pPr>
        <w:pStyle w:val="12"/>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79.91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无法计算完成比率</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县级财政无此项政府性基金预算，决算收入为医疗救助中央财政补助资金（彩票公益金）。</w:t>
      </w:r>
    </w:p>
    <w:p>
      <w:pPr>
        <w:pStyle w:val="12"/>
        <w:ind w:firstLine="640" w:firstLineChars="200"/>
        <w:rPr>
          <w:rFonts w:hAnsi="黑体"/>
          <w:b/>
          <w:sz w:val="32"/>
          <w:szCs w:val="32"/>
        </w:rPr>
      </w:pPr>
      <w:r>
        <w:rPr>
          <w:rFonts w:hint="eastAsia" w:hAnsi="黑体"/>
          <w:b/>
          <w:sz w:val="32"/>
          <w:szCs w:val="32"/>
        </w:rPr>
        <w:t>九、机关运行经费支出说明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126.17</w:t>
      </w:r>
      <w:r>
        <w:rPr>
          <w:rFonts w:hint="eastAsia" w:asciiTheme="minorEastAsia" w:hAnsiTheme="minorEastAsia" w:eastAsiaTheme="minorEastAsia"/>
          <w:sz w:val="32"/>
          <w:szCs w:val="32"/>
        </w:rPr>
        <w:t>万元，比年初预算数减少</w:t>
      </w:r>
      <w:r>
        <w:rPr>
          <w:rFonts w:hint="eastAsia" w:asciiTheme="minorEastAsia" w:hAnsiTheme="minorEastAsia" w:eastAsiaTheme="minorEastAsia"/>
          <w:sz w:val="32"/>
          <w:szCs w:val="32"/>
          <w:lang w:val="en-US" w:eastAsia="zh-CN"/>
        </w:rPr>
        <w:t>21.48</w:t>
      </w:r>
      <w:r>
        <w:rPr>
          <w:rFonts w:hint="eastAsia" w:asciiTheme="minorEastAsia" w:hAnsiTheme="minorEastAsia" w:eastAsiaTheme="minorEastAsia"/>
          <w:sz w:val="32"/>
          <w:szCs w:val="32"/>
        </w:rPr>
        <w:t xml:space="preserve"> 万元，降低</w:t>
      </w:r>
      <w:r>
        <w:rPr>
          <w:rFonts w:hint="eastAsia" w:asciiTheme="minorEastAsia" w:hAnsiTheme="minorEastAsia" w:eastAsiaTheme="minorEastAsia"/>
          <w:sz w:val="32"/>
          <w:szCs w:val="32"/>
          <w:lang w:val="en-US" w:eastAsia="zh-CN"/>
        </w:rPr>
        <w:t>14.55</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val="en-US" w:eastAsia="zh-CN"/>
        </w:rPr>
        <w:t>单位</w:t>
      </w:r>
      <w:r>
        <w:rPr>
          <w:rFonts w:hint="eastAsia" w:asciiTheme="minorEastAsia" w:hAnsiTheme="minorEastAsia" w:eastAsiaTheme="minorEastAsia"/>
          <w:sz w:val="32"/>
          <w:szCs w:val="32"/>
        </w:rPr>
        <w:t>节约开支。</w:t>
      </w:r>
    </w:p>
    <w:p>
      <w:pPr>
        <w:pStyle w:val="12"/>
        <w:rPr>
          <w:rFonts w:hAnsi="黑体"/>
          <w:b/>
          <w:sz w:val="32"/>
          <w:szCs w:val="32"/>
        </w:rPr>
      </w:pPr>
      <w:r>
        <w:rPr>
          <w:rFonts w:hint="eastAsia" w:hAnsi="黑体"/>
          <w:b/>
          <w:sz w:val="32"/>
          <w:szCs w:val="32"/>
        </w:rPr>
        <w:t>十、一般性支出情况说明</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2.63</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用于召开</w:t>
      </w:r>
      <w:r>
        <w:rPr>
          <w:rFonts w:hint="eastAsia" w:asciiTheme="minorEastAsia" w:hAnsiTheme="minorEastAsia" w:eastAsiaTheme="minorEastAsia"/>
          <w:sz w:val="32"/>
          <w:szCs w:val="32"/>
        </w:rPr>
        <w:t>“打击欺诈骗保 维护基金安全”</w:t>
      </w:r>
      <w:r>
        <w:rPr>
          <w:rFonts w:hint="default" w:asciiTheme="minorEastAsia" w:hAnsiTheme="minorEastAsia" w:eastAsiaTheme="minorEastAsia"/>
          <w:sz w:val="32"/>
          <w:szCs w:val="32"/>
        </w:rPr>
        <w:t>集中宣传活动</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约300</w:t>
      </w:r>
      <w:r>
        <w:rPr>
          <w:rFonts w:hint="eastAsia" w:asciiTheme="minorEastAsia" w:hAnsiTheme="minorEastAsia" w:eastAsiaTheme="minorEastAsia"/>
          <w:sz w:val="32"/>
          <w:szCs w:val="32"/>
        </w:rPr>
        <w:t>人，内容为“打击欺诈骗保 维护基金安全”；开支培训费</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万元，用于开展开展新医保系统上线工作培训，人数</w:t>
      </w:r>
      <w:r>
        <w:rPr>
          <w:rFonts w:hint="eastAsia" w:asciiTheme="minorEastAsia" w:hAnsiTheme="minorEastAsia" w:eastAsiaTheme="minorEastAsia"/>
          <w:sz w:val="32"/>
          <w:szCs w:val="32"/>
          <w:lang w:val="en-US" w:eastAsia="zh-CN"/>
        </w:rPr>
        <w:t>约220</w:t>
      </w:r>
      <w:r>
        <w:rPr>
          <w:rFonts w:hint="eastAsia" w:asciiTheme="minorEastAsia" w:hAnsiTheme="minorEastAsia" w:eastAsiaTheme="minorEastAsia"/>
          <w:sz w:val="32"/>
          <w:szCs w:val="32"/>
        </w:rPr>
        <w:t>人，内容为DIP付费方式改革准备工作；无节庆、晚会、赛事等开支</w:t>
      </w:r>
      <w:r>
        <w:rPr>
          <w:rFonts w:hint="eastAsia" w:asciiTheme="minorEastAsia" w:hAnsiTheme="minorEastAsia" w:eastAsiaTheme="minorEastAsia"/>
          <w:sz w:val="32"/>
          <w:szCs w:val="32"/>
          <w:lang w:eastAsia="zh-CN"/>
        </w:rPr>
        <w:t>。</w:t>
      </w:r>
    </w:p>
    <w:p>
      <w:pPr>
        <w:pStyle w:val="12"/>
        <w:ind w:firstLine="640" w:firstLineChars="200"/>
        <w:rPr>
          <w:rFonts w:hAnsi="黑体"/>
          <w:b/>
          <w:sz w:val="32"/>
          <w:szCs w:val="32"/>
        </w:rPr>
      </w:pPr>
      <w:r>
        <w:rPr>
          <w:rFonts w:hint="eastAsia" w:hAnsi="黑体"/>
          <w:b/>
          <w:sz w:val="32"/>
          <w:szCs w:val="32"/>
        </w:rPr>
        <w:t>十一、政府采购支出说明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ind w:firstLine="640" w:firstLineChars="200"/>
        <w:rPr>
          <w:rFonts w:hAnsi="黑体"/>
          <w:b/>
          <w:sz w:val="32"/>
          <w:szCs w:val="32"/>
        </w:rPr>
      </w:pPr>
      <w:r>
        <w:rPr>
          <w:rFonts w:hint="eastAsia" w:hAnsi="黑体"/>
          <w:b/>
          <w:sz w:val="32"/>
          <w:szCs w:val="32"/>
        </w:rPr>
        <w:t>十二、国有资产占用情况说明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w:t>
      </w:r>
      <w:r>
        <w:rPr>
          <w:rFonts w:hint="eastAsia" w:asciiTheme="minorEastAsia" w:hAnsiTheme="minorEastAsia" w:eastAsiaTheme="minorEastAsia"/>
          <w:sz w:val="32"/>
          <w:szCs w:val="32"/>
          <w:lang w:val="en-US" w:eastAsia="zh-CN"/>
        </w:rPr>
        <w:t>道县医疗保障局</w:t>
      </w:r>
      <w:r>
        <w:rPr>
          <w:rFonts w:hint="eastAsia" w:asciiTheme="minorEastAsia" w:hAnsiTheme="minorEastAsia" w:eastAsiaTheme="minorEastAsia"/>
          <w:sz w:val="32"/>
          <w:szCs w:val="32"/>
        </w:rPr>
        <w:t>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2"/>
        <w:ind w:firstLine="640" w:firstLineChars="200"/>
        <w:rPr>
          <w:rFonts w:hAnsi="黑体"/>
          <w:b/>
          <w:sz w:val="32"/>
          <w:szCs w:val="32"/>
        </w:rPr>
      </w:pPr>
      <w:r>
        <w:rPr>
          <w:rFonts w:hint="eastAsia" w:hAnsi="黑体"/>
          <w:b/>
          <w:sz w:val="32"/>
          <w:szCs w:val="32"/>
        </w:rPr>
        <w:t>十三、2021年度预算绩效情况说明</w:t>
      </w:r>
    </w:p>
    <w:p>
      <w:pPr>
        <w:pStyle w:val="12"/>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本部门预算绩效管理开展情况、绩效目标和绩效评价报告等见附件。</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numPr>
          <w:ilvl w:val="0"/>
          <w:numId w:val="0"/>
        </w:numPr>
        <w:ind w:left="420" w:leftChars="0" w:firstLine="640" w:firstLineChars="200"/>
        <w:jc w:val="left"/>
        <w:rPr>
          <w:rFonts w:hint="default" w:cs="黑体" w:asciiTheme="minorEastAsia" w:hAnsiTheme="minorEastAsia" w:eastAsiaTheme="minorEastAsia"/>
          <w:color w:val="000000"/>
          <w:kern w:val="0"/>
          <w:sz w:val="32"/>
          <w:szCs w:val="32"/>
          <w:lang w:val="en-US" w:eastAsia="zh-CN" w:bidi="ar-SA"/>
        </w:rPr>
      </w:pPr>
      <w:r>
        <w:rPr>
          <w:rFonts w:hint="eastAsia" w:ascii="黑体" w:hAnsi="黑体" w:eastAsia="黑体" w:cs="黑体"/>
          <w:b/>
          <w:color w:val="000000"/>
          <w:kern w:val="0"/>
          <w:sz w:val="32"/>
          <w:szCs w:val="32"/>
          <w:lang w:val="en-US" w:eastAsia="zh-CN" w:bidi="ar-SA"/>
        </w:rPr>
        <w:t>一、机关运行经费：</w:t>
      </w:r>
      <w:r>
        <w:rPr>
          <w:rFonts w:hint="eastAsia" w:cs="黑体" w:asciiTheme="minorEastAsia" w:hAnsiTheme="minorEastAsia" w:eastAsiaTheme="minorEastAsia"/>
          <w:color w:val="000000"/>
          <w:kern w:val="0"/>
          <w:sz w:val="32"/>
          <w:szCs w:val="32"/>
          <w:lang w:val="en-US" w:eastAsia="zh-CN" w:bidi="ar-SA"/>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default" w:cs="黑体" w:asciiTheme="minorEastAsia" w:hAnsiTheme="minorEastAsia" w:eastAsiaTheme="minorEastAsia"/>
          <w:color w:val="000000"/>
          <w:kern w:val="0"/>
          <w:sz w:val="32"/>
          <w:szCs w:val="32"/>
          <w:lang w:val="en-US" w:eastAsia="zh-CN" w:bidi="ar-SA"/>
        </w:rPr>
        <w:t> </w:t>
      </w:r>
    </w:p>
    <w:p>
      <w:pPr>
        <w:numPr>
          <w:ilvl w:val="0"/>
          <w:numId w:val="0"/>
        </w:numPr>
        <w:ind w:left="420" w:leftChars="0" w:firstLine="640" w:firstLineChars="200"/>
        <w:jc w:val="left"/>
        <w:rPr>
          <w:rFonts w:hint="default" w:cs="黑体" w:asciiTheme="minorEastAsia" w:hAnsiTheme="minorEastAsia" w:eastAsiaTheme="minorEastAsia"/>
          <w:color w:val="000000"/>
          <w:kern w:val="0"/>
          <w:sz w:val="32"/>
          <w:szCs w:val="32"/>
          <w:lang w:val="en-US" w:eastAsia="zh-CN" w:bidi="ar-SA"/>
        </w:rPr>
      </w:pPr>
      <w:r>
        <w:rPr>
          <w:rFonts w:hint="eastAsia" w:ascii="黑体" w:hAnsi="黑体" w:eastAsia="黑体" w:cs="黑体"/>
          <w:b/>
          <w:color w:val="000000"/>
          <w:kern w:val="0"/>
          <w:sz w:val="32"/>
          <w:szCs w:val="32"/>
          <w:lang w:val="en-US" w:eastAsia="zh-CN" w:bidi="ar-SA"/>
        </w:rPr>
        <w:t>二、“三公”</w:t>
      </w:r>
      <w:r>
        <w:rPr>
          <w:rFonts w:hint="default" w:ascii="黑体" w:hAnsi="黑体" w:eastAsia="黑体" w:cs="黑体"/>
          <w:b/>
          <w:color w:val="000000"/>
          <w:kern w:val="0"/>
          <w:sz w:val="32"/>
          <w:szCs w:val="32"/>
          <w:lang w:val="en-US" w:eastAsia="zh-CN" w:bidi="ar-SA"/>
        </w:rPr>
        <w:t>经费：</w:t>
      </w:r>
      <w:r>
        <w:rPr>
          <w:rFonts w:hint="default" w:cs="黑体" w:asciiTheme="minorEastAsia" w:hAnsiTheme="minorEastAsia" w:eastAsiaTheme="minorEastAsia"/>
          <w:color w:val="000000"/>
          <w:kern w:val="0"/>
          <w:sz w:val="32"/>
          <w:szCs w:val="32"/>
          <w:lang w:val="en-US" w:eastAsia="zh-CN" w:bidi="ar-SA"/>
        </w:rPr>
        <w:t>是指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numPr>
          <w:ilvl w:val="0"/>
          <w:numId w:val="0"/>
        </w:numPr>
        <w:ind w:left="420" w:leftChars="0" w:firstLine="640" w:firstLineChars="200"/>
        <w:jc w:val="left"/>
        <w:rPr>
          <w:rFonts w:hint="default" w:cs="黑体" w:asciiTheme="minorEastAsia" w:hAnsiTheme="minorEastAsia" w:eastAsiaTheme="minorEastAsia"/>
          <w:color w:val="000000"/>
          <w:kern w:val="0"/>
          <w:sz w:val="32"/>
          <w:szCs w:val="32"/>
          <w:lang w:val="en-US" w:eastAsia="zh-CN" w:bidi="ar-SA"/>
        </w:rPr>
      </w:pPr>
      <w:r>
        <w:rPr>
          <w:rFonts w:hint="eastAsia" w:ascii="黑体" w:hAnsi="黑体" w:eastAsia="黑体" w:cs="黑体"/>
          <w:b/>
          <w:color w:val="000000"/>
          <w:kern w:val="0"/>
          <w:sz w:val="32"/>
          <w:szCs w:val="32"/>
          <w:lang w:val="en-US" w:eastAsia="zh-CN" w:bidi="ar-SA"/>
        </w:rPr>
        <w:t>三、基本支出：</w:t>
      </w:r>
      <w:r>
        <w:rPr>
          <w:rFonts w:hint="default" w:cs="黑体" w:asciiTheme="minorEastAsia" w:hAnsiTheme="minorEastAsia" w:eastAsiaTheme="minorEastAsia"/>
          <w:color w:val="000000"/>
          <w:kern w:val="0"/>
          <w:sz w:val="32"/>
          <w:szCs w:val="32"/>
          <w:lang w:val="en-US" w:eastAsia="zh-CN" w:bidi="ar-SA"/>
        </w:rPr>
        <w:t>是指为保障单位机构正常运转、完成日常工作任务而发生的各项支出，包括用于基本工资、津贴补贴等人员经费以及办公费、印刷费、水电费、办公设备购置等日常公用经费。</w:t>
      </w:r>
    </w:p>
    <w:p>
      <w:pPr>
        <w:pStyle w:val="4"/>
        <w:ind w:firstLine="960" w:firstLineChars="300"/>
        <w:rPr>
          <w:rFonts w:hint="default" w:ascii="仿宋_GB2312" w:hAnsi="宋体" w:eastAsia="仿宋_GB2312" w:cs="仿宋_GB2312"/>
          <w:i w:val="0"/>
          <w:iCs w:val="0"/>
          <w:caps w:val="0"/>
          <w:color w:val="000000"/>
          <w:spacing w:val="0"/>
          <w:kern w:val="2"/>
          <w:sz w:val="32"/>
          <w:szCs w:val="32"/>
          <w:lang w:val="en-US" w:eastAsia="zh-CN" w:bidi="ar-SA"/>
        </w:rPr>
      </w:pPr>
      <w:r>
        <w:rPr>
          <w:rFonts w:hint="eastAsia" w:ascii="黑体" w:hAnsi="黑体" w:eastAsia="黑体" w:cs="黑体"/>
          <w:b/>
          <w:color w:val="000000"/>
          <w:kern w:val="0"/>
          <w:sz w:val="32"/>
          <w:szCs w:val="32"/>
          <w:lang w:val="en-US" w:eastAsia="zh-CN" w:bidi="ar-SA"/>
        </w:rPr>
        <w:t>四、项目支出：</w:t>
      </w:r>
      <w:r>
        <w:rPr>
          <w:rFonts w:hint="default" w:cs="黑体" w:asciiTheme="minorEastAsia" w:hAnsiTheme="minorEastAsia" w:eastAsiaTheme="minorEastAsia"/>
          <w:color w:val="000000"/>
          <w:kern w:val="0"/>
          <w:sz w:val="32"/>
          <w:szCs w:val="32"/>
          <w:lang w:val="en-US" w:eastAsia="zh-CN" w:bidi="ar-SA"/>
        </w:rPr>
        <w:t>项目支出：是指单位为完成特定行政工作任务或事业发展目标而发生的支出。</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both"/>
        <w:rPr>
          <w:sz w:val="72"/>
          <w:szCs w:val="72"/>
        </w:rPr>
      </w:pPr>
    </w:p>
    <w:p>
      <w:pPr>
        <w:pStyle w:val="12"/>
        <w:jc w:val="both"/>
        <w:rPr>
          <w:sz w:val="72"/>
          <w:szCs w:val="72"/>
        </w:rPr>
      </w:pPr>
    </w:p>
    <w:p>
      <w:pPr>
        <w:pStyle w:val="12"/>
        <w:jc w:val="center"/>
        <w:rPr>
          <w:sz w:val="72"/>
          <w:szCs w:val="72"/>
        </w:rPr>
      </w:pPr>
    </w:p>
    <w:p>
      <w:pPr>
        <w:pStyle w:val="12"/>
        <w:jc w:val="both"/>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720" w:firstLineChars="200"/>
        <w:jc w:val="center"/>
        <w:rPr>
          <w:rFonts w:hint="eastAsia" w:ascii="黑体" w:hAnsi="黑体" w:eastAsia="黑体" w:cs="黑体"/>
          <w:b/>
          <w:color w:val="000000"/>
          <w:kern w:val="0"/>
          <w:sz w:val="36"/>
          <w:szCs w:val="36"/>
          <w:lang w:val="en-US" w:eastAsia="zh-CN" w:bidi="ar-SA"/>
        </w:rPr>
      </w:pPr>
    </w:p>
    <w:p>
      <w:pPr>
        <w:ind w:firstLine="720" w:firstLineChars="200"/>
        <w:jc w:val="center"/>
        <w:rPr>
          <w:rFonts w:hint="eastAsia" w:ascii="黑体" w:hAnsi="黑体" w:eastAsia="黑体" w:cs="黑体"/>
          <w:b/>
          <w:color w:val="000000"/>
          <w:kern w:val="0"/>
          <w:sz w:val="36"/>
          <w:szCs w:val="36"/>
          <w:lang w:val="en-US" w:eastAsia="zh-CN" w:bidi="ar-SA"/>
        </w:rPr>
      </w:pPr>
      <w:r>
        <w:rPr>
          <w:rFonts w:hint="eastAsia" w:ascii="黑体" w:hAnsi="黑体" w:eastAsia="黑体" w:cs="黑体"/>
          <w:b/>
          <w:color w:val="000000"/>
          <w:kern w:val="0"/>
          <w:sz w:val="36"/>
          <w:szCs w:val="36"/>
          <w:lang w:val="en-US" w:eastAsia="zh-CN" w:bidi="ar-SA"/>
        </w:rPr>
        <w:t>2021年度部门整体支出绩效评价报告</w:t>
      </w:r>
    </w:p>
    <w:p>
      <w:pPr>
        <w:ind w:firstLine="640" w:firstLineChars="200"/>
        <w:rPr>
          <w:rFonts w:hint="eastAsia" w:ascii="黑体" w:hAnsi="黑体" w:eastAsia="黑体" w:cs="黑体"/>
          <w:b/>
          <w:sz w:val="40"/>
          <w:szCs w:val="40"/>
        </w:rPr>
      </w:pPr>
      <w:r>
        <w:rPr>
          <w:rFonts w:hint="eastAsia" w:ascii="黑体" w:hAnsi="黑体" w:eastAsia="黑体" w:cs="黑体"/>
          <w:b/>
          <w:color w:val="000000"/>
          <w:kern w:val="0"/>
          <w:sz w:val="32"/>
          <w:szCs w:val="32"/>
          <w:lang w:val="en-US" w:eastAsia="zh-CN" w:bidi="ar-SA"/>
        </w:rPr>
        <w:t>一、基本情况</w:t>
      </w:r>
    </w:p>
    <w:p>
      <w:pPr>
        <w:pStyle w:val="12"/>
        <w:ind w:firstLine="640" w:firstLineChars="200"/>
        <w:rPr>
          <w:rFonts w:hint="eastAsia"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lang w:val="en-US" w:eastAsia="zh-CN"/>
        </w:rPr>
        <w:t>（一）部门基本情况</w:t>
      </w:r>
    </w:p>
    <w:p>
      <w:pPr>
        <w:pStyle w:val="12"/>
        <w:ind w:firstLine="640" w:firstLineChars="200"/>
        <w:rPr>
          <w:rFonts w:hint="eastAsia"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1．主要职能。</w:t>
      </w:r>
    </w:p>
    <w:p>
      <w:pPr>
        <w:pStyle w:val="12"/>
        <w:ind w:firstLine="640" w:firstLineChars="200"/>
        <w:rPr>
          <w:rFonts w:hint="eastAsia"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（1）拟定全县医疗保险、生育保险、医疗救助等医疗保障制度的政策、规划和标准，并组织实施。</w:t>
      </w:r>
    </w:p>
    <w:p>
      <w:pPr>
        <w:pStyle w:val="12"/>
        <w:ind w:firstLine="640" w:firstLineChars="200"/>
        <w:rPr>
          <w:rFonts w:hint="default"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（2）、组织制定并实施全县医疗保障基金监督管理办法，监督管理相关医疗保障基金。建立健全医疗保障基金安全防控机制，推进医疗保障基金支付方式改革。</w:t>
      </w:r>
    </w:p>
    <w:p>
      <w:pPr>
        <w:pStyle w:val="12"/>
        <w:ind w:firstLine="640" w:firstLineChars="200"/>
        <w:rPr>
          <w:rFonts w:hint="default"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3）、组织制定全县医疗保障筹资和待遇政策，组织制定全县城乡居民大病保险政策，完善动态调整和区域内调剂平衡机制，统筹城乡医疗保障待遇标准，建立健全与筹资水平相适应的待遇调整机制。负责管理全县医疗救助资金的使用。组织拟定并实施长期护理保险制度改革方案。</w:t>
      </w:r>
    </w:p>
    <w:p>
      <w:pPr>
        <w:pStyle w:val="12"/>
        <w:ind w:firstLine="640" w:firstLineChars="200"/>
        <w:rPr>
          <w:rFonts w:hint="eastAsia"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 xml:space="preserve">（4）、贯彻落实国家、湖南省制定的药品、医用耗材、医疗服务项目、医疗服务设施等医保目录、支付标准。贯彻执行医保目录准入谈判规则。 </w:t>
      </w:r>
    </w:p>
    <w:p>
      <w:pPr>
        <w:pStyle w:val="12"/>
        <w:ind w:firstLine="640" w:firstLineChars="200"/>
        <w:rPr>
          <w:rFonts w:hint="default"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5）、组织制定全县药品、医用耗材价格和医疗服务项目、医疗服务设施收费等政策，建立医保支付医药服务价格合理确定和动态调整机制，推动建立市场主导的社会医药服务体格形成机制，建立价格信息监测和信息发布制度。</w:t>
      </w:r>
    </w:p>
    <w:p>
      <w:pPr>
        <w:pStyle w:val="12"/>
        <w:ind w:firstLine="640" w:firstLineChars="200"/>
        <w:rPr>
          <w:rFonts w:hint="default"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（6）、根据国家、省、市药品、医用耗材的招标采购政策，监督实施全县药品、医用耗材招标采购工作。</w:t>
      </w:r>
    </w:p>
    <w:p>
      <w:pPr>
        <w:pStyle w:val="12"/>
        <w:ind w:firstLine="640" w:firstLineChars="200"/>
        <w:rPr>
          <w:rFonts w:hint="eastAsia"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（7）、制定全县定点医药机构协议和支付管理办法并组织实施，建立健全医疗保障信用评价体系和信息披露制度，监督管理纳入医保范围内的医疗服务行为和医疗费用，依法查处医疗保障领域违法违规行为。</w:t>
      </w:r>
    </w:p>
    <w:p>
      <w:pPr>
        <w:pStyle w:val="12"/>
        <w:ind w:firstLine="640" w:firstLineChars="200"/>
        <w:rPr>
          <w:rFonts w:hint="default"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8）、负责全县医疗保障经办管理、公共服务体系和信息化建设。指导、监督全县医疗保险、生育保险、大病保险、医疗救助等医疗保障经办业务工作。负责医疗保障行政审批事项。组织制定和完善异地就医管理和费用结算政策。建立健全医疗保障关系转移接续制度。开展医疗保障领域合作交流。</w:t>
      </w:r>
    </w:p>
    <w:p>
      <w:pPr>
        <w:pStyle w:val="12"/>
        <w:ind w:firstLine="640" w:firstLineChars="200"/>
        <w:rPr>
          <w:rFonts w:hint="default"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（9）、完成县委、县政府交办的其他工作。</w:t>
      </w:r>
    </w:p>
    <w:p>
      <w:pPr>
        <w:pStyle w:val="12"/>
        <w:ind w:firstLine="640" w:firstLineChars="200"/>
        <w:rPr>
          <w:rFonts w:hint="eastAsia"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10）、职能转变。县医保局应完善统一的城乡居民基本医疗保险制度和大病保险制度，巩固完善城乡居民医疗救助制度，建立健全覆盖全民、城乡统筹的多层次医疗保障体系，不断提高医疗保障水平，确保医保资金合理使用、安全可控，推进医疗、医保、医药“三医联动”改革，更好保障人民群众就医需求、减轻医药费用负担。</w:t>
      </w:r>
    </w:p>
    <w:p>
      <w:pPr>
        <w:pStyle w:val="12"/>
        <w:ind w:firstLine="640" w:firstLineChars="200"/>
        <w:rPr>
          <w:rFonts w:hint="default"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（11）、与县卫生健康局的有关职责分工。县卫生健康局、县医保局等部门在医疗、医保、医药等方面加强制度、政策衔接，建立沟通协商机制，协同推进改革，提高医疗资源使用效率和医疗保障水平。</w:t>
      </w:r>
    </w:p>
    <w:p>
      <w:pPr>
        <w:pStyle w:val="12"/>
        <w:ind w:firstLine="640" w:firstLineChars="200"/>
        <w:rPr>
          <w:rFonts w:hint="eastAsia"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 xml:space="preserve">2、机构设置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道县医保局是县政府工作部门，为正科级行政单位，下设县医疗保障事务中心，为副科级公益一类事业单位。局机关设领导班子3名，内设股室6个，行政编制8个，实有编制人员14人，全部为公务员。县医疗保障事务中心，设领导班子3名，内设股室7个，事业编制51个，实有编制人员38人，全局年末实有工作人员52人。</w:t>
      </w:r>
    </w:p>
    <w:p>
      <w:pPr>
        <w:pStyle w:val="12"/>
        <w:ind w:firstLine="640" w:firstLineChars="200"/>
        <w:rPr>
          <w:rFonts w:hint="eastAsia"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lang w:val="en-US" w:eastAsia="zh-CN"/>
        </w:rPr>
        <w:t>（二）部门年度整体支出绩效目标，专项资金绩效目标。</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2021年度单位整体支出和专项资金绩效目标情况：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目标1.继续稳定医保参保缴费率,预计城镇职工参保人数3万人，城乡居民参保人数 65万人。</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2021年全县基本医疗保险实际参保人数为68.55万人，完成市级下达目标任务的110.50%,排全市第一，做到应保尽保。筹集医保基金6.93亿，做大做强基金盘子，提高抗风险能力。</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目标2.确保困难人群全面参保缴费，持续实施重特大疾病医疗救助。</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2021年全面落实城乡医疗救助制度，符合救助条件的对象全部纳入救助范围，全年共救助46992人次，发放救助金1709.16万元。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目标3.完善综合监管机制，继续开展打击欺诈骗保专项治理行动。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坚持严监管强执法，从重打击骗保行为。</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目标4.提升医保经办服务水平。</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heme="minorEastAsia" w:hAnsiTheme="minorEastAsia" w:eastAsiaTheme="minorEastAsia" w:cstheme="minorBidi"/>
          <w:bCs/>
          <w:color w:val="auto"/>
          <w:kern w:val="0"/>
          <w:sz w:val="32"/>
          <w:szCs w:val="32"/>
          <w:lang w:val="en-US" w:eastAsia="zh-CN" w:bidi="ar-SA"/>
        </w:rPr>
        <w:t>一是设立窗口服务股，实行“一窗口通办”，梳理政务服务医保事项20余项，简化办事流程。二是持续推进“互联网+医保”服务。</w:t>
      </w:r>
    </w:p>
    <w:p>
      <w:pPr>
        <w:ind w:firstLine="640" w:firstLineChars="200"/>
        <w:rPr>
          <w:rFonts w:hint="eastAsia" w:ascii="黑体" w:hAnsi="黑体" w:eastAsia="黑体" w:cs="黑体"/>
          <w:b/>
          <w:color w:val="000000"/>
          <w:kern w:val="0"/>
          <w:sz w:val="32"/>
          <w:szCs w:val="32"/>
          <w:lang w:val="en-US" w:eastAsia="zh-CN" w:bidi="ar-SA"/>
        </w:rPr>
      </w:pPr>
      <w:r>
        <w:rPr>
          <w:rFonts w:hint="eastAsia" w:ascii="黑体" w:hAnsi="黑体" w:eastAsia="黑体" w:cs="黑体"/>
          <w:b/>
          <w:color w:val="000000"/>
          <w:kern w:val="0"/>
          <w:sz w:val="32"/>
          <w:szCs w:val="32"/>
          <w:lang w:val="en-US" w:eastAsia="zh-CN" w:bidi="ar-SA"/>
        </w:rPr>
        <w:t>二、一般公共预算支出情况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2021年本部门一般公共预算拨款收入3072.28万元，一般公共预算支出3239.24万元</w:t>
      </w:r>
      <w:r>
        <w:rPr>
          <w:rFonts w:hint="eastAsia" w:asciiTheme="minorEastAsia" w:hAnsiTheme="minorEastAsia" w:cstheme="minorBidi"/>
          <w:bCs/>
          <w:color w:val="auto"/>
          <w:kern w:val="0"/>
          <w:sz w:val="32"/>
          <w:szCs w:val="32"/>
          <w:lang w:val="en-US" w:eastAsia="zh-CN" w:bidi="ar-SA"/>
        </w:rPr>
        <w:t>（收支均不含基本医疗保障基金财补资金36901.62万元）</w:t>
      </w:r>
      <w:r>
        <w:rPr>
          <w:rFonts w:hint="eastAsia" w:asciiTheme="minorEastAsia" w:hAnsiTheme="minorEastAsia" w:eastAsiaTheme="minorEastAsia" w:cstheme="minorBidi"/>
          <w:bCs/>
          <w:color w:val="auto"/>
          <w:kern w:val="0"/>
          <w:sz w:val="32"/>
          <w:szCs w:val="32"/>
          <w:lang w:val="en-US" w:eastAsia="zh-CN" w:bidi="ar-SA"/>
        </w:rPr>
        <w:t>。</w:t>
      </w:r>
    </w:p>
    <w:p>
      <w:pPr>
        <w:pStyle w:val="12"/>
        <w:ind w:firstLine="640" w:firstLineChars="200"/>
        <w:rPr>
          <w:rFonts w:hint="eastAsia"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lang w:val="en-US" w:eastAsia="zh-CN"/>
        </w:rPr>
        <w:t>（一）基本支出情况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 xml:space="preserve">2021年基本支出810万元，主要是为保障部门正常运转、完成日常工作任务而发生的各项支出，包括用于工资福利支出的人员经费以及办公费、印刷费、水电费、办公设备购置等公用经费。 </w:t>
      </w:r>
    </w:p>
    <w:p>
      <w:pPr>
        <w:pStyle w:val="12"/>
        <w:ind w:firstLine="640" w:firstLineChars="200"/>
        <w:rPr>
          <w:rFonts w:hint="eastAsia"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lang w:val="en-US" w:eastAsia="zh-CN"/>
        </w:rPr>
        <w:t>（二）项目支出情况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2021年项目支出2429.25万元，各项专项资金的使用管理情况如下：</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1、2021年度医疗救助专项资金分配安排和使用管理情况。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根据《湖南省医疗保障局关于进一步做好医疗救助工作的通知》（湘医保函〔2019〕57号）等文件精神，我局进一步完善我县医疗救助体系，提高困难群众的医疗保障水平，保障困难群众基本医疗需求，切实帮助困难群众解决医疗问题。2021年各级财政共筹集医疗救助专项资金1481.93万元，其中：中央1222.1万元，省级59.83万元，县本级200万元。上年累计结转147.32万元，该项目资金全年支出1629.25万元（不含用于医疗救助支出的政府性基金支出79.91万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2、2021年度一站式结算政府兜底专项资金分配安排和使用管理情况。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根据《道县人民政府办公室关于印发道县健康扶贫“一站式”结算实施方案的通知》（道政办发〔2018〕30号）文件精神，2021年县财政安排“一站式”结算政府兜底资金800万元。</w:t>
      </w:r>
    </w:p>
    <w:p>
      <w:pPr>
        <w:ind w:firstLine="640" w:firstLineChars="200"/>
        <w:rPr>
          <w:rFonts w:hint="eastAsia" w:ascii="黑体" w:hAnsi="黑体" w:eastAsia="黑体" w:cs="黑体"/>
          <w:b/>
          <w:color w:val="000000"/>
          <w:kern w:val="0"/>
          <w:sz w:val="32"/>
          <w:szCs w:val="32"/>
          <w:lang w:val="en-US" w:eastAsia="zh-CN" w:bidi="ar-SA"/>
        </w:rPr>
      </w:pPr>
      <w:r>
        <w:rPr>
          <w:rFonts w:hint="eastAsia" w:ascii="黑体" w:hAnsi="黑体" w:eastAsia="黑体" w:cs="黑体"/>
          <w:b/>
          <w:color w:val="000000"/>
          <w:kern w:val="0"/>
          <w:sz w:val="32"/>
          <w:szCs w:val="32"/>
          <w:lang w:val="en-US" w:eastAsia="zh-CN" w:bidi="ar-SA"/>
        </w:rPr>
        <w:t>三、政府性基金预算支出情况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Theme="minorEastAsia" w:hAnsiTheme="minorEastAsia" w:eastAsiaTheme="minorEastAsia" w:cstheme="minorBidi"/>
          <w:bCs/>
          <w:color w:val="auto"/>
          <w:kern w:val="0"/>
          <w:sz w:val="32"/>
          <w:szCs w:val="32"/>
          <w:lang w:val="en-US" w:eastAsia="zh-CN" w:bidi="ar-SA"/>
        </w:rPr>
        <w:t>2021年度政府性基金收入和支出均为79.91万元，全部为用于城乡医疗救助支出。</w:t>
      </w:r>
    </w:p>
    <w:p>
      <w:pPr>
        <w:ind w:firstLine="640" w:firstLineChars="200"/>
        <w:rPr>
          <w:rFonts w:hint="eastAsia" w:ascii="黑体" w:hAnsi="黑体" w:eastAsia="黑体" w:cs="黑体"/>
          <w:b/>
          <w:color w:val="000000"/>
          <w:kern w:val="0"/>
          <w:sz w:val="32"/>
          <w:szCs w:val="32"/>
          <w:lang w:val="en-US" w:eastAsia="zh-CN" w:bidi="ar-SA"/>
        </w:rPr>
      </w:pPr>
      <w:r>
        <w:rPr>
          <w:rFonts w:hint="eastAsia" w:ascii="黑体" w:hAnsi="黑体" w:eastAsia="黑体" w:cs="黑体"/>
          <w:b/>
          <w:color w:val="000000"/>
          <w:kern w:val="0"/>
          <w:sz w:val="32"/>
          <w:szCs w:val="32"/>
          <w:lang w:val="en-US" w:eastAsia="zh-CN" w:bidi="ar-SA"/>
        </w:rPr>
        <w:t>四、国有资本经营预算支出情况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本单位无国有资本经营预算的收支。</w:t>
      </w:r>
    </w:p>
    <w:p>
      <w:pPr>
        <w:ind w:firstLine="640" w:firstLineChars="200"/>
        <w:rPr>
          <w:rFonts w:hint="eastAsia" w:ascii="黑体" w:hAnsi="黑体" w:eastAsia="黑体" w:cs="黑体"/>
          <w:b/>
          <w:color w:val="000000"/>
          <w:kern w:val="0"/>
          <w:sz w:val="32"/>
          <w:szCs w:val="32"/>
          <w:lang w:val="en-US" w:eastAsia="zh-CN" w:bidi="ar-SA"/>
        </w:rPr>
      </w:pPr>
      <w:r>
        <w:rPr>
          <w:rFonts w:hint="eastAsia" w:ascii="黑体" w:hAnsi="黑体" w:eastAsia="黑体" w:cs="黑体"/>
          <w:b/>
          <w:color w:val="000000"/>
          <w:kern w:val="0"/>
          <w:sz w:val="32"/>
          <w:szCs w:val="32"/>
          <w:lang w:val="en-US" w:eastAsia="zh-CN" w:bidi="ar-SA"/>
        </w:rPr>
        <w:t>五、社会保险基金预算支出情况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我县城乡居民医保参保人数654722人，城镇职工医保参保人数31782人，按户籍人口为基础计算的参保率为85.57%，按常住人口为基础计算的参保率为110.45%，超额完成标准值，无重复参保及虚报参保人数。2021年基本医疗保险基金各级财政下达补助资金36901.62万元。其中：中央补助资金22103万元、省级补助资金10552.4万元，县级财政相应配套4246.22万元（含城镇职工医保县级财政补助254.35万元）。全年基本医疗保险基金统筹支付 51099万元，享受待遇38.84万人次 。</w:t>
      </w:r>
    </w:p>
    <w:p>
      <w:pPr>
        <w:ind w:firstLine="640" w:firstLineChars="200"/>
        <w:rPr>
          <w:rFonts w:hint="eastAsia" w:ascii="黑体" w:hAnsi="黑体" w:eastAsia="黑体" w:cs="黑体"/>
          <w:b/>
          <w:color w:val="000000"/>
          <w:kern w:val="0"/>
          <w:sz w:val="32"/>
          <w:szCs w:val="32"/>
          <w:lang w:val="en-US" w:eastAsia="zh-CN" w:bidi="ar-SA"/>
        </w:rPr>
      </w:pPr>
      <w:r>
        <w:rPr>
          <w:rFonts w:hint="eastAsia" w:ascii="黑体" w:hAnsi="黑体" w:eastAsia="黑体" w:cs="黑体"/>
          <w:b/>
          <w:color w:val="000000"/>
          <w:kern w:val="0"/>
          <w:sz w:val="32"/>
          <w:szCs w:val="32"/>
          <w:lang w:val="en-US" w:eastAsia="zh-CN" w:bidi="ar-SA"/>
        </w:rPr>
        <w:t>六、部门整体支出绩效情况</w:t>
      </w:r>
    </w:p>
    <w:p>
      <w:pPr>
        <w:ind w:firstLine="600" w:firstLineChars="200"/>
        <w:rPr>
          <w:rFonts w:hint="eastAsia" w:cs="黑体" w:asciiTheme="minorEastAsia" w:hAnsiTheme="minorEastAsia" w:eastAsiaTheme="minorEastAsia"/>
          <w:b/>
          <w:color w:val="000000"/>
          <w:kern w:val="0"/>
          <w:sz w:val="32"/>
          <w:szCs w:val="32"/>
          <w:lang w:val="en-US" w:eastAsia="zh-CN" w:bidi="ar-SA"/>
        </w:rPr>
      </w:pPr>
      <w:r>
        <w:rPr>
          <w:rFonts w:hint="eastAsia" w:ascii="宋体" w:hAnsi="宋体" w:eastAsia="宋体" w:cs="Times New Roman"/>
          <w:kern w:val="2"/>
          <w:sz w:val="30"/>
          <w:szCs w:val="30"/>
          <w:lang w:val="en-US" w:eastAsia="zh-CN" w:bidi="ar-SA"/>
        </w:rPr>
        <w:t xml:space="preserve"> </w:t>
      </w:r>
      <w:r>
        <w:rPr>
          <w:rFonts w:hint="eastAsia" w:cs="黑体" w:asciiTheme="minorEastAsia" w:hAnsiTheme="minorEastAsia" w:eastAsiaTheme="minorEastAsia"/>
          <w:b/>
          <w:color w:val="000000"/>
          <w:kern w:val="0"/>
          <w:sz w:val="32"/>
          <w:szCs w:val="32"/>
          <w:lang w:val="en-US" w:eastAsia="zh-CN" w:bidi="ar-SA"/>
        </w:rPr>
        <w:t>（一）坚持抓参保促扩面，夯实医保基金盘子</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面对新冠疫情新形势，我局开动脑筋、迎难而上、多措并举、千方百计提高征缴面。2021年基本医疗参保人数为686504人，完成市级下达目标任务的110.50%,排全市第一。筹集医保基金6.93亿，做大做强基金盘子，提高抗风险能力。</w:t>
      </w:r>
    </w:p>
    <w:p>
      <w:pPr>
        <w:pStyle w:val="12"/>
        <w:ind w:firstLine="640" w:firstLineChars="200"/>
        <w:rPr>
          <w:rFonts w:hint="eastAsia"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lang w:val="en-US" w:eastAsia="zh-CN"/>
        </w:rPr>
        <w:t>（二）坚持惠民生促和谐，减轻群众就医负担</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一是全面推进门诊统筹和“两病”门诊，让群众享受更多医保政策红利。截止目前，门诊统筹待遇享受112575人次、补偿411.83万元。高血压门诊待遇享受2832人次，降血压药品基金支出52650.51元；糖尿病门诊待遇享受1583人次，降血糖药品基金支出65554.63元。二是全面落实医保补偿制度。全年城乡居民医保统筹支付48735.15万元，共365000人次；城镇职工统筹支付2363.85万元，享受待遇23401人次；大病互助支付110.71万元，享受待遇140人次。三是全面落实城乡医疗救助制度。2021年资助参保30538人次，资助金额609.37万元。医疗救助补偿16454人次，补偿金额1099.79万元。四是积极推进药品集中带量采购。今年已开展四批共157种国家带量药品采购和湖南省抗菌药物专项集中采购154个品种和五省联盟带量采购7种药品共完成采购金额1515余万元。五是开展高值耗材冠脉支架带量采购工作。高值耗材冠脉支架从2021年起开始实行集中带量采购工作，今年采购完成高值医用耗材（冠脉支架）157个，采购金额9.26万元元，患者需要做冠脉支架手术耗材的费用由原来1万元左右下降到1千元左右，平均降幅85%左右，大大降低了患者的负担。六是完成了“三大目录”的上线工作。协议医院省级目录进行匹配，并按照目录实行结算；完成协议医药机构的赋码工作，完成医生、护士、药师的赋码工作；完成41家医院的协议签订工作。</w:t>
      </w:r>
    </w:p>
    <w:p>
      <w:pPr>
        <w:pStyle w:val="12"/>
        <w:ind w:firstLine="640" w:firstLineChars="200"/>
        <w:rPr>
          <w:rFonts w:hint="eastAsia"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lang w:val="en-US" w:eastAsia="zh-CN"/>
        </w:rPr>
        <w:t>（三）坚持严监管强执法，从重打击骗保行为</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一是开展专项治理“回头看”全履盖检查。联合卫健局核查全县41家定点医疗机构存在的违规收费等欺诈骗保行为涉及违规费用180余万元。二是组织定点医药机构开展欺诈骗保行为自查自纠工作。全县41家协议医疗机构对标对表开展自查自纠，各协议医疗机构自查自纠主动退回基金账户违规金额计175.98万元。三是加大对举报案件的查处。今年5月，查处1家乡镇卫生院的举报套取医保基金案，拒付3.61万元，处罚7.22万元。四是开展打击欺诈骗保专项整治行动。联动公安、卫健部门对道县两家精神病专科医院开展专项整治行动，初步核定违规金额27.63万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截至目前，已查处对管理欠规范、不合理收费等突出的医疗机构3家，责令整改6家；共查处违规补偿额300余万元，及时遏制了医疗机构的违规行为。</w:t>
      </w:r>
    </w:p>
    <w:p>
      <w:pPr>
        <w:pStyle w:val="12"/>
        <w:ind w:firstLine="640" w:firstLineChars="200"/>
        <w:rPr>
          <w:rFonts w:hint="eastAsia"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lang w:val="en-US" w:eastAsia="zh-CN"/>
        </w:rPr>
        <w:t>（四）坚持服务提质,优化便民服务平台</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一是设立窗口服务股，实行“一窗口通办”，梳理政务服务医保事项20余项，包括后台报账、费用审核与结算、社保卡激活、费用审核与审批、医药服务等,简化办事流程。今年以来，窗口受理业务咨询30423人次，办件65166件，办结率达到100%，业务量在政务中心进驻单位中排名前三。二是持续推进“互联网+医保”服务。开设两条异地就医转诊专人专岗服务热线，利用宣传平台，大力推广激活“湘医保”（医保电子凭证）。今年，我局政务中心窗口成功创建永州市青年文明号，树立了良好形象。</w:t>
      </w:r>
    </w:p>
    <w:p>
      <w:pPr>
        <w:pStyle w:val="12"/>
        <w:ind w:firstLine="640" w:firstLineChars="200"/>
        <w:rPr>
          <w:rFonts w:hint="eastAsia"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lang w:val="en-US" w:eastAsia="zh-CN"/>
        </w:rPr>
        <w:t>（五）坚持转作风提素质，打造医疗保障铁军</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 xml:space="preserve">认真落实党组中心组理论集中学习、党员“三会一课”、主题党日活动等制度，全年开展专题学习10余场。全面落实从严治党主体责任，认真履行“一岗双责”，持之以恒纠“四风”，加大清廉机关、清廉医保建设力度，一年来，我局未发生违法违规案件。同时，狠抓干部作风整顿，持续推进医疗保障领域行风建设，不断增强干部职工为民服务的思想自觉和行动自觉。 </w:t>
      </w:r>
    </w:p>
    <w:p>
      <w:pPr>
        <w:ind w:firstLine="640" w:firstLineChars="200"/>
        <w:rPr>
          <w:rFonts w:hint="eastAsia" w:ascii="黑体" w:hAnsi="黑体" w:eastAsia="黑体" w:cs="黑体"/>
          <w:b/>
          <w:color w:val="000000"/>
          <w:kern w:val="0"/>
          <w:sz w:val="32"/>
          <w:szCs w:val="32"/>
          <w:lang w:val="en-US" w:eastAsia="zh-CN" w:bidi="ar-SA"/>
        </w:rPr>
      </w:pPr>
      <w:r>
        <w:rPr>
          <w:rFonts w:hint="eastAsia" w:ascii="黑体" w:hAnsi="黑体" w:eastAsia="黑体" w:cs="黑体"/>
          <w:b/>
          <w:color w:val="000000"/>
          <w:kern w:val="0"/>
          <w:sz w:val="32"/>
          <w:szCs w:val="32"/>
          <w:lang w:val="en-US" w:eastAsia="zh-CN" w:bidi="ar-SA"/>
        </w:rPr>
        <w:t>七、绩效自评结果拟应用和公开情况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Bidi"/>
          <w:bCs/>
          <w:color w:val="auto"/>
          <w:kern w:val="0"/>
          <w:sz w:val="32"/>
          <w:szCs w:val="32"/>
          <w:lang w:val="en-US" w:eastAsia="zh-CN" w:bidi="ar-SA"/>
        </w:rPr>
      </w:pPr>
      <w:r>
        <w:rPr>
          <w:rFonts w:hint="default" w:asciiTheme="minorEastAsia" w:hAnsiTheme="minorEastAsia" w:eastAsiaTheme="minorEastAsia" w:cstheme="minorBidi"/>
          <w:bCs/>
          <w:color w:val="auto"/>
          <w:kern w:val="0"/>
          <w:sz w:val="32"/>
          <w:szCs w:val="32"/>
          <w:lang w:val="en-US" w:eastAsia="zh-CN" w:bidi="ar-SA"/>
        </w:rPr>
        <w:t>总体来说，我局20</w:t>
      </w:r>
      <w:r>
        <w:rPr>
          <w:rFonts w:hint="eastAsia" w:asciiTheme="minorEastAsia" w:hAnsiTheme="minorEastAsia" w:eastAsiaTheme="minorEastAsia" w:cstheme="minorBidi"/>
          <w:bCs/>
          <w:color w:val="auto"/>
          <w:kern w:val="0"/>
          <w:sz w:val="32"/>
          <w:szCs w:val="32"/>
          <w:lang w:val="en-US" w:eastAsia="zh-CN" w:bidi="ar-SA"/>
        </w:rPr>
        <w:t>21</w:t>
      </w:r>
      <w:r>
        <w:rPr>
          <w:rFonts w:hint="default" w:asciiTheme="minorEastAsia" w:hAnsiTheme="minorEastAsia" w:eastAsiaTheme="minorEastAsia" w:cstheme="minorBidi"/>
          <w:bCs/>
          <w:color w:val="auto"/>
          <w:kern w:val="0"/>
          <w:sz w:val="32"/>
          <w:szCs w:val="32"/>
          <w:lang w:val="en-US" w:eastAsia="zh-CN" w:bidi="ar-SA"/>
        </w:rPr>
        <w:t>年部门整体支出情况良好，财政资金预算配置合理合规，预算执行严格有序，预算管理规范可控，资金效益合乎预期。从预算到执行和收入、支出、资产管理及信息公开，都严格按相关制度要求进行，全年收支平衡，有效保证了机构运转，圆满完成了上级下达的目标任务，取得了较好的社会效益。</w:t>
      </w:r>
      <w:r>
        <w:rPr>
          <w:rFonts w:hint="eastAsia" w:asciiTheme="minorEastAsia" w:hAnsiTheme="minorEastAsia" w:eastAsiaTheme="minorEastAsia" w:cstheme="minorBidi"/>
          <w:bCs/>
          <w:color w:val="auto"/>
          <w:kern w:val="0"/>
          <w:sz w:val="32"/>
          <w:szCs w:val="32"/>
          <w:lang w:val="en-US" w:eastAsia="zh-CN" w:bidi="ar-SA"/>
        </w:rPr>
        <w:t>综合评分为97分，自评结果为“优”。</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heme="minorEastAsia" w:hAnsiTheme="minorEastAsia" w:eastAsiaTheme="minorEastAsia" w:cstheme="minorBidi"/>
          <w:bCs/>
          <w:color w:val="auto"/>
          <w:kern w:val="0"/>
          <w:sz w:val="32"/>
          <w:szCs w:val="32"/>
          <w:lang w:val="en-US" w:eastAsia="zh-CN" w:bidi="ar-SA"/>
        </w:rPr>
      </w:pPr>
      <w:r>
        <w:rPr>
          <w:rFonts w:hint="default" w:asciiTheme="minorEastAsia" w:hAnsiTheme="minorEastAsia" w:eastAsiaTheme="minorEastAsia" w:cstheme="minorBidi"/>
          <w:bCs/>
          <w:color w:val="auto"/>
          <w:kern w:val="0"/>
          <w:sz w:val="32"/>
          <w:szCs w:val="32"/>
          <w:lang w:val="en-US" w:eastAsia="zh-CN" w:bidi="ar-SA"/>
        </w:rPr>
        <w:t>绩效自评对全年工作目标起到积极的促进作用，为明年的工作开展及实施奠定坚实的基础。我单位将绩效自评结果运用到下一年工作的统筹安排、项目资金划拨及按照工作任务的重要性来明确资金使用上，以提高工作效率，保质保量完成各项工作任务。本次自评按相关要求</w:t>
      </w:r>
      <w:r>
        <w:rPr>
          <w:rFonts w:hint="eastAsia" w:asciiTheme="minorEastAsia" w:hAnsiTheme="minorEastAsia" w:eastAsiaTheme="minorEastAsia" w:cstheme="minorBidi"/>
          <w:bCs/>
          <w:color w:val="auto"/>
          <w:kern w:val="0"/>
          <w:sz w:val="32"/>
          <w:szCs w:val="32"/>
          <w:lang w:val="en-US" w:eastAsia="zh-CN" w:bidi="ar-SA"/>
        </w:rPr>
        <w:t>及时</w:t>
      </w:r>
      <w:r>
        <w:rPr>
          <w:rFonts w:hint="default" w:asciiTheme="minorEastAsia" w:hAnsiTheme="minorEastAsia" w:eastAsiaTheme="minorEastAsia" w:cstheme="minorBidi"/>
          <w:bCs/>
          <w:color w:val="auto"/>
          <w:kern w:val="0"/>
          <w:sz w:val="32"/>
          <w:szCs w:val="32"/>
          <w:lang w:val="en-US" w:eastAsia="zh-CN" w:bidi="ar-SA"/>
        </w:rPr>
        <w:t>上报</w:t>
      </w:r>
      <w:r>
        <w:rPr>
          <w:rFonts w:hint="eastAsia" w:asciiTheme="minorEastAsia" w:hAnsiTheme="minorEastAsia" w:eastAsiaTheme="minorEastAsia" w:cstheme="minorBidi"/>
          <w:bCs/>
          <w:color w:val="auto"/>
          <w:kern w:val="0"/>
          <w:sz w:val="32"/>
          <w:szCs w:val="32"/>
          <w:lang w:val="en-US" w:eastAsia="zh-CN" w:bidi="ar-SA"/>
        </w:rPr>
        <w:t>、</w:t>
      </w:r>
      <w:r>
        <w:rPr>
          <w:rFonts w:hint="default" w:asciiTheme="minorEastAsia" w:hAnsiTheme="minorEastAsia" w:eastAsiaTheme="minorEastAsia" w:cstheme="minorBidi"/>
          <w:bCs/>
          <w:color w:val="auto"/>
          <w:kern w:val="0"/>
          <w:sz w:val="32"/>
          <w:szCs w:val="32"/>
          <w:lang w:val="en-US" w:eastAsia="zh-CN" w:bidi="ar-SA"/>
        </w:rPr>
        <w:t>公开。绩效评价结果的公开不仅提供资金使用的透明度，而且强化政府行为的合理性和合法性，取得公众对医保工作的肯定。</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BEEA1C-39C1-4EFF-87A4-A19FA2907C5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203E818-CB4E-439C-B2DF-1C1DAC36308C}"/>
  </w:font>
  <w:font w:name="华文中宋">
    <w:altName w:val="宋体"/>
    <w:panose1 w:val="02010600040101010101"/>
    <w:charset w:val="86"/>
    <w:family w:val="auto"/>
    <w:pitch w:val="default"/>
    <w:sig w:usb0="00000000" w:usb1="00000000" w:usb2="00000000" w:usb3="00000000" w:csb0="0004009F" w:csb1="DFD70000"/>
    <w:embedRegular r:id="rId3" w:fontKey="{0DDEB561-07E3-4ECB-A8B6-A5301A7A4D9F}"/>
  </w:font>
  <w:font w:name="方正小标宋_GBK">
    <w:panose1 w:val="02000000000000000000"/>
    <w:charset w:val="86"/>
    <w:family w:val="script"/>
    <w:pitch w:val="default"/>
    <w:sig w:usb0="A00002BF" w:usb1="38CF7CFA" w:usb2="00082016" w:usb3="00000000" w:csb0="00040001" w:csb1="00000000"/>
    <w:embedRegular r:id="rId4" w:fontKey="{451B0FB4-848E-42ED-8A65-514BC34E48B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DD31D5"/>
    <w:multiLevelType w:val="singleLevel"/>
    <w:tmpl w:val="F7DD31D5"/>
    <w:lvl w:ilvl="0" w:tentative="0">
      <w:start w:val="4"/>
      <w:numFmt w:val="chineseCounting"/>
      <w:suff w:val="nothing"/>
      <w:lvlText w:val="%1、"/>
      <w:lvlJc w:val="left"/>
      <w:rPr>
        <w:rFonts w:hint="eastAsia"/>
      </w:rPr>
    </w:lvl>
  </w:abstractNum>
  <w:abstractNum w:abstractNumId="1">
    <w:nsid w:val="25FDD4F7"/>
    <w:multiLevelType w:val="singleLevel"/>
    <w:tmpl w:val="25FDD4F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623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29C3B08"/>
    <w:rsid w:val="02D7069C"/>
    <w:rsid w:val="02EA1E17"/>
    <w:rsid w:val="032B09E8"/>
    <w:rsid w:val="0381560B"/>
    <w:rsid w:val="03C36E72"/>
    <w:rsid w:val="03EC4758"/>
    <w:rsid w:val="04E21C1B"/>
    <w:rsid w:val="04E91183"/>
    <w:rsid w:val="05563B02"/>
    <w:rsid w:val="061978E9"/>
    <w:rsid w:val="06CE0008"/>
    <w:rsid w:val="07BF5055"/>
    <w:rsid w:val="07CC6487"/>
    <w:rsid w:val="08730E67"/>
    <w:rsid w:val="0878657C"/>
    <w:rsid w:val="089E3A0A"/>
    <w:rsid w:val="092826A2"/>
    <w:rsid w:val="09F71624"/>
    <w:rsid w:val="0A232419"/>
    <w:rsid w:val="0ACB4F8A"/>
    <w:rsid w:val="0AD75A32"/>
    <w:rsid w:val="0B424E6E"/>
    <w:rsid w:val="0B444D3D"/>
    <w:rsid w:val="0BAD4BBE"/>
    <w:rsid w:val="0C0007E1"/>
    <w:rsid w:val="0C0704BC"/>
    <w:rsid w:val="0C1C3319"/>
    <w:rsid w:val="0C2506CA"/>
    <w:rsid w:val="0C5E3BDC"/>
    <w:rsid w:val="0D3475F8"/>
    <w:rsid w:val="0D731909"/>
    <w:rsid w:val="0D961154"/>
    <w:rsid w:val="0E364E11"/>
    <w:rsid w:val="0E507767"/>
    <w:rsid w:val="0ED71A24"/>
    <w:rsid w:val="0F8C280E"/>
    <w:rsid w:val="0FF83FD7"/>
    <w:rsid w:val="10125409"/>
    <w:rsid w:val="108522BA"/>
    <w:rsid w:val="10C83D1A"/>
    <w:rsid w:val="11DF131B"/>
    <w:rsid w:val="124A7DCF"/>
    <w:rsid w:val="124B52FD"/>
    <w:rsid w:val="131352E1"/>
    <w:rsid w:val="13A652ED"/>
    <w:rsid w:val="140E3FD0"/>
    <w:rsid w:val="141A3C20"/>
    <w:rsid w:val="15A969F7"/>
    <w:rsid w:val="15DD5B72"/>
    <w:rsid w:val="15F01DDF"/>
    <w:rsid w:val="165C29EB"/>
    <w:rsid w:val="16E217CB"/>
    <w:rsid w:val="1720040C"/>
    <w:rsid w:val="172F4AF3"/>
    <w:rsid w:val="175E47EF"/>
    <w:rsid w:val="19E951A2"/>
    <w:rsid w:val="1A07072A"/>
    <w:rsid w:val="1A320B87"/>
    <w:rsid w:val="1A833539"/>
    <w:rsid w:val="1A8C400A"/>
    <w:rsid w:val="1B012F66"/>
    <w:rsid w:val="1B250E06"/>
    <w:rsid w:val="1BAF1D5E"/>
    <w:rsid w:val="1BAF3C42"/>
    <w:rsid w:val="1C316C17"/>
    <w:rsid w:val="1C506DBF"/>
    <w:rsid w:val="1C817B9F"/>
    <w:rsid w:val="1CD723CC"/>
    <w:rsid w:val="1CEB326A"/>
    <w:rsid w:val="1DC615E1"/>
    <w:rsid w:val="1DED3012"/>
    <w:rsid w:val="1E396ABD"/>
    <w:rsid w:val="1EFF7485"/>
    <w:rsid w:val="1F8B2EF8"/>
    <w:rsid w:val="205E7B4F"/>
    <w:rsid w:val="20E3645C"/>
    <w:rsid w:val="20FC1961"/>
    <w:rsid w:val="21B31E7D"/>
    <w:rsid w:val="2209600E"/>
    <w:rsid w:val="223D0FAA"/>
    <w:rsid w:val="22721D38"/>
    <w:rsid w:val="24AF1D92"/>
    <w:rsid w:val="24BC54EC"/>
    <w:rsid w:val="24EC5DD1"/>
    <w:rsid w:val="25386701"/>
    <w:rsid w:val="259A75DB"/>
    <w:rsid w:val="25A446BE"/>
    <w:rsid w:val="26FC7E22"/>
    <w:rsid w:val="27207FB4"/>
    <w:rsid w:val="275639D6"/>
    <w:rsid w:val="279B588D"/>
    <w:rsid w:val="2821304F"/>
    <w:rsid w:val="283E4B96"/>
    <w:rsid w:val="28D472A8"/>
    <w:rsid w:val="29C6285B"/>
    <w:rsid w:val="2A042187"/>
    <w:rsid w:val="2A3A76D6"/>
    <w:rsid w:val="2A4445CC"/>
    <w:rsid w:val="2A6938B8"/>
    <w:rsid w:val="2BFD08C4"/>
    <w:rsid w:val="2CF962A5"/>
    <w:rsid w:val="2E6966E5"/>
    <w:rsid w:val="2E771303"/>
    <w:rsid w:val="2F3F64DB"/>
    <w:rsid w:val="2F6452EA"/>
    <w:rsid w:val="2F6B0CED"/>
    <w:rsid w:val="2F7161E5"/>
    <w:rsid w:val="2F80638D"/>
    <w:rsid w:val="2FC74ED6"/>
    <w:rsid w:val="306929CC"/>
    <w:rsid w:val="30D2231F"/>
    <w:rsid w:val="30E2489C"/>
    <w:rsid w:val="31E87920"/>
    <w:rsid w:val="323448B4"/>
    <w:rsid w:val="331C3CA1"/>
    <w:rsid w:val="333F7A14"/>
    <w:rsid w:val="33D939C5"/>
    <w:rsid w:val="34BD137E"/>
    <w:rsid w:val="35433694"/>
    <w:rsid w:val="35613247"/>
    <w:rsid w:val="35DE0CDF"/>
    <w:rsid w:val="378258D0"/>
    <w:rsid w:val="37C1407A"/>
    <w:rsid w:val="37DE3C9F"/>
    <w:rsid w:val="382611A3"/>
    <w:rsid w:val="384266A5"/>
    <w:rsid w:val="385A4951"/>
    <w:rsid w:val="388859B9"/>
    <w:rsid w:val="38C8216C"/>
    <w:rsid w:val="38E56968"/>
    <w:rsid w:val="38E839F1"/>
    <w:rsid w:val="38FD2530"/>
    <w:rsid w:val="3A153590"/>
    <w:rsid w:val="3A3E7B24"/>
    <w:rsid w:val="3AAD35FB"/>
    <w:rsid w:val="3AD24831"/>
    <w:rsid w:val="3BBA273E"/>
    <w:rsid w:val="3C1D6033"/>
    <w:rsid w:val="3D023F8C"/>
    <w:rsid w:val="3D2B17B5"/>
    <w:rsid w:val="3D341F2A"/>
    <w:rsid w:val="3D89339C"/>
    <w:rsid w:val="3E3E66DA"/>
    <w:rsid w:val="3EDC25BB"/>
    <w:rsid w:val="40B30B18"/>
    <w:rsid w:val="415C7CAA"/>
    <w:rsid w:val="416261FF"/>
    <w:rsid w:val="41DC2290"/>
    <w:rsid w:val="42A42A98"/>
    <w:rsid w:val="42CE0610"/>
    <w:rsid w:val="42E51972"/>
    <w:rsid w:val="436332AB"/>
    <w:rsid w:val="43885E71"/>
    <w:rsid w:val="43E66EFE"/>
    <w:rsid w:val="447514E8"/>
    <w:rsid w:val="449F6565"/>
    <w:rsid w:val="44E93C84"/>
    <w:rsid w:val="458B6C82"/>
    <w:rsid w:val="4633754B"/>
    <w:rsid w:val="467001B9"/>
    <w:rsid w:val="46BD0F24"/>
    <w:rsid w:val="46F03063"/>
    <w:rsid w:val="47172AA3"/>
    <w:rsid w:val="4723522B"/>
    <w:rsid w:val="48496604"/>
    <w:rsid w:val="48D569F9"/>
    <w:rsid w:val="48FA645F"/>
    <w:rsid w:val="495F6F59"/>
    <w:rsid w:val="496F29A9"/>
    <w:rsid w:val="4A5C2802"/>
    <w:rsid w:val="4B081925"/>
    <w:rsid w:val="4B68071D"/>
    <w:rsid w:val="4BC532F1"/>
    <w:rsid w:val="4CEF587D"/>
    <w:rsid w:val="4D3A43E4"/>
    <w:rsid w:val="4D8B58D8"/>
    <w:rsid w:val="4E1F4A85"/>
    <w:rsid w:val="4E9419CF"/>
    <w:rsid w:val="4EF23735"/>
    <w:rsid w:val="4F3D5C49"/>
    <w:rsid w:val="4F830B68"/>
    <w:rsid w:val="51081256"/>
    <w:rsid w:val="51B13991"/>
    <w:rsid w:val="51B47D0F"/>
    <w:rsid w:val="52383B54"/>
    <w:rsid w:val="532365B3"/>
    <w:rsid w:val="533B1B4E"/>
    <w:rsid w:val="54433155"/>
    <w:rsid w:val="54532EC8"/>
    <w:rsid w:val="54D5430B"/>
    <w:rsid w:val="553B5E36"/>
    <w:rsid w:val="554B4D08"/>
    <w:rsid w:val="55660C91"/>
    <w:rsid w:val="56F919E5"/>
    <w:rsid w:val="588D4BFA"/>
    <w:rsid w:val="59011144"/>
    <w:rsid w:val="590C5701"/>
    <w:rsid w:val="59222295"/>
    <w:rsid w:val="59987F3E"/>
    <w:rsid w:val="59C105C2"/>
    <w:rsid w:val="5A262157"/>
    <w:rsid w:val="5BE2700B"/>
    <w:rsid w:val="5C5F68AD"/>
    <w:rsid w:val="5D2D2508"/>
    <w:rsid w:val="5D887B53"/>
    <w:rsid w:val="5D9C768D"/>
    <w:rsid w:val="5DD24E5D"/>
    <w:rsid w:val="5DF272AD"/>
    <w:rsid w:val="5DFE20F6"/>
    <w:rsid w:val="5E110272"/>
    <w:rsid w:val="5EBB3B43"/>
    <w:rsid w:val="5F4634C0"/>
    <w:rsid w:val="5FA77173"/>
    <w:rsid w:val="5FBB4C6E"/>
    <w:rsid w:val="60B531C6"/>
    <w:rsid w:val="60E63D35"/>
    <w:rsid w:val="60F5158E"/>
    <w:rsid w:val="613320B7"/>
    <w:rsid w:val="61480013"/>
    <w:rsid w:val="61532759"/>
    <w:rsid w:val="61A30FEA"/>
    <w:rsid w:val="61D932AC"/>
    <w:rsid w:val="620677CB"/>
    <w:rsid w:val="62691AE8"/>
    <w:rsid w:val="62856942"/>
    <w:rsid w:val="64520AA6"/>
    <w:rsid w:val="64727AE0"/>
    <w:rsid w:val="64942E6C"/>
    <w:rsid w:val="64FE478A"/>
    <w:rsid w:val="65876E75"/>
    <w:rsid w:val="660A0257"/>
    <w:rsid w:val="664D2080"/>
    <w:rsid w:val="67E576D1"/>
    <w:rsid w:val="68594AF9"/>
    <w:rsid w:val="68623328"/>
    <w:rsid w:val="694D7A8E"/>
    <w:rsid w:val="696A7636"/>
    <w:rsid w:val="69920040"/>
    <w:rsid w:val="69B67D29"/>
    <w:rsid w:val="6A463A2C"/>
    <w:rsid w:val="6AA302AD"/>
    <w:rsid w:val="6ACA7EE2"/>
    <w:rsid w:val="6AD27917"/>
    <w:rsid w:val="6BB66561"/>
    <w:rsid w:val="6BF00DBA"/>
    <w:rsid w:val="6C463AE6"/>
    <w:rsid w:val="6CB13578"/>
    <w:rsid w:val="6CB528A3"/>
    <w:rsid w:val="6D6247D2"/>
    <w:rsid w:val="6DCD1AD1"/>
    <w:rsid w:val="6DCF5F74"/>
    <w:rsid w:val="6EA13D16"/>
    <w:rsid w:val="6FAC75CD"/>
    <w:rsid w:val="6FBF6E3C"/>
    <w:rsid w:val="6FE36674"/>
    <w:rsid w:val="707B5963"/>
    <w:rsid w:val="70BD3042"/>
    <w:rsid w:val="70CA394F"/>
    <w:rsid w:val="710475CC"/>
    <w:rsid w:val="714220F6"/>
    <w:rsid w:val="71E61073"/>
    <w:rsid w:val="71F272E6"/>
    <w:rsid w:val="723B5E06"/>
    <w:rsid w:val="725E1DF4"/>
    <w:rsid w:val="73223D39"/>
    <w:rsid w:val="733E4FFE"/>
    <w:rsid w:val="73AD0947"/>
    <w:rsid w:val="73F751C6"/>
    <w:rsid w:val="7420498F"/>
    <w:rsid w:val="752124FA"/>
    <w:rsid w:val="752A45A8"/>
    <w:rsid w:val="754461E9"/>
    <w:rsid w:val="75D86488"/>
    <w:rsid w:val="7751596C"/>
    <w:rsid w:val="77632264"/>
    <w:rsid w:val="77B77146"/>
    <w:rsid w:val="77D01FB6"/>
    <w:rsid w:val="77E41AC7"/>
    <w:rsid w:val="77FE6B23"/>
    <w:rsid w:val="784C3D32"/>
    <w:rsid w:val="79057E40"/>
    <w:rsid w:val="797D43BF"/>
    <w:rsid w:val="79F24133"/>
    <w:rsid w:val="7B0047C5"/>
    <w:rsid w:val="7B125187"/>
    <w:rsid w:val="7B9613EA"/>
    <w:rsid w:val="7D6E3820"/>
    <w:rsid w:val="7E3808B5"/>
    <w:rsid w:val="7EB74315"/>
    <w:rsid w:val="7ED73005"/>
    <w:rsid w:val="7EE410E1"/>
    <w:rsid w:val="7F3F6373"/>
    <w:rsid w:val="7F6A6282"/>
    <w:rsid w:val="7FB42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1"/>
    <w:unhideWhenUsed/>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Normal Indent"/>
    <w:basedOn w:val="1"/>
    <w:qFormat/>
    <w:uiPriority w:val="0"/>
    <w:pPr>
      <w:ind w:firstLine="420"/>
    </w:pPr>
    <w:rPr>
      <w:szCs w:val="20"/>
    </w:rPr>
  </w:style>
  <w:style w:type="paragraph" w:styleId="5">
    <w:name w:val="Balloon Text"/>
    <w:basedOn w:val="1"/>
    <w:link w:val="14"/>
    <w:semiHidden/>
    <w:unhideWhenUsed/>
    <w:qFormat/>
    <w:uiPriority w:val="99"/>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0">
    <w:name w:val="页眉 Char"/>
    <w:basedOn w:val="9"/>
    <w:link w:val="6"/>
    <w:qFormat/>
    <w:uiPriority w:val="99"/>
    <w:rPr>
      <w:sz w:val="18"/>
      <w:szCs w:val="18"/>
    </w:rPr>
  </w:style>
  <w:style w:type="character" w:customStyle="1" w:styleId="11">
    <w:name w:val="页脚 Char"/>
    <w:basedOn w:val="9"/>
    <w:link w:val="2"/>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13767</Words>
  <Characters>16709</Characters>
  <Lines>69</Lines>
  <Paragraphs>19</Paragraphs>
  <TotalTime>0</TotalTime>
  <ScaleCrop>false</ScaleCrop>
  <LinksUpToDate>false</LinksUpToDate>
  <CharactersWithSpaces>17761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2023-09-28T05:10:37Z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2DB0063F940B42CCA3CBE6D544A608EA_13</vt:lpwstr>
  </property>
</Properties>
</file>