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rFonts w:hint="eastAsia" w:ascii="仿宋" w:hAnsi="仿宋" w:eastAsia="仿宋" w:cs="仿宋"/>
          <w:b/>
          <w:bCs/>
          <w:sz w:val="84"/>
          <w:szCs w:val="84"/>
        </w:rPr>
      </w:pPr>
      <w:r>
        <w:rPr>
          <w:rFonts w:hint="eastAsia" w:ascii="仿宋" w:hAnsi="仿宋" w:eastAsia="仿宋" w:cs="仿宋"/>
          <w:b/>
          <w:bCs/>
          <w:sz w:val="84"/>
          <w:szCs w:val="84"/>
        </w:rPr>
        <w:t>2021年度</w:t>
      </w:r>
    </w:p>
    <w:p>
      <w:pPr>
        <w:pStyle w:val="11"/>
        <w:jc w:val="center"/>
        <w:rPr>
          <w:rFonts w:hint="eastAsia" w:eastAsia="黑体"/>
          <w:sz w:val="84"/>
          <w:szCs w:val="84"/>
          <w:lang w:eastAsia="zh-CN"/>
        </w:rPr>
      </w:pPr>
      <w:r>
        <w:rPr>
          <w:rFonts w:hint="eastAsia" w:ascii="仿宋" w:hAnsi="仿宋" w:eastAsia="仿宋" w:cs="仿宋"/>
          <w:b/>
          <w:bCs/>
          <w:sz w:val="84"/>
          <w:szCs w:val="84"/>
        </w:rPr>
        <w:t>道县教育局部门决算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rFonts w:hint="eastAsia" w:ascii="仿宋" w:hAnsi="仿宋" w:eastAsia="仿宋" w:cs="仿宋"/>
          <w:b/>
          <w:bCs w:val="0"/>
          <w:sz w:val="36"/>
          <w:szCs w:val="28"/>
        </w:rPr>
      </w:pPr>
      <w:r>
        <w:rPr>
          <w:rFonts w:hint="eastAsia" w:ascii="仿宋" w:hAnsi="仿宋" w:eastAsia="仿宋" w:cs="仿宋"/>
          <w:b/>
          <w:bCs w:val="0"/>
          <w:sz w:val="36"/>
          <w:szCs w:val="28"/>
        </w:rPr>
        <w:t>目录</w:t>
      </w:r>
    </w:p>
    <w:p>
      <w:pPr>
        <w:pStyle w:val="11"/>
        <w:spacing w:line="500" w:lineRule="exact"/>
        <w:jc w:val="center"/>
        <w:rPr>
          <w:rFonts w:hint="eastAsia" w:ascii="仿宋" w:hAnsi="仿宋" w:eastAsia="仿宋" w:cs="仿宋"/>
          <w:b/>
          <w:bCs w:val="0"/>
          <w:sz w:val="36"/>
          <w:szCs w:val="28"/>
        </w:rPr>
      </w:pPr>
    </w:p>
    <w:p>
      <w:pPr>
        <w:pStyle w:val="14"/>
        <w:spacing w:before="0" w:beforeAutospacing="0" w:after="2" w:afterAutospacing="0"/>
        <w:ind w:left="0" w:right="0" w:firstLine="641"/>
        <w:rPr>
          <w:rFonts w:hint="eastAsia" w:ascii="宋体" w:hAnsi="宋体" w:eastAsia="宋体" w:cs="宋体"/>
          <w:color w:val="000000"/>
          <w:kern w:val="0"/>
          <w:sz w:val="27"/>
          <w:szCs w:val="27"/>
        </w:rPr>
      </w:pPr>
      <w:r>
        <w:rPr>
          <w:rFonts w:hint="eastAsia" w:ascii="宋体" w:hAnsi="宋体" w:eastAsia="宋体" w:cs="宋体"/>
          <w:b/>
          <w:bCs/>
          <w:color w:val="000000"/>
          <w:kern w:val="0"/>
          <w:sz w:val="32"/>
          <w:szCs w:val="32"/>
        </w:rPr>
        <w:t>第一部分 道县教育局概况</w:t>
      </w:r>
      <w:r>
        <w:rPr>
          <w:rFonts w:hint="eastAsia" w:ascii="宋体" w:hAnsi="宋体" w:eastAsia="宋体" w:cs="宋体"/>
          <w:color w:val="000000"/>
          <w:kern w:val="0"/>
          <w:sz w:val="27"/>
          <w:szCs w:val="27"/>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一、部门职责</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二、机构设置</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641"/>
        <w:rPr>
          <w:rFonts w:hint="eastAsia" w:ascii="宋体" w:hAnsi="宋体" w:eastAsia="宋体" w:cs="宋体"/>
          <w:color w:val="000000"/>
          <w:kern w:val="0"/>
          <w:sz w:val="27"/>
          <w:szCs w:val="27"/>
        </w:rPr>
      </w:pPr>
      <w:r>
        <w:rPr>
          <w:rFonts w:hint="eastAsia" w:ascii="宋体" w:hAnsi="宋体" w:eastAsia="宋体" w:cs="宋体"/>
          <w:b/>
          <w:bCs/>
          <w:color w:val="000000"/>
          <w:kern w:val="0"/>
          <w:sz w:val="32"/>
          <w:szCs w:val="32"/>
        </w:rPr>
        <w:t>第二部分 2021年度部门决算表</w:t>
      </w:r>
      <w:r>
        <w:rPr>
          <w:rFonts w:hint="eastAsia" w:ascii="宋体" w:hAnsi="宋体" w:eastAsia="宋体" w:cs="宋体"/>
          <w:color w:val="000000"/>
          <w:kern w:val="0"/>
          <w:sz w:val="27"/>
          <w:szCs w:val="27"/>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一、收入支出决算总表</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二、收入决算表</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三、支出决算表</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四、财政拨款收入支出决算总表</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五、一般公共预算财政拨款支出决算表</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六、一般公共预算财政拨款基本支出决算表</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七、一般公共预算财政拨款“三公”经费支出决算表</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八、政府性基金预算财政拨款收入支出决算表</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九、国有资本经营预算财政拨款支出决算表</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b/>
          <w:bCs/>
          <w:color w:val="000000"/>
          <w:kern w:val="0"/>
          <w:sz w:val="32"/>
          <w:szCs w:val="32"/>
        </w:rPr>
        <w:t>第三部分 2021年度部门决算情况说明</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一、收入支出决算总体情况说明</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二、收入决算情况说明</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三、支出决算情况说明</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四、财政拨款收入支出决算总体情况说明</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五、一般公共预算财政拨款支出决算情况说明</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六、一般公共预算财政拨款基本支出决算情况说明</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七、一般公共预算财政拨款三公经费支出决算情况说明</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八、政府性基金预算收入支出决算情况</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九、关于机关运行经费支出说明</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十、一般性支出情况</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十一、关于政府采购支出说明</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十二、关于国有资产占用情况说明</w:t>
      </w:r>
      <w:r>
        <w:rPr>
          <w:rFonts w:hint="eastAsia" w:ascii="宋体" w:hAnsi="宋体" w:eastAsia="宋体" w:cs="宋体"/>
          <w:color w:val="000000"/>
          <w:kern w:val="0"/>
          <w:sz w:val="24"/>
          <w:szCs w:val="24"/>
        </w:rPr>
        <w:t xml:space="preserve"> </w:t>
      </w:r>
    </w:p>
    <w:p>
      <w:pPr>
        <w:pStyle w:val="14"/>
        <w:spacing w:before="0" w:beforeAutospacing="0" w:after="2" w:afterAutospacing="0"/>
        <w:ind w:left="0" w:right="0" w:firstLine="700"/>
        <w:rPr>
          <w:rFonts w:hint="eastAsia" w:ascii="宋体" w:hAnsi="宋体" w:eastAsia="宋体" w:cs="宋体"/>
          <w:color w:val="000000"/>
          <w:kern w:val="0"/>
          <w:sz w:val="24"/>
          <w:szCs w:val="24"/>
        </w:rPr>
      </w:pPr>
      <w:r>
        <w:rPr>
          <w:rFonts w:hint="eastAsia" w:ascii="宋体" w:hAnsi="宋体" w:eastAsia="宋体" w:cs="宋体"/>
          <w:color w:val="000000"/>
          <w:kern w:val="0"/>
          <w:sz w:val="28"/>
          <w:szCs w:val="28"/>
        </w:rPr>
        <w:t>十三、关于2021年度预算绩效情况的说明</w:t>
      </w:r>
    </w:p>
    <w:p>
      <w:pPr>
        <w:pStyle w:val="14"/>
        <w:spacing w:before="0" w:beforeAutospacing="0" w:after="2" w:afterAutospacing="0"/>
        <w:ind w:left="0" w:right="0" w:firstLine="641"/>
        <w:rPr>
          <w:rFonts w:hint="eastAsia" w:ascii="宋体" w:hAnsi="宋体" w:eastAsia="宋体" w:cs="宋体"/>
          <w:color w:val="000000"/>
          <w:kern w:val="0"/>
          <w:sz w:val="27"/>
          <w:szCs w:val="27"/>
        </w:rPr>
      </w:pPr>
      <w:r>
        <w:rPr>
          <w:rFonts w:hint="eastAsia" w:ascii="宋体" w:hAnsi="宋体" w:eastAsia="宋体" w:cs="宋体"/>
          <w:b/>
          <w:bCs/>
          <w:color w:val="000000"/>
          <w:kern w:val="0"/>
          <w:sz w:val="32"/>
          <w:szCs w:val="32"/>
        </w:rPr>
        <w:t>第四部分 名词解释</w:t>
      </w:r>
      <w:r>
        <w:rPr>
          <w:rFonts w:hint="eastAsia" w:ascii="宋体" w:hAnsi="宋体" w:eastAsia="宋体" w:cs="宋体"/>
          <w:color w:val="000000"/>
          <w:kern w:val="0"/>
          <w:sz w:val="27"/>
          <w:szCs w:val="27"/>
        </w:rPr>
        <w:t xml:space="preserve"> </w:t>
      </w:r>
    </w:p>
    <w:p>
      <w:pPr>
        <w:pStyle w:val="14"/>
        <w:spacing w:before="0" w:beforeAutospacing="0" w:after="2" w:afterAutospacing="0"/>
        <w:ind w:left="0" w:right="0" w:firstLine="641"/>
        <w:rPr>
          <w:rFonts w:hint="eastAsia" w:ascii="宋体" w:hAnsi="宋体" w:eastAsia="宋体" w:cs="宋体"/>
          <w:color w:val="000000"/>
          <w:kern w:val="0"/>
          <w:sz w:val="27"/>
          <w:szCs w:val="27"/>
        </w:rPr>
      </w:pPr>
      <w:r>
        <w:rPr>
          <w:rFonts w:hint="eastAsia" w:ascii="宋体" w:hAnsi="宋体" w:eastAsia="宋体" w:cs="宋体"/>
          <w:b/>
          <w:bCs/>
          <w:color w:val="000000"/>
          <w:kern w:val="0"/>
          <w:sz w:val="32"/>
          <w:szCs w:val="32"/>
        </w:rPr>
        <w:t>第五部分 附件</w:t>
      </w:r>
      <w:r>
        <w:rPr>
          <w:rFonts w:hint="eastAsia" w:ascii="宋体" w:hAnsi="宋体" w:eastAsia="宋体" w:cs="宋体"/>
          <w:color w:val="000000"/>
          <w:kern w:val="0"/>
          <w:sz w:val="27"/>
          <w:szCs w:val="27"/>
        </w:rPr>
        <w:t xml:space="preserve"> </w:t>
      </w:r>
    </w:p>
    <w:p>
      <w:pPr>
        <w:spacing w:before="0" w:beforeAutospacing="1" w:after="0" w:afterAutospacing="1"/>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pStyle w:val="11"/>
        <w:spacing w:line="500" w:lineRule="exact"/>
        <w:jc w:val="both"/>
        <w:rPr>
          <w:rFonts w:hint="eastAsia" w:ascii="仿宋" w:hAnsi="仿宋" w:eastAsia="仿宋" w:cs="仿宋"/>
          <w:b/>
          <w:bCs w:val="0"/>
          <w:sz w:val="36"/>
          <w:szCs w:val="28"/>
        </w:rPr>
      </w:pPr>
    </w:p>
    <w:p>
      <w:pPr>
        <w:jc w:val="center"/>
        <w:rPr>
          <w:sz w:val="72"/>
          <w:szCs w:val="72"/>
        </w:rPr>
      </w:pPr>
    </w:p>
    <w:p>
      <w:pPr>
        <w:jc w:val="center"/>
        <w:rPr>
          <w:sz w:val="72"/>
          <w:szCs w:val="72"/>
        </w:rPr>
      </w:pPr>
    </w:p>
    <w:p>
      <w:pPr>
        <w:rPr>
          <w:sz w:val="72"/>
          <w:szCs w:val="72"/>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ascii="仿宋" w:hAnsi="仿宋" w:eastAsia="仿宋" w:cs="仿宋"/>
          <w:b/>
          <w:bCs/>
          <w:sz w:val="44"/>
          <w:szCs w:val="44"/>
        </w:rPr>
      </w:pPr>
      <w:r>
        <w:rPr>
          <w:rFonts w:hint="eastAsia" w:ascii="仿宋" w:hAnsi="仿宋" w:eastAsia="仿宋" w:cs="仿宋"/>
          <w:b/>
          <w:bCs/>
          <w:sz w:val="44"/>
          <w:szCs w:val="44"/>
        </w:rPr>
        <w:t xml:space="preserve">第一部分 </w:t>
      </w:r>
    </w:p>
    <w:p>
      <w:pPr>
        <w:pStyle w:val="11"/>
        <w:jc w:val="center"/>
        <w:rPr>
          <w:rFonts w:ascii="黑体" w:hAnsi="黑体" w:eastAsia="黑体"/>
          <w:sz w:val="32"/>
          <w:szCs w:val="32"/>
        </w:rPr>
      </w:pPr>
      <w:r>
        <w:rPr>
          <w:rFonts w:hint="eastAsia" w:ascii="仿宋" w:hAnsi="仿宋" w:eastAsia="仿宋" w:cs="仿宋"/>
          <w:b/>
          <w:bCs/>
          <w:sz w:val="44"/>
          <w:szCs w:val="44"/>
          <w:lang w:eastAsia="zh-CN"/>
        </w:rPr>
        <w:t>道县教育局</w:t>
      </w:r>
      <w:r>
        <w:rPr>
          <w:rFonts w:hint="eastAsia" w:ascii="仿宋" w:hAnsi="仿宋" w:eastAsia="仿宋" w:cs="仿宋"/>
          <w:b/>
          <w:bCs/>
          <w:sz w:val="44"/>
          <w:szCs w:val="44"/>
        </w:rPr>
        <w:t>概况</w:t>
      </w:r>
    </w:p>
    <w:p>
      <w:pPr>
        <w:pStyle w:val="12"/>
        <w:ind w:left="0" w:leftChars="0" w:firstLine="0" w:firstLineChars="0"/>
        <w:jc w:val="left"/>
        <w:rPr>
          <w:rFonts w:ascii="黑体" w:hAnsi="黑体" w:eastAsia="黑体"/>
          <w:sz w:val="32"/>
          <w:szCs w:val="32"/>
        </w:rPr>
      </w:pPr>
    </w:p>
    <w:p>
      <w:pPr>
        <w:pStyle w:val="12"/>
        <w:numPr>
          <w:ilvl w:val="0"/>
          <w:numId w:val="0"/>
        </w:num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部门职责</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（一）贯彻执行党和国家、省委、省政府、市委、市政府、县委、县政府有关教育工作的方针、政策和法规，落实科教兴县的发展战略，拟订教育工作的规章制度和实施意见，并对落实贯彻情况进行指导、检查。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（二）拟订全县教育事业的发展规划，年度招生计划，并指导各校的教育发展规划、计划的实施。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（三）根据市教育局、县委、县政府有关教育工作的决定和要求，负责全县教育改革与发展的规划与实施。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四）综合管理全县的基础教育、职业教育、成人教育、特殊教育、幼儿教育等工作，依法对全县各类国民教育学校办学水平的检查与评估，推进素质教育，全面提高教育质量。负责管理全县高中、初中、小学毕业证书发放、登记和验印工作。负责扫除青壮年文盲规划和组织实施工作。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（五）负责提出我县每年教育经费计划的建议，管理使用县级教育经费；提出城市教育费附加和农村教育费附加的使用意见。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六）主管全县教师工作，指导基础教育、职业教育及成人教育学校教师和教育行政干部队伍建设；负责中小学校教师资格认定和教师职务评聘管理工作，负责全县教育系统的表彰奖励及培养选拔县级以上学科带头人工作；负责中小学校、幼儿园内部管理体制改革。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（七）负责全县幼儿园、小学、初中、高中教师培养和继续教育工作。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（八）负责全县教师队伍及师范类毕业生的调控调配工作。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九）加强学校精神文明建设，负责各类学校的德育工作、体育卫生和文化艺术、青少年科技教育、国防教育以及文明学校的评估等工作；抓好全县各类学校的安全和稳定工作，并协助有关部门及时妥善地处理学校的突发性事件。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（十）负责教育督导与评估工作。负责全县语言文字规范化、标准化的宣传和推广工作；负责未成年人保护日常工作。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（十一）组织协调、督促检查、综合指导全县各类学校和局机关党风廉政建设、行风建设和反腐倡廉工作。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（十二）指导全县学校办学条件、现代教育手段运用、信息技术、校办产业和校园建设工作。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（十三）负责与有关部门做好全县教育系统的统战工作、党团、工会、妇女和计生工作。管理局机关和局下属单位，按照干部管理权限做好干部的选拔、培养、考察、奖惩、任免、教育和离退休人员管理工作。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（十四）贯彻执行教育系统劳动、工资、人事管理工作的有关政策和法规。 </w:t>
      </w:r>
    </w:p>
    <w:p>
      <w:pPr>
        <w:pStyle w:val="14"/>
        <w:spacing w:before="0" w:beforeAutospacing="0" w:after="2" w:afterAutospacing="0"/>
        <w:ind w:right="0"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二、机构设置及决算单位构成</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 xml:space="preserve">（一）内设机构设置 </w:t>
      </w:r>
    </w:p>
    <w:p>
      <w:pPr>
        <w:pStyle w:val="14"/>
        <w:spacing w:before="0" w:beforeAutospacing="0" w:after="2" w:afterAutospacing="0"/>
        <w:ind w:righ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道县教育局内设机构及直属事业单位包括：县委教育工作领导小组秘书组秘书股、综合股、人事股、行政审批股、计划财务股、基础教育股、职业教育和成人教育股、教育督导股、政策法规与学校安全管理股、体育卫生与艺术教育股、党建办公室、审计股、县委教育工委纪检（监察）办公室、道县教师发展中心、道县教育联合工会、道县教育科学研究中心、道县招生考试中心、道县电化教学站、道县民办教育事务中心、道县学生资助中心、道县教育事务协调服务中心、学校基础建设服务中心。教育系统年末编制人数</w:t>
      </w:r>
      <w:r>
        <w:rPr>
          <w:rFonts w:hint="eastAsia" w:ascii="仿宋" w:hAnsi="仿宋" w:eastAsia="仿宋" w:cs="仿宋"/>
          <w:color w:val="000000"/>
          <w:kern w:val="0"/>
          <w:sz w:val="32"/>
          <w:szCs w:val="32"/>
          <w:lang w:val="en-US" w:eastAsia="zh-CN"/>
        </w:rPr>
        <w:t>6009</w:t>
      </w:r>
      <w:r>
        <w:rPr>
          <w:rFonts w:hint="eastAsia" w:ascii="仿宋" w:hAnsi="仿宋" w:eastAsia="仿宋" w:cs="仿宋"/>
          <w:color w:val="000000"/>
          <w:kern w:val="0"/>
          <w:sz w:val="32"/>
          <w:szCs w:val="32"/>
        </w:rPr>
        <w:t xml:space="preserve">人。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（二）决算单位构成</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道县教育局2021年部门决算汇总公开单位构成包括：道县教育局2021年部门决算汇总公开单位构成包括：道县教育局本级以及除一中、二中、五中、工贸、教师进修学校以外的所有学校。 </w:t>
      </w:r>
    </w:p>
    <w:p>
      <w:pPr>
        <w:jc w:val="left"/>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2021年度</w:t>
      </w:r>
      <w:r>
        <w:rPr>
          <w:rFonts w:hint="eastAsia" w:ascii="仿宋" w:hAnsi="仿宋" w:eastAsia="仿宋" w:cs="仿宋"/>
          <w:b/>
          <w:bCs/>
          <w:sz w:val="44"/>
          <w:szCs w:val="4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道县教育局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81,951.16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240.00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77,351.02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1,148.17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3,691.97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82,191.16</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82,191.16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82,191.16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82,191.16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386" w:type="dxa"/>
        <w:tblInd w:w="0" w:type="dxa"/>
        <w:tblLayout w:type="autofit"/>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lang w:eastAsia="zh-CN"/>
              </w:rPr>
              <w:t>道县教育局</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82,191.16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81,951.16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77,351.02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77,111.02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教育管理事务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1,719.00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1,719.00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1,369.00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1,369.00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其他教育管理事务支出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350.00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普通教育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72,605.40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72,365.40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2,246.00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2050202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38,748.00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38,748.00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2050203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26,180.38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26,180.38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2050204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高中教育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177.02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177.02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2050299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5,254.00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5,254.00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特殊教育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117.00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117.00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2050799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其他特殊教育支出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117.00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117.00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进修及培训</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1,091.52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1,091.52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教师进修</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841.52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841.52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培训支出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1,818.11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1,818.11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2050901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农村中小学校舍建设</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630.00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2050903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城市中小学校舍建设</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1,188.11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1,188.11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1,148.17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1,148.17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1,148.17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1,148.17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1,148.17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1,148.17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3,691.97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3,691.97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3,691.97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3,691.97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3,691.97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3,691.97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1"/>
                <w:szCs w:val="21"/>
                <w:lang w:eastAsia="zh-CN"/>
              </w:rPr>
              <w:t>道县教育局</w:t>
            </w:r>
            <w:r>
              <w:rPr>
                <w:rFonts w:hint="eastAsia" w:ascii="宋体" w:hAnsi="宋体" w:eastAsia="宋体" w:cs="宋体"/>
                <w:kern w:val="0"/>
                <w:sz w:val="21"/>
                <w:szCs w:val="21"/>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82,191.16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71,861.94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10,329.22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77,351.02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67,021.80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10,329.22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1,719.00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1,719.00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1,369.00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其他教育管理事务支出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72,605.40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64,094.29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8,511.11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2,246.00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1,822.00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38,748.00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34,275.04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4,472.96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26,180.38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22,566.23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3,614.15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高中教育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177.02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5,254.00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5,254.00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特殊教育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117.00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2050799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其他特殊教育支出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117.00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进修及培训</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1,091.52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1,091.52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教师进修</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841.52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841.52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培训支出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1,818.11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1,818.11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2050901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农村中小学校舍建设</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2050903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城市中小学校舍建设</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1,188.11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1,188.11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1,148.17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1,148.17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1,148.17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1,148.17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1,148.17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1,148.17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3,691.97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3,691.97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3,691.97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3,691.97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3,691.97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3,691.97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63"/>
        <w:gridCol w:w="434"/>
        <w:gridCol w:w="1197"/>
        <w:gridCol w:w="491"/>
        <w:gridCol w:w="2890"/>
        <w:gridCol w:w="626"/>
        <w:gridCol w:w="433"/>
        <w:gridCol w:w="1560"/>
        <w:gridCol w:w="1383"/>
        <w:gridCol w:w="1383"/>
        <w:gridCol w:w="1561"/>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道县教育局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81,951.16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77,111.02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77,111.02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1,148.17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1,148.17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3,691.97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3,691.97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81,951.16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81,951.16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81,951.16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81,951.16</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81,951.16</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81,951.16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道县教育局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986"/>
        <w:gridCol w:w="995"/>
        <w:gridCol w:w="3257"/>
        <w:gridCol w:w="2844"/>
        <w:gridCol w:w="3293"/>
        <w:gridCol w:w="2844"/>
      </w:tblGrid>
      <w:tr>
        <w:tblPrEx>
          <w:tblCellMar>
            <w:top w:w="0" w:type="dxa"/>
            <w:left w:w="108" w:type="dxa"/>
            <w:bottom w:w="0" w:type="dxa"/>
            <w:right w:w="108" w:type="dxa"/>
          </w:tblCellMar>
        </w:tblPrEx>
        <w:trPr>
          <w:trHeight w:val="405" w:hRule="atLeast"/>
          <w:jc w:val="center"/>
        </w:trPr>
        <w:tc>
          <w:tcPr>
            <w:tcW w:w="5238"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81"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44"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3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4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3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81,951.16</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71,621.94</w:t>
            </w:r>
          </w:p>
        </w:tc>
        <w:tc>
          <w:tcPr>
            <w:tcW w:w="284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10,329.22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77,111.02</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66,781.80</w:t>
            </w:r>
          </w:p>
        </w:tc>
        <w:tc>
          <w:tcPr>
            <w:tcW w:w="284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10,329.22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教育管理事务</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1,719.00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1,719.00</w:t>
            </w:r>
          </w:p>
        </w:tc>
        <w:tc>
          <w:tcPr>
            <w:tcW w:w="284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2050101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1,369.00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1,369.00</w:t>
            </w:r>
          </w:p>
        </w:tc>
        <w:tc>
          <w:tcPr>
            <w:tcW w:w="284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2050199</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其他教育管理事务支出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350.00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350.00</w:t>
            </w:r>
          </w:p>
        </w:tc>
        <w:tc>
          <w:tcPr>
            <w:tcW w:w="284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普通教育</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72,365.40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63,854.29</w:t>
            </w:r>
          </w:p>
        </w:tc>
        <w:tc>
          <w:tcPr>
            <w:tcW w:w="284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8,511.11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2,006.00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1,582.00</w:t>
            </w:r>
          </w:p>
        </w:tc>
        <w:tc>
          <w:tcPr>
            <w:tcW w:w="284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424.00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2050202</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38,748.00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34,275.04</w:t>
            </w:r>
          </w:p>
        </w:tc>
        <w:tc>
          <w:tcPr>
            <w:tcW w:w="284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4,472.96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2050203</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26,180.38</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22,566.23</w:t>
            </w:r>
          </w:p>
        </w:tc>
        <w:tc>
          <w:tcPr>
            <w:tcW w:w="284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3,614.15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2050204</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高中教育</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177.02</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177.02</w:t>
            </w:r>
          </w:p>
        </w:tc>
        <w:tc>
          <w:tcPr>
            <w:tcW w:w="284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2050299</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5,254.00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5,254.00</w:t>
            </w:r>
          </w:p>
        </w:tc>
        <w:tc>
          <w:tcPr>
            <w:tcW w:w="284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20507</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特殊教育</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117.00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117.00</w:t>
            </w:r>
          </w:p>
        </w:tc>
        <w:tc>
          <w:tcPr>
            <w:tcW w:w="284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2050799</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其他特殊教育支出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117.00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117.00</w:t>
            </w:r>
          </w:p>
        </w:tc>
        <w:tc>
          <w:tcPr>
            <w:tcW w:w="284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进修及培训</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1,091.52</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1,091.52</w:t>
            </w:r>
          </w:p>
        </w:tc>
        <w:tc>
          <w:tcPr>
            <w:tcW w:w="284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2050801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教师进修</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841.52</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841.52</w:t>
            </w:r>
          </w:p>
        </w:tc>
        <w:tc>
          <w:tcPr>
            <w:tcW w:w="284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2050803</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培训支出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250.00</w:t>
            </w:r>
          </w:p>
        </w:tc>
        <w:tc>
          <w:tcPr>
            <w:tcW w:w="284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20509</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1,818.11</w:t>
            </w:r>
          </w:p>
        </w:tc>
        <w:tc>
          <w:tcPr>
            <w:tcW w:w="32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1,818.11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2050901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农村中小学校舍建设</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630.00</w:t>
            </w:r>
          </w:p>
        </w:tc>
        <w:tc>
          <w:tcPr>
            <w:tcW w:w="32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2050903</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城市中小学校舍建设</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1,188.11</w:t>
            </w:r>
          </w:p>
        </w:tc>
        <w:tc>
          <w:tcPr>
            <w:tcW w:w="32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1,188.11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1,148.17</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1,148.17</w:t>
            </w:r>
          </w:p>
        </w:tc>
        <w:tc>
          <w:tcPr>
            <w:tcW w:w="284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1,148.17</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1,148.17</w:t>
            </w:r>
          </w:p>
        </w:tc>
        <w:tc>
          <w:tcPr>
            <w:tcW w:w="284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1,148.17</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1,148.17</w:t>
            </w:r>
          </w:p>
        </w:tc>
        <w:tc>
          <w:tcPr>
            <w:tcW w:w="284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3,691.97</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3,691.97</w:t>
            </w:r>
          </w:p>
        </w:tc>
        <w:tc>
          <w:tcPr>
            <w:tcW w:w="284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3,691.97</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3,691.97</w:t>
            </w:r>
          </w:p>
        </w:tc>
        <w:tc>
          <w:tcPr>
            <w:tcW w:w="284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3,691.97</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3,691.97</w:t>
            </w:r>
          </w:p>
        </w:tc>
        <w:tc>
          <w:tcPr>
            <w:tcW w:w="284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1216"/>
        <w:gridCol w:w="3022"/>
        <w:gridCol w:w="1098"/>
        <w:gridCol w:w="1112"/>
        <w:gridCol w:w="2087"/>
        <w:gridCol w:w="1098"/>
        <w:gridCol w:w="1113"/>
        <w:gridCol w:w="3770"/>
        <w:gridCol w:w="109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道县教育局</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50,011.37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16,963.78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17,769.20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3,693.47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8,099.53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530.29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9.64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11,604.60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412.24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4,915.01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690.90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102.55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2,672.54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1,046.26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122.88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219.82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3,691.97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2,881.78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1,126.00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213.35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4,646.80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78.95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1,147.86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186.70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320.06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1,148.17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533.01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889.98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1,542.50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820.74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332.59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619.67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366.66</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1,090.53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2,735.94</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54,658.16</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16,963.78</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道县教育局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193.27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6.57</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186.70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道县教育局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w:t>
      </w:r>
      <w:r>
        <w:rPr>
          <w:rFonts w:hint="eastAsia" w:ascii="Times New Roman" w:hAnsi="Times New Roman" w:eastAsia="仿宋_GB2312" w:cs="Times New Roman"/>
          <w:kern w:val="0"/>
          <w:szCs w:val="21"/>
          <w:lang w:eastAsia="zh-CN"/>
        </w:rPr>
        <w:t>教育局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both"/>
              <w:rPr>
                <w:rFonts w:ascii="宋体" w:hAnsi="宋体" w:eastAsia="宋体" w:cs="宋体"/>
                <w:kern w:val="0"/>
                <w:sz w:val="20"/>
                <w:szCs w:val="20"/>
              </w:rPr>
            </w:pPr>
            <w:r>
              <w:rPr>
                <w:rFonts w:hint="eastAsia" w:ascii="宋体" w:hAnsi="宋体" w:eastAsia="宋体" w:cs="宋体"/>
                <w:kern w:val="0"/>
                <w:sz w:val="20"/>
                <w:szCs w:val="20"/>
                <w:lang w:eastAsia="zh-CN"/>
              </w:rPr>
              <w:t>道县教育局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r>
              <w:rPr>
                <w:rFonts w:hint="eastAsia" w:ascii="宋体" w:hAnsi="宋体" w:eastAsia="宋体" w:cs="宋体"/>
                <w:kern w:val="0"/>
                <w:sz w:val="24"/>
                <w:szCs w:val="24"/>
                <w:lang w:val="en-US" w:eastAsia="zh-CN"/>
              </w:rPr>
              <w:t>道县</w:t>
            </w:r>
            <w:r>
              <w:rPr>
                <w:rFonts w:hint="eastAsia" w:ascii="宋体" w:hAnsi="宋体" w:eastAsia="宋体" w:cs="宋体"/>
                <w:kern w:val="0"/>
                <w:sz w:val="24"/>
                <w:szCs w:val="24"/>
                <w:lang w:eastAsia="zh-CN"/>
              </w:rPr>
              <w:t>教育局</w:t>
            </w:r>
            <w:r>
              <w:rPr>
                <w:rFonts w:hint="eastAsia" w:ascii="宋体" w:hAnsi="宋体" w:eastAsia="宋体" w:cs="宋体"/>
                <w:kern w:val="0"/>
                <w:sz w:val="24"/>
                <w:szCs w:val="24"/>
              </w:rPr>
              <w:t>没有国有资本经营预算财政拨款</w:t>
            </w:r>
            <w:r>
              <w:rPr>
                <w:rFonts w:hint="eastAsia" w:ascii="宋体" w:hAnsi="宋体" w:eastAsia="宋体" w:cs="宋体"/>
                <w:kern w:val="0"/>
                <w:sz w:val="24"/>
                <w:szCs w:val="24"/>
                <w:lang w:eastAsia="zh-CN"/>
              </w:rPr>
              <w:t>收入</w:t>
            </w:r>
            <w:r>
              <w:rPr>
                <w:rFonts w:hint="eastAsia" w:ascii="宋体" w:hAnsi="宋体" w:eastAsia="宋体" w:cs="宋体"/>
                <w:kern w:val="0"/>
                <w:sz w:val="24"/>
                <w:szCs w:val="24"/>
              </w:rPr>
              <w:t>，也没有使用国有资本经营预算财政拨款</w:t>
            </w:r>
            <w:r>
              <w:rPr>
                <w:rFonts w:hint="eastAsia" w:ascii="宋体" w:hAnsi="宋体" w:eastAsia="宋体" w:cs="宋体"/>
                <w:kern w:val="0"/>
                <w:sz w:val="24"/>
                <w:szCs w:val="24"/>
                <w:lang w:eastAsia="zh-CN"/>
              </w:rPr>
              <w:t>支出</w:t>
            </w:r>
            <w:r>
              <w:rPr>
                <w:rFonts w:hint="eastAsia" w:ascii="宋体" w:hAnsi="宋体" w:eastAsia="宋体" w:cs="宋体"/>
                <w:kern w:val="0"/>
                <w:sz w:val="24"/>
                <w:szCs w:val="24"/>
              </w:rPr>
              <w:t>，故本表无数据)</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rFonts w:hint="eastAsia" w:ascii="仿宋" w:hAnsi="仿宋" w:eastAsia="仿宋" w:cs="仿宋"/>
          <w:b/>
          <w:bCs/>
          <w:sz w:val="44"/>
          <w:szCs w:val="44"/>
        </w:rPr>
      </w:pPr>
      <w:r>
        <w:rPr>
          <w:rFonts w:hint="eastAsia" w:ascii="仿宋" w:hAnsi="仿宋" w:eastAsia="仿宋" w:cs="仿宋"/>
          <w:b/>
          <w:bCs/>
          <w:sz w:val="44"/>
          <w:szCs w:val="44"/>
        </w:rPr>
        <w:t>第三部分</w:t>
      </w:r>
    </w:p>
    <w:p>
      <w:pPr>
        <w:pStyle w:val="11"/>
        <w:jc w:val="center"/>
        <w:rPr>
          <w:rFonts w:hint="eastAsia" w:ascii="仿宋" w:hAnsi="仿宋" w:eastAsia="仿宋" w:cs="仿宋"/>
          <w:b/>
          <w:bCs/>
          <w:sz w:val="44"/>
          <w:szCs w:val="44"/>
        </w:rPr>
      </w:pPr>
    </w:p>
    <w:p>
      <w:pPr>
        <w:pStyle w:val="11"/>
        <w:jc w:val="center"/>
        <w:rPr>
          <w:rFonts w:hint="eastAsia" w:ascii="仿宋" w:hAnsi="仿宋" w:eastAsia="仿宋" w:cs="仿宋"/>
          <w:b/>
          <w:bCs/>
          <w:sz w:val="44"/>
          <w:szCs w:val="44"/>
        </w:rPr>
      </w:pPr>
      <w:r>
        <w:rPr>
          <w:rFonts w:hint="eastAsia" w:ascii="仿宋" w:hAnsi="仿宋" w:eastAsia="仿宋" w:cs="仿宋"/>
          <w:b/>
          <w:bCs/>
          <w:sz w:val="44"/>
          <w:szCs w:val="44"/>
        </w:rPr>
        <w:t>2021年度部门决算情况说明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一、收入支出决算总体情况说明</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2021年度收、支总计82191.16万元。与上一年度相比，收、支总计各增加3618.03万元，增长4.6%。</w:t>
      </w:r>
      <w:r>
        <w:rPr>
          <w:rFonts w:hint="eastAsia" w:ascii="仿宋" w:hAnsi="仿宋" w:eastAsia="仿宋" w:cs="仿宋"/>
          <w:kern w:val="0"/>
          <w:sz w:val="32"/>
          <w:szCs w:val="32"/>
        </w:rPr>
        <w:t>主要是因为人员经费增长、保安资金、校车补贴、教育奖励基金等项目资金增多。</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二、收入决算情况说明</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2021年度收入合计82191.16万元，其中：财政拨款收入81951.16万元，占99.71%；上级补助收入0万元，占0%；事业收入240万元，占0.29%；经营收入0万元，占0%；附属单位上缴收入0万元，占0%；其他收入0万元，占0%。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三、支出决算情况说明</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2021年度支出合计82191.16万元，其中：基本支出71861.94万元，占87.6%；项目支出10329.22万元，占12.4%；上缴上级支出0万元，占0%；经营支出0万元，占0%；对附属单位补助支出0万元，占0%。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四、财政拨款收入支出决算总体情况说明</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2021年度财政拨款收、支总计81951.16万元。与上一年度相比，财政拨款收、支总计各增加3378.03万元，增长4.3%。</w:t>
      </w:r>
      <w:r>
        <w:rPr>
          <w:rFonts w:hint="eastAsia" w:ascii="仿宋" w:hAnsi="仿宋" w:eastAsia="仿宋" w:cs="仿宋"/>
          <w:kern w:val="0"/>
          <w:sz w:val="32"/>
          <w:szCs w:val="32"/>
        </w:rPr>
        <w:t>主要是因为人员经费增长、保安资金、校车补贴、教育奖励基金等项目资金增多。</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五、一般公共预算财政拨款支出决算情况说明</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（一）财政拨款支出决算总体情况</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85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2021年度财政拨款支出81951.16万元，占本年支出合计的99.71%。与上一年度相比，财政拨款支出增加3378.03万元，增长4.3%。</w:t>
      </w:r>
      <w:r>
        <w:rPr>
          <w:rFonts w:hint="eastAsia" w:ascii="仿宋" w:hAnsi="仿宋" w:eastAsia="仿宋" w:cs="仿宋"/>
          <w:kern w:val="0"/>
          <w:sz w:val="32"/>
          <w:szCs w:val="32"/>
        </w:rPr>
        <w:t>主要是因为人员经费增长、保安资金、校车补贴、教育奖励基金等项目资金增多。</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（二）财政拨款支出决算结构情况</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2021年度财政拨款支出81951.16万元，主要用于以下方面：教育支出77351.02万元，占94.1%；社会保障和就业支出1148.17万元，占1.4%；住房保障支出3691.97万元，占4.5%。 </w:t>
      </w:r>
    </w:p>
    <w:p>
      <w:pPr>
        <w:pStyle w:val="14"/>
        <w:spacing w:before="0" w:beforeAutospacing="0" w:after="2" w:afterAutospacing="0"/>
        <w:ind w:left="0" w:right="0" w:firstLine="64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（三）财政拨款支出决算具体情况</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2021年度财政拨款支出年初预算数为81951.16万元，支出决算数为81951.16万元，完成年初预算的100%，其中：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Style w:val="15"/>
          <w:rFonts w:hint="eastAsia" w:ascii="仿宋" w:hAnsi="仿宋" w:eastAsia="仿宋" w:cs="仿宋"/>
          <w:b/>
          <w:bCs/>
          <w:color w:val="000000"/>
          <w:sz w:val="32"/>
          <w:szCs w:val="32"/>
        </w:rPr>
        <w:t>1、教育支出（类）教育管理事务（款）行政运行（项）</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年初预算为1369万元，支出决算为1369万元，完成年初预算的100%。</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Style w:val="15"/>
          <w:rFonts w:hint="eastAsia" w:ascii="仿宋" w:hAnsi="仿宋" w:eastAsia="仿宋" w:cs="仿宋"/>
          <w:b/>
          <w:bCs/>
          <w:color w:val="000000"/>
          <w:sz w:val="32"/>
          <w:szCs w:val="32"/>
        </w:rPr>
        <w:t>2、教育支出（类）教育管理事务（款）其他教育管理事务支出（项）</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年初预算为350万元，支出决算为350万元，完成年初预算的100%。</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Style w:val="15"/>
          <w:rFonts w:hint="eastAsia" w:ascii="仿宋" w:hAnsi="仿宋" w:eastAsia="仿宋" w:cs="仿宋"/>
          <w:b/>
          <w:bCs/>
          <w:color w:val="000000"/>
          <w:sz w:val="32"/>
          <w:szCs w:val="32"/>
        </w:rPr>
        <w:t>3、教育支出（类）普通教育（款）学前教育（项）</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年初预算为2246万元，支出决算为2246万元，完成年初预算的100%。</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Style w:val="15"/>
          <w:rFonts w:hint="eastAsia" w:ascii="仿宋" w:hAnsi="仿宋" w:eastAsia="仿宋" w:cs="仿宋"/>
          <w:b/>
          <w:bCs/>
          <w:color w:val="000000"/>
          <w:sz w:val="32"/>
          <w:szCs w:val="32"/>
        </w:rPr>
        <w:t>4、教育支出（类）普通教育（款）小学教育（项）</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年初预算为38748万元，支出决算为38748万元，完成年初预算的100%。</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Style w:val="15"/>
          <w:rFonts w:hint="eastAsia" w:ascii="仿宋" w:hAnsi="仿宋" w:eastAsia="仿宋" w:cs="仿宋"/>
          <w:b/>
          <w:bCs/>
          <w:color w:val="000000"/>
          <w:sz w:val="32"/>
          <w:szCs w:val="32"/>
        </w:rPr>
        <w:t>5、教育支出（类）普通教育（款）初中教育（项）</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年初预算为26180.38万元，支出决算为26180.38万元，完成年初预算的100%。</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Style w:val="15"/>
          <w:rFonts w:hint="eastAsia" w:ascii="仿宋" w:hAnsi="仿宋" w:eastAsia="仿宋" w:cs="仿宋"/>
          <w:b/>
          <w:bCs/>
          <w:color w:val="000000"/>
          <w:sz w:val="32"/>
          <w:szCs w:val="32"/>
        </w:rPr>
        <w:t>6、教育支出（类）普通教育（款）高中教育（项）</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年初预算为177.02万元，支出决算为177.02万元，完成年初预算的100%。</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Style w:val="15"/>
          <w:rFonts w:hint="eastAsia" w:ascii="仿宋" w:hAnsi="仿宋" w:eastAsia="仿宋" w:cs="仿宋"/>
          <w:b/>
          <w:bCs/>
          <w:color w:val="000000"/>
          <w:sz w:val="32"/>
          <w:szCs w:val="32"/>
        </w:rPr>
        <w:t>7、教育支出（类）普通教育（款）其他普通教育支出（项）</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年初预算为5254万元，支出决算为5254万元，完成年初预算的100%。</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Style w:val="15"/>
          <w:rFonts w:hint="eastAsia" w:ascii="仿宋" w:hAnsi="仿宋" w:eastAsia="仿宋" w:cs="仿宋"/>
          <w:b/>
          <w:bCs/>
          <w:color w:val="000000"/>
          <w:sz w:val="32"/>
          <w:szCs w:val="32"/>
        </w:rPr>
        <w:t>8、教育支出（类）特殊教育（款）特殊学校教育（项）</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年初预算为117万元，支出决算为117万元，完成年初预算的100%。</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Style w:val="15"/>
          <w:rFonts w:hint="eastAsia" w:ascii="仿宋" w:hAnsi="仿宋" w:eastAsia="仿宋" w:cs="仿宋"/>
          <w:b/>
          <w:bCs/>
          <w:color w:val="000000"/>
          <w:sz w:val="32"/>
          <w:szCs w:val="32"/>
        </w:rPr>
        <w:t>9、教育支出（类）进修及培训（款）教师进修（项）</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年初预算为841.52万元，支出决算为841.52万元，完成年初预算的100%。</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Style w:val="15"/>
          <w:rFonts w:hint="eastAsia" w:ascii="仿宋" w:hAnsi="仿宋" w:eastAsia="仿宋" w:cs="仿宋"/>
          <w:b/>
          <w:bCs/>
          <w:color w:val="000000"/>
          <w:sz w:val="32"/>
          <w:szCs w:val="32"/>
        </w:rPr>
        <w:t>10、教育支出（类）进修及培训（款）培训支出（项）</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年初预算为250万元，支出决算为250万元，完成年初预算的100%。</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Style w:val="15"/>
          <w:rFonts w:hint="eastAsia" w:ascii="仿宋" w:hAnsi="仿宋" w:eastAsia="仿宋" w:cs="仿宋"/>
          <w:b/>
          <w:bCs/>
          <w:color w:val="000000"/>
          <w:sz w:val="32"/>
          <w:szCs w:val="32"/>
        </w:rPr>
        <w:t>11、教育支出（类）教育费附加安排的支出（款）农村中小学校舍建设（项）</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年初预算为630万元，支出决算为630万元，完成年初预算的100%。</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Style w:val="15"/>
          <w:rFonts w:hint="eastAsia" w:ascii="仿宋" w:hAnsi="仿宋" w:eastAsia="仿宋" w:cs="仿宋"/>
          <w:b/>
          <w:bCs/>
          <w:color w:val="000000"/>
          <w:sz w:val="32"/>
          <w:szCs w:val="32"/>
        </w:rPr>
        <w:t>12、教育支出（类）教育费附加安排的支出（款）城市中小学校舍建设（项）</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年初预算为1188.11万元，支出决算为1188.11万元，完成年初预算的100%。</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Style w:val="15"/>
          <w:rFonts w:hint="eastAsia" w:ascii="仿宋" w:hAnsi="仿宋" w:eastAsia="仿宋" w:cs="仿宋"/>
          <w:b/>
          <w:bCs/>
          <w:color w:val="000000"/>
          <w:sz w:val="32"/>
          <w:szCs w:val="32"/>
        </w:rPr>
        <w:t>13、社会保障和就业支出（类）抚恤（款）死亡抚恤（项）</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年初预算为1148.17万元，支出决算为1148.17万元，完成年初预算的100%。</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Style w:val="15"/>
          <w:rFonts w:hint="eastAsia" w:ascii="仿宋" w:hAnsi="仿宋" w:eastAsia="仿宋" w:cs="仿宋"/>
          <w:b/>
          <w:bCs/>
          <w:color w:val="000000"/>
          <w:sz w:val="32"/>
          <w:szCs w:val="32"/>
        </w:rPr>
        <w:t>14、住房保障支出（类）住房改革支出（款）住房公积金（项）</w:t>
      </w:r>
      <w:r>
        <w:rPr>
          <w:rFonts w:hint="eastAsia" w:ascii="仿宋" w:hAnsi="仿宋" w:eastAsia="仿宋" w:cs="仿宋"/>
          <w:color w:val="000000"/>
          <w:kern w:val="0"/>
          <w:sz w:val="32"/>
          <w:szCs w:val="32"/>
        </w:rPr>
        <w:t xml:space="preserve"> </w:t>
      </w:r>
    </w:p>
    <w:p>
      <w:pPr>
        <w:pStyle w:val="14"/>
        <w:spacing w:before="0" w:beforeAutospacing="0" w:after="2" w:afterAutospacing="0"/>
        <w:ind w:left="0" w:right="0"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年初预算为3691.97万元，支出决算为3691.97万元，完成年初预算的100%。</w:t>
      </w:r>
    </w:p>
    <w:p>
      <w:pPr>
        <w:pStyle w:val="14"/>
        <w:spacing w:before="0" w:beforeAutospacing="0" w:after="2" w:afterAutospacing="0"/>
        <w:ind w:left="0" w:right="0" w:firstLine="641"/>
        <w:rPr>
          <w:rFonts w:hint="eastAsia" w:ascii="仿宋" w:hAnsi="仿宋" w:eastAsia="仿宋" w:cs="仿宋"/>
          <w:kern w:val="0"/>
          <w:sz w:val="32"/>
          <w:szCs w:val="32"/>
        </w:rPr>
      </w:pPr>
      <w:r>
        <w:rPr>
          <w:rFonts w:hint="eastAsia" w:ascii="仿宋" w:hAnsi="仿宋" w:eastAsia="仿宋" w:cs="仿宋"/>
          <w:b/>
          <w:bCs/>
          <w:kern w:val="0"/>
          <w:sz w:val="32"/>
          <w:szCs w:val="32"/>
        </w:rPr>
        <w:t>六、一般公共预算财政拨款基本支出决算情况说明</w:t>
      </w:r>
      <w:r>
        <w:rPr>
          <w:rFonts w:hint="eastAsia" w:ascii="仿宋" w:hAnsi="仿宋" w:eastAsia="仿宋" w:cs="仿宋"/>
          <w:kern w:val="0"/>
          <w:sz w:val="32"/>
          <w:szCs w:val="32"/>
        </w:rPr>
        <w:t xml:space="preserve"> </w:t>
      </w:r>
    </w:p>
    <w:p>
      <w:pPr>
        <w:pStyle w:val="14"/>
        <w:spacing w:before="0" w:beforeAutospacing="0" w:after="2" w:afterAutospacing="0"/>
        <w:ind w:left="0" w:right="0" w:firstLine="420"/>
        <w:rPr>
          <w:rFonts w:hint="eastAsia" w:ascii="仿宋" w:hAnsi="仿宋" w:eastAsia="仿宋" w:cs="仿宋"/>
          <w:kern w:val="0"/>
          <w:sz w:val="32"/>
          <w:szCs w:val="32"/>
        </w:rPr>
      </w:pPr>
      <w:r>
        <w:rPr>
          <w:rFonts w:hint="eastAsia" w:ascii="仿宋" w:hAnsi="仿宋" w:eastAsia="仿宋" w:cs="仿宋"/>
          <w:kern w:val="0"/>
          <w:sz w:val="32"/>
          <w:szCs w:val="32"/>
        </w:rPr>
        <w:t xml:space="preserve"> 2021年度财政拨款基本支出71621.94万元，其中：人员经费54658.16万元，占基本支出的76.31%，主要包括：基本工资、津贴补贴、奖金、绩效工资、机关事业单位基本养老保险缴费、职工基本医疗保险缴费、其他社会保障缴费、住房公积金、其他工资福利支出、抚恤金、生活补助、助学金、奖励金、其他对个人和家庭的补助。公用经费16963.78万元，占基本支出的23.69%，主要包括：办公费、印刷费、咨询费、手续费、水费、电费、邮电费、物业管理费、差旅费、维修（护）费、租赁费、会议费、培训费、公务接待费、专用材料费、劳务费、工会经费、福利费、公务用车运行维护费、其他交通费用、其他商品和服务支出。 </w:t>
      </w:r>
    </w:p>
    <w:p>
      <w:pPr>
        <w:pStyle w:val="14"/>
        <w:spacing w:before="0" w:beforeAutospacing="0" w:after="2" w:afterAutospacing="0"/>
        <w:ind w:left="0" w:right="0" w:firstLine="641"/>
        <w:rPr>
          <w:rFonts w:hint="eastAsia" w:ascii="仿宋" w:hAnsi="仿宋" w:eastAsia="仿宋" w:cs="仿宋"/>
          <w:kern w:val="0"/>
          <w:sz w:val="32"/>
          <w:szCs w:val="32"/>
        </w:rPr>
      </w:pPr>
      <w:r>
        <w:rPr>
          <w:rFonts w:hint="eastAsia" w:ascii="仿宋" w:hAnsi="仿宋" w:eastAsia="仿宋" w:cs="仿宋"/>
          <w:b/>
          <w:bCs/>
          <w:kern w:val="0"/>
          <w:sz w:val="32"/>
          <w:szCs w:val="32"/>
        </w:rPr>
        <w:t>七、一般公共预算财政拨款三公经费支出决算情况说明</w:t>
      </w:r>
      <w:r>
        <w:rPr>
          <w:rFonts w:hint="eastAsia" w:ascii="仿宋" w:hAnsi="仿宋" w:eastAsia="仿宋" w:cs="仿宋"/>
          <w:kern w:val="0"/>
          <w:sz w:val="32"/>
          <w:szCs w:val="32"/>
        </w:rPr>
        <w:t xml:space="preserve"> </w:t>
      </w:r>
    </w:p>
    <w:p>
      <w:pPr>
        <w:pStyle w:val="14"/>
        <w:spacing w:before="0" w:beforeAutospacing="0" w:after="2" w:afterAutospacing="0"/>
        <w:ind w:left="0" w:right="0" w:firstLine="641"/>
        <w:rPr>
          <w:rFonts w:hint="eastAsia" w:ascii="仿宋" w:hAnsi="仿宋" w:eastAsia="仿宋" w:cs="仿宋"/>
          <w:kern w:val="0"/>
          <w:sz w:val="32"/>
          <w:szCs w:val="32"/>
        </w:rPr>
      </w:pPr>
      <w:r>
        <w:rPr>
          <w:rFonts w:hint="eastAsia" w:ascii="仿宋" w:hAnsi="仿宋" w:eastAsia="仿宋" w:cs="仿宋"/>
          <w:b/>
          <w:bCs/>
          <w:kern w:val="0"/>
          <w:sz w:val="32"/>
          <w:szCs w:val="32"/>
        </w:rPr>
        <w:t>（一）“三公”经费财政拨款支出决算总体情况说明</w:t>
      </w:r>
      <w:r>
        <w:rPr>
          <w:rFonts w:hint="eastAsia" w:ascii="仿宋" w:hAnsi="仿宋" w:eastAsia="仿宋" w:cs="仿宋"/>
          <w:kern w:val="0"/>
          <w:sz w:val="32"/>
          <w:szCs w:val="32"/>
        </w:rPr>
        <w:t xml:space="preserve"> </w:t>
      </w:r>
    </w:p>
    <w:p>
      <w:pPr>
        <w:pStyle w:val="14"/>
        <w:spacing w:before="0" w:beforeAutospacing="0" w:after="2" w:afterAutospacing="0"/>
        <w:ind w:left="0" w:right="0" w:firstLine="640"/>
        <w:rPr>
          <w:rFonts w:hint="eastAsia" w:ascii="仿宋" w:hAnsi="仿宋" w:eastAsia="仿宋" w:cs="仿宋"/>
          <w:kern w:val="0"/>
          <w:sz w:val="32"/>
          <w:szCs w:val="32"/>
        </w:rPr>
      </w:pPr>
      <w:r>
        <w:rPr>
          <w:rFonts w:hint="eastAsia" w:ascii="仿宋" w:hAnsi="仿宋" w:eastAsia="仿宋" w:cs="仿宋"/>
          <w:kern w:val="0"/>
          <w:sz w:val="32"/>
          <w:szCs w:val="32"/>
        </w:rPr>
        <w:t xml:space="preserve">2021年度“三公”经费财政拨款支出预算为201万元，支出决算为193.27万元，完成预算的96.15%，其中： </w:t>
      </w:r>
    </w:p>
    <w:p>
      <w:pPr>
        <w:pStyle w:val="14"/>
        <w:spacing w:before="0" w:beforeAutospacing="0" w:after="2" w:afterAutospacing="0"/>
        <w:ind w:left="0" w:right="0" w:firstLine="640"/>
        <w:rPr>
          <w:rFonts w:hint="default" w:ascii="仿宋" w:hAnsi="仿宋" w:eastAsia="仿宋" w:cs="仿宋"/>
          <w:kern w:val="0"/>
          <w:sz w:val="32"/>
          <w:szCs w:val="32"/>
          <w:lang w:val="en-US" w:eastAsia="zh-CN"/>
        </w:rPr>
      </w:pPr>
      <w:r>
        <w:rPr>
          <w:rFonts w:hint="eastAsia" w:ascii="仿宋" w:hAnsi="仿宋" w:eastAsia="仿宋" w:cs="仿宋"/>
          <w:kern w:val="0"/>
          <w:sz w:val="32"/>
          <w:szCs w:val="32"/>
        </w:rPr>
        <w:t>因公出国（境）费支出预算为0万元，支出决算为0万元，由于预算数为0，无法计算百分比</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2021年度我单位未开展因公出国（出境）活动。</w:t>
      </w:r>
    </w:p>
    <w:p>
      <w:pPr>
        <w:pStyle w:val="14"/>
        <w:spacing w:before="0" w:beforeAutospacing="0" w:after="2" w:afterAutospacing="0"/>
        <w:ind w:left="0" w:right="0" w:firstLine="640"/>
        <w:rPr>
          <w:rFonts w:hint="eastAsia" w:ascii="仿宋" w:hAnsi="仿宋" w:eastAsia="仿宋" w:cs="仿宋"/>
          <w:kern w:val="0"/>
          <w:sz w:val="32"/>
          <w:szCs w:val="32"/>
        </w:rPr>
      </w:pPr>
      <w:r>
        <w:rPr>
          <w:rFonts w:hint="eastAsia" w:ascii="仿宋" w:hAnsi="仿宋" w:eastAsia="仿宋" w:cs="仿宋"/>
          <w:kern w:val="0"/>
          <w:sz w:val="32"/>
          <w:szCs w:val="32"/>
        </w:rPr>
        <w:t>公务接待费支出预算为190万元，支出决算为186.7万元，完成预算的98.26%，与上年相比减少1.56万元，</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rPr>
        <w:t>0.8%，下降的主要原因是严格管理、厉行节约逐步压减开支。</w:t>
      </w:r>
    </w:p>
    <w:p>
      <w:pPr>
        <w:pStyle w:val="11"/>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公务用车购置费</w:t>
      </w:r>
      <w:r>
        <w:rPr>
          <w:rFonts w:hint="eastAsia" w:ascii="仿宋" w:hAnsi="仿宋" w:eastAsia="仿宋" w:cs="仿宋"/>
          <w:kern w:val="0"/>
          <w:sz w:val="32"/>
          <w:szCs w:val="32"/>
          <w:lang w:eastAsia="zh-CN"/>
        </w:rPr>
        <w:t>支出预算为</w:t>
      </w:r>
      <w:r>
        <w:rPr>
          <w:rFonts w:hint="eastAsia" w:ascii="仿宋" w:hAnsi="仿宋" w:eastAsia="仿宋" w:cs="仿宋"/>
          <w:kern w:val="0"/>
          <w:sz w:val="32"/>
          <w:szCs w:val="32"/>
          <w:lang w:val="en-US" w:eastAsia="zh-CN"/>
        </w:rPr>
        <w:t>0万元，支出决算为0万</w:t>
      </w:r>
      <w:bookmarkStart w:id="7" w:name="_GoBack"/>
      <w:r>
        <w:rPr>
          <w:rFonts w:hint="eastAsia" w:ascii="仿宋" w:hAnsi="仿宋" w:eastAsia="仿宋" w:cs="仿宋"/>
          <w:kern w:val="0"/>
          <w:sz w:val="32"/>
          <w:szCs w:val="32"/>
          <w:lang w:val="en-US" w:eastAsia="zh-CN"/>
        </w:rPr>
        <w:t>元，由</w:t>
      </w:r>
      <w:r>
        <w:rPr>
          <w:rFonts w:hint="eastAsia" w:ascii="仿宋" w:hAnsi="仿宋" w:eastAsia="仿宋" w:cs="仿宋"/>
          <w:kern w:val="0"/>
          <w:sz w:val="32"/>
          <w:szCs w:val="32"/>
          <w:lang w:val="en-US" w:eastAsia="zh-CN"/>
        </w:rPr>
        <w:t>于预算数为0，</w:t>
      </w:r>
      <w:bookmarkEnd w:id="7"/>
      <w:r>
        <w:rPr>
          <w:rFonts w:hint="eastAsia" w:ascii="仿宋" w:hAnsi="仿宋" w:eastAsia="仿宋" w:cs="仿宋"/>
          <w:kern w:val="0"/>
          <w:sz w:val="32"/>
          <w:szCs w:val="32"/>
          <w:lang w:val="en-US" w:eastAsia="zh-CN"/>
        </w:rPr>
        <w:t>无法计算百分比，本年度本单位无公务用车购置。</w:t>
      </w:r>
    </w:p>
    <w:p>
      <w:pPr>
        <w:pStyle w:val="14"/>
        <w:spacing w:before="0" w:beforeAutospacing="0" w:after="2" w:afterAutospacing="0"/>
        <w:ind w:left="0" w:right="0" w:firstLine="640"/>
        <w:rPr>
          <w:rFonts w:hint="eastAsia" w:ascii="仿宋" w:hAnsi="仿宋" w:eastAsia="仿宋" w:cs="仿宋"/>
          <w:kern w:val="0"/>
          <w:sz w:val="32"/>
          <w:szCs w:val="32"/>
        </w:rPr>
      </w:pPr>
      <w:r>
        <w:rPr>
          <w:rFonts w:hint="eastAsia" w:ascii="仿宋" w:hAnsi="仿宋" w:eastAsia="仿宋" w:cs="仿宋"/>
          <w:kern w:val="0"/>
          <w:sz w:val="32"/>
          <w:szCs w:val="32"/>
        </w:rPr>
        <w:t>公务用车运行维护费支出预算为11万元，支出决算为6.57万元，完成预算的59.73%，与上年相比减少0.33万元，下降5.59%，下降的主要原因是机关逐步压减开支</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减少公务用车使用。</w:t>
      </w:r>
    </w:p>
    <w:p>
      <w:pPr>
        <w:pStyle w:val="14"/>
        <w:spacing w:before="0" w:beforeAutospacing="0" w:after="2" w:afterAutospacing="0"/>
        <w:ind w:left="0" w:right="0" w:firstLine="640"/>
        <w:rPr>
          <w:rFonts w:hint="eastAsia" w:ascii="仿宋" w:hAnsi="仿宋" w:eastAsia="仿宋" w:cs="仿宋"/>
          <w:kern w:val="0"/>
          <w:sz w:val="32"/>
          <w:szCs w:val="32"/>
        </w:rPr>
      </w:pPr>
      <w:r>
        <w:rPr>
          <w:rFonts w:hint="eastAsia" w:ascii="仿宋" w:hAnsi="仿宋" w:eastAsia="仿宋" w:cs="仿宋"/>
          <w:b/>
          <w:bCs/>
          <w:kern w:val="0"/>
          <w:sz w:val="32"/>
          <w:szCs w:val="32"/>
        </w:rPr>
        <w:t>（二）“三公”经费财政拨款支出决算具体情况说明</w:t>
      </w:r>
      <w:r>
        <w:rPr>
          <w:rFonts w:hint="eastAsia" w:ascii="仿宋" w:hAnsi="仿宋" w:eastAsia="仿宋" w:cs="仿宋"/>
          <w:kern w:val="0"/>
          <w:sz w:val="32"/>
          <w:szCs w:val="32"/>
        </w:rPr>
        <w:t xml:space="preserve"> </w:t>
      </w:r>
    </w:p>
    <w:p>
      <w:pPr>
        <w:pStyle w:val="14"/>
        <w:spacing w:before="0" w:beforeAutospacing="0" w:after="2" w:afterAutospacing="0"/>
        <w:ind w:left="0" w:right="0" w:firstLine="640"/>
        <w:rPr>
          <w:rFonts w:hint="eastAsia" w:ascii="仿宋" w:hAnsi="仿宋" w:eastAsia="仿宋" w:cs="仿宋"/>
          <w:kern w:val="0"/>
          <w:sz w:val="32"/>
          <w:szCs w:val="32"/>
        </w:rPr>
      </w:pPr>
      <w:r>
        <w:rPr>
          <w:rFonts w:hint="eastAsia" w:ascii="仿宋" w:hAnsi="仿宋" w:eastAsia="仿宋" w:cs="仿宋"/>
          <w:kern w:val="0"/>
          <w:sz w:val="32"/>
          <w:szCs w:val="32"/>
        </w:rPr>
        <w:t xml:space="preserve">2021年度“三公”经费财政拨款支出决算中，公务接待费支出决算186.7万元，占92.88%，因公出国（境）费支出决算0万元，占0%，公务用车购置费及运行维护费支出决算6.57万元，占3.27%。其中： </w:t>
      </w:r>
    </w:p>
    <w:p>
      <w:pPr>
        <w:pStyle w:val="14"/>
        <w:spacing w:before="0" w:beforeAutospacing="0" w:after="2" w:afterAutospacing="0"/>
        <w:ind w:left="0" w:right="0" w:firstLine="640"/>
        <w:rPr>
          <w:rFonts w:hint="eastAsia" w:ascii="仿宋" w:hAnsi="仿宋" w:eastAsia="仿宋" w:cs="仿宋"/>
          <w:kern w:val="0"/>
          <w:sz w:val="32"/>
          <w:szCs w:val="32"/>
        </w:rPr>
      </w:pPr>
      <w:r>
        <w:rPr>
          <w:rFonts w:hint="eastAsia" w:ascii="仿宋" w:hAnsi="仿宋" w:eastAsia="仿宋" w:cs="仿宋"/>
          <w:kern w:val="0"/>
          <w:sz w:val="32"/>
          <w:szCs w:val="32"/>
        </w:rPr>
        <w:t>1、因公出国（境）费支出决算为0万元，</w:t>
      </w:r>
      <w:r>
        <w:rPr>
          <w:rFonts w:hint="eastAsia" w:ascii="仿宋" w:hAnsi="仿宋" w:eastAsia="仿宋" w:cs="仿宋"/>
          <w:kern w:val="0"/>
          <w:sz w:val="32"/>
          <w:szCs w:val="32"/>
          <w:lang w:eastAsia="zh-CN"/>
        </w:rPr>
        <w:t>受疫情影响，</w:t>
      </w:r>
      <w:r>
        <w:rPr>
          <w:rFonts w:hint="eastAsia" w:ascii="仿宋" w:hAnsi="仿宋" w:eastAsia="仿宋" w:cs="仿宋"/>
          <w:kern w:val="0"/>
          <w:sz w:val="32"/>
          <w:szCs w:val="32"/>
          <w:lang w:val="en-US" w:eastAsia="zh-CN"/>
        </w:rPr>
        <w:t>2021年度我单位未开展因公出国（境）活动。</w:t>
      </w:r>
      <w:r>
        <w:rPr>
          <w:rFonts w:hint="eastAsia" w:ascii="仿宋" w:hAnsi="仿宋" w:eastAsia="仿宋" w:cs="仿宋"/>
          <w:kern w:val="0"/>
          <w:sz w:val="32"/>
          <w:szCs w:val="32"/>
        </w:rPr>
        <w:t xml:space="preserve"> </w:t>
      </w:r>
    </w:p>
    <w:p>
      <w:pPr>
        <w:pStyle w:val="14"/>
        <w:spacing w:before="0" w:beforeAutospacing="0" w:after="2" w:afterAutospacing="0"/>
        <w:ind w:left="0" w:right="0" w:firstLine="640"/>
        <w:rPr>
          <w:rFonts w:hint="eastAsia" w:ascii="仿宋" w:hAnsi="仿宋" w:eastAsia="仿宋" w:cs="仿宋"/>
          <w:kern w:val="0"/>
          <w:sz w:val="32"/>
          <w:szCs w:val="32"/>
        </w:rPr>
      </w:pPr>
      <w:r>
        <w:rPr>
          <w:rFonts w:hint="eastAsia" w:ascii="仿宋" w:hAnsi="仿宋" w:eastAsia="仿宋" w:cs="仿宋"/>
          <w:kern w:val="0"/>
          <w:sz w:val="32"/>
          <w:szCs w:val="32"/>
        </w:rPr>
        <w:t>2、公务接待费支出决算为186.7万元，全年共接待来访团组2418个、来宾19812人次，主要是</w:t>
      </w:r>
      <w:r>
        <w:rPr>
          <w:rStyle w:val="16"/>
          <w:rFonts w:hint="eastAsia" w:ascii="仿宋" w:hAnsi="仿宋" w:eastAsia="仿宋" w:cs="仿宋"/>
          <w:sz w:val="32"/>
          <w:szCs w:val="32"/>
        </w:rPr>
        <w:t>学校接待上级领导来</w:t>
      </w:r>
      <w:r>
        <w:rPr>
          <w:rStyle w:val="16"/>
          <w:rFonts w:hint="eastAsia" w:ascii="仿宋" w:hAnsi="仿宋" w:eastAsia="仿宋" w:cs="仿宋"/>
          <w:sz w:val="32"/>
          <w:szCs w:val="32"/>
          <w:lang w:eastAsia="zh-CN"/>
        </w:rPr>
        <w:t>检查工作发生的接待支出</w:t>
      </w:r>
      <w:r>
        <w:rPr>
          <w:rStyle w:val="16"/>
          <w:rFonts w:hint="eastAsia" w:ascii="仿宋" w:hAnsi="仿宋" w:eastAsia="仿宋" w:cs="仿宋"/>
          <w:sz w:val="32"/>
          <w:szCs w:val="32"/>
        </w:rPr>
        <w:t>。</w:t>
      </w:r>
      <w:r>
        <w:rPr>
          <w:rFonts w:hint="eastAsia" w:ascii="仿宋" w:hAnsi="仿宋" w:eastAsia="仿宋" w:cs="仿宋"/>
          <w:kern w:val="0"/>
          <w:sz w:val="32"/>
          <w:szCs w:val="32"/>
        </w:rPr>
        <w:t xml:space="preserve"> </w:t>
      </w:r>
    </w:p>
    <w:p>
      <w:pPr>
        <w:pStyle w:val="14"/>
        <w:spacing w:before="0" w:beforeAutospacing="0" w:after="2" w:afterAutospacing="0"/>
        <w:ind w:left="0" w:right="0" w:firstLine="641"/>
        <w:rPr>
          <w:rFonts w:hint="eastAsia" w:ascii="仿宋" w:hAnsi="仿宋" w:eastAsia="仿宋" w:cs="仿宋"/>
          <w:kern w:val="0"/>
          <w:sz w:val="32"/>
          <w:szCs w:val="32"/>
        </w:rPr>
      </w:pPr>
      <w:r>
        <w:rPr>
          <w:rFonts w:hint="eastAsia" w:ascii="仿宋" w:hAnsi="仿宋" w:eastAsia="仿宋" w:cs="仿宋"/>
          <w:kern w:val="0"/>
          <w:sz w:val="32"/>
          <w:szCs w:val="32"/>
        </w:rPr>
        <w:t>3、公务用车购置费及运行维护费支出决算为6.57万元，其中：公务用车购置费0万元，</w:t>
      </w:r>
      <w:r>
        <w:rPr>
          <w:rFonts w:hint="eastAsia" w:ascii="仿宋" w:hAnsi="仿宋" w:eastAsia="仿宋" w:cs="仿宋"/>
          <w:kern w:val="0"/>
          <w:sz w:val="32"/>
          <w:szCs w:val="32"/>
          <w:lang w:eastAsia="zh-CN"/>
        </w:rPr>
        <w:t>公务用车购置</w:t>
      </w:r>
      <w:r>
        <w:rPr>
          <w:rStyle w:val="16"/>
          <w:rFonts w:hint="eastAsia" w:ascii="仿宋" w:hAnsi="仿宋" w:eastAsia="仿宋" w:cs="仿宋"/>
          <w:sz w:val="32"/>
          <w:szCs w:val="32"/>
        </w:rPr>
        <w:t>0辆</w:t>
      </w:r>
      <w:r>
        <w:rPr>
          <w:rFonts w:hint="eastAsia" w:ascii="仿宋" w:hAnsi="仿宋" w:eastAsia="仿宋" w:cs="仿宋"/>
          <w:kern w:val="0"/>
          <w:sz w:val="32"/>
          <w:szCs w:val="32"/>
        </w:rPr>
        <w:t>。公务用车运行维护费6.57万元，主要是</w:t>
      </w:r>
      <w:r>
        <w:rPr>
          <w:rFonts w:hint="eastAsia" w:ascii="仿宋" w:hAnsi="仿宋" w:eastAsia="仿宋" w:cs="仿宋"/>
          <w:kern w:val="0"/>
          <w:sz w:val="32"/>
          <w:szCs w:val="32"/>
          <w:lang w:eastAsia="zh-CN"/>
        </w:rPr>
        <w:t>公务用车运行</w:t>
      </w:r>
      <w:r>
        <w:rPr>
          <w:rStyle w:val="16"/>
          <w:rFonts w:hint="eastAsia" w:ascii="仿宋" w:hAnsi="仿宋" w:eastAsia="仿宋" w:cs="仿宋"/>
          <w:sz w:val="32"/>
          <w:szCs w:val="32"/>
        </w:rPr>
        <w:t>维护</w:t>
      </w:r>
      <w:r>
        <w:rPr>
          <w:rStyle w:val="16"/>
          <w:rFonts w:hint="eastAsia" w:ascii="仿宋" w:hAnsi="仿宋" w:eastAsia="仿宋" w:cs="仿宋"/>
          <w:sz w:val="32"/>
          <w:szCs w:val="32"/>
          <w:lang w:eastAsia="zh-CN"/>
        </w:rPr>
        <w:t>支出</w:t>
      </w:r>
      <w:r>
        <w:rPr>
          <w:rFonts w:hint="eastAsia" w:ascii="仿宋" w:hAnsi="仿宋" w:eastAsia="仿宋" w:cs="仿宋"/>
          <w:kern w:val="0"/>
          <w:sz w:val="32"/>
          <w:szCs w:val="32"/>
        </w:rPr>
        <w:t xml:space="preserve">，截至2021年12月31日，我单位开支财政拨款的公务用车保有量为1辆。 </w:t>
      </w:r>
    </w:p>
    <w:p>
      <w:pPr>
        <w:pStyle w:val="14"/>
        <w:spacing w:before="0" w:beforeAutospacing="0" w:after="2" w:afterAutospacing="0"/>
        <w:ind w:left="0" w:right="0" w:firstLine="641"/>
        <w:rPr>
          <w:rFonts w:hint="eastAsia" w:ascii="仿宋" w:hAnsi="仿宋" w:eastAsia="仿宋" w:cs="仿宋"/>
          <w:kern w:val="0"/>
          <w:sz w:val="32"/>
          <w:szCs w:val="32"/>
        </w:rPr>
      </w:pPr>
      <w:r>
        <w:rPr>
          <w:rFonts w:hint="eastAsia" w:ascii="仿宋" w:hAnsi="仿宋" w:eastAsia="仿宋" w:cs="仿宋"/>
          <w:b/>
          <w:bCs/>
          <w:kern w:val="0"/>
          <w:sz w:val="32"/>
          <w:szCs w:val="32"/>
        </w:rPr>
        <w:t>八、政府性基金预算收入支出决算情况</w:t>
      </w:r>
      <w:r>
        <w:rPr>
          <w:rFonts w:hint="eastAsia" w:ascii="仿宋" w:hAnsi="仿宋" w:eastAsia="仿宋" w:cs="仿宋"/>
          <w:kern w:val="0"/>
          <w:sz w:val="32"/>
          <w:szCs w:val="32"/>
        </w:rPr>
        <w:t xml:space="preserve"> </w:t>
      </w:r>
    </w:p>
    <w:p>
      <w:pPr>
        <w:pStyle w:val="14"/>
        <w:spacing w:before="0" w:beforeAutospacing="0" w:after="2" w:afterAutospacing="0"/>
        <w:ind w:left="0" w:right="0" w:firstLine="641"/>
        <w:rPr>
          <w:rFonts w:hint="eastAsia" w:ascii="仿宋" w:hAnsi="仿宋" w:eastAsia="仿宋" w:cs="仿宋"/>
          <w:kern w:val="0"/>
          <w:sz w:val="32"/>
          <w:szCs w:val="32"/>
        </w:rPr>
      </w:pPr>
      <w:r>
        <w:rPr>
          <w:rFonts w:hint="eastAsia" w:ascii="仿宋" w:hAnsi="仿宋" w:eastAsia="仿宋" w:cs="仿宋"/>
          <w:kern w:val="0"/>
          <w:sz w:val="32"/>
          <w:szCs w:val="32"/>
        </w:rPr>
        <w:t xml:space="preserve">2021年度政府性基金预算财政拨款收入0万元；年初结转和结余0万元；支出0万元，其中基本支出0万元，项目支出0万元；年末结转和结余0万元。 </w:t>
      </w:r>
    </w:p>
    <w:p>
      <w:pPr>
        <w:pStyle w:val="14"/>
        <w:spacing w:before="0" w:beforeAutospacing="0" w:after="2" w:afterAutospacing="0"/>
        <w:ind w:left="0" w:right="0" w:firstLine="640"/>
        <w:rPr>
          <w:rFonts w:hint="eastAsia" w:ascii="仿宋" w:hAnsi="仿宋" w:eastAsia="仿宋" w:cs="仿宋"/>
          <w:kern w:val="0"/>
          <w:sz w:val="32"/>
          <w:szCs w:val="32"/>
        </w:rPr>
      </w:pPr>
      <w:r>
        <w:rPr>
          <w:rFonts w:hint="eastAsia" w:ascii="仿宋" w:hAnsi="仿宋" w:eastAsia="仿宋" w:cs="仿宋"/>
          <w:b/>
          <w:bCs/>
          <w:kern w:val="0"/>
          <w:sz w:val="32"/>
          <w:szCs w:val="32"/>
        </w:rPr>
        <w:t>九、机关运行经费支出说明</w:t>
      </w:r>
      <w:r>
        <w:rPr>
          <w:rFonts w:hint="eastAsia" w:ascii="仿宋" w:hAnsi="仿宋" w:eastAsia="仿宋" w:cs="仿宋"/>
          <w:kern w:val="0"/>
          <w:sz w:val="32"/>
          <w:szCs w:val="32"/>
        </w:rPr>
        <w:t xml:space="preserve"> </w:t>
      </w:r>
    </w:p>
    <w:p>
      <w:pPr>
        <w:pStyle w:val="14"/>
        <w:spacing w:before="0" w:beforeAutospacing="0" w:after="2" w:afterAutospacing="0"/>
        <w:ind w:left="0" w:right="0" w:firstLine="640"/>
        <w:rPr>
          <w:rFonts w:hint="eastAsia" w:ascii="仿宋" w:hAnsi="仿宋" w:eastAsia="仿宋" w:cs="仿宋"/>
          <w:kern w:val="0"/>
          <w:sz w:val="32"/>
          <w:szCs w:val="32"/>
        </w:rPr>
      </w:pPr>
      <w:r>
        <w:rPr>
          <w:rFonts w:hint="eastAsia" w:ascii="仿宋" w:hAnsi="仿宋" w:eastAsia="仿宋" w:cs="仿宋"/>
          <w:kern w:val="0"/>
          <w:sz w:val="32"/>
          <w:szCs w:val="32"/>
        </w:rPr>
        <w:t xml:space="preserve">道县教育局2021年度机关运行经费支出0万元，比年初预算数减少176.7万元，下降100%。主要原因是：道县教育局为财政补助事业单位，没有机关运行经费。 </w:t>
      </w:r>
    </w:p>
    <w:p>
      <w:pPr>
        <w:pStyle w:val="14"/>
        <w:spacing w:before="0" w:beforeAutospacing="0" w:after="2" w:afterAutospacing="0"/>
        <w:ind w:left="0" w:right="0" w:firstLine="640"/>
        <w:rPr>
          <w:rFonts w:hint="eastAsia" w:ascii="仿宋" w:hAnsi="仿宋" w:eastAsia="仿宋" w:cs="仿宋"/>
          <w:kern w:val="0"/>
          <w:sz w:val="32"/>
          <w:szCs w:val="32"/>
        </w:rPr>
      </w:pPr>
      <w:r>
        <w:rPr>
          <w:rFonts w:hint="eastAsia" w:ascii="仿宋" w:hAnsi="仿宋" w:eastAsia="仿宋" w:cs="仿宋"/>
          <w:b/>
          <w:bCs/>
          <w:kern w:val="0"/>
          <w:sz w:val="32"/>
          <w:szCs w:val="32"/>
        </w:rPr>
        <w:t>十、一般性支出情况</w:t>
      </w:r>
      <w:r>
        <w:rPr>
          <w:rFonts w:hint="eastAsia" w:ascii="仿宋" w:hAnsi="仿宋" w:eastAsia="仿宋" w:cs="仿宋"/>
          <w:kern w:val="0"/>
          <w:sz w:val="32"/>
          <w:szCs w:val="32"/>
        </w:rPr>
        <w:t xml:space="preserve"> </w:t>
      </w:r>
    </w:p>
    <w:p>
      <w:pPr>
        <w:pStyle w:val="14"/>
        <w:spacing w:before="0" w:beforeAutospacing="0" w:after="2" w:afterAutospacing="0"/>
        <w:ind w:left="0" w:right="0" w:firstLine="640"/>
        <w:rPr>
          <w:rFonts w:hint="eastAsia" w:ascii="仿宋" w:hAnsi="仿宋" w:eastAsia="仿宋" w:cs="仿宋"/>
          <w:kern w:val="0"/>
          <w:sz w:val="32"/>
          <w:szCs w:val="32"/>
        </w:rPr>
      </w:pPr>
      <w:r>
        <w:rPr>
          <w:rFonts w:hint="eastAsia" w:ascii="仿宋" w:hAnsi="仿宋" w:eastAsia="仿宋" w:cs="仿宋"/>
          <w:kern w:val="0"/>
          <w:sz w:val="32"/>
          <w:szCs w:val="32"/>
        </w:rPr>
        <w:t xml:space="preserve">2021年度道县教育局一般性支出16581.38万元，其中：会议费78.95万元、培训费1147.86万元、办公费3693.47万元、印刷费530.29万元、咨询费0万元、水费412.24万元、电费690.90万元、邮电费102.55万元、取暖费0万元、物业管理费1046.26万元、差旅费219.82万元、因公出国（境）费用0万元、维修（护）费2881.78万元、租赁费213.35万元、公务接待费186.7万元、被装购置费0万元、劳务费889.98万元、委托业务费0万元、公务用车运行维护费6.57万元、其他交通费用366.66万元、房屋建筑物购建4114.00万元、办公设备购置0万元、公务用车购置0万元、其他交通工具购置0万元。 </w:t>
      </w:r>
    </w:p>
    <w:p>
      <w:pPr>
        <w:pStyle w:val="14"/>
        <w:spacing w:before="0" w:beforeAutospacing="0" w:after="2" w:afterAutospacing="0"/>
        <w:ind w:left="0" w:right="0" w:firstLine="640"/>
        <w:rPr>
          <w:rFonts w:hint="eastAsia" w:ascii="仿宋" w:hAnsi="仿宋" w:eastAsia="仿宋" w:cs="仿宋"/>
          <w:kern w:val="0"/>
          <w:sz w:val="32"/>
          <w:szCs w:val="32"/>
        </w:rPr>
      </w:pPr>
      <w:r>
        <w:rPr>
          <w:rFonts w:hint="eastAsia" w:ascii="仿宋" w:hAnsi="仿宋" w:eastAsia="仿宋" w:cs="仿宋"/>
          <w:b/>
          <w:bCs/>
          <w:kern w:val="0"/>
          <w:sz w:val="32"/>
          <w:szCs w:val="32"/>
        </w:rPr>
        <w:t>十一、政府采购支出说明</w:t>
      </w:r>
      <w:r>
        <w:rPr>
          <w:rFonts w:hint="eastAsia" w:ascii="仿宋" w:hAnsi="仿宋" w:eastAsia="仿宋" w:cs="仿宋"/>
          <w:kern w:val="0"/>
          <w:sz w:val="32"/>
          <w:szCs w:val="32"/>
        </w:rPr>
        <w:t xml:space="preserve"> </w:t>
      </w:r>
    </w:p>
    <w:p>
      <w:pPr>
        <w:pStyle w:val="14"/>
        <w:spacing w:before="0" w:beforeAutospacing="0" w:after="2" w:afterAutospacing="0"/>
        <w:ind w:left="0" w:right="0" w:firstLine="64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道县教育局2021年度政府采购支出总额1,400万元，其中：政府采购货物支出1,400万元、政府采购工程支出0万元、政府采购服务支出0万元。授予中小企业合同金额0万元，占政府采购支出总额的0%，其中：授予小微企业合同金额0万元，占政府采购支出总额的0%。 </w:t>
      </w:r>
    </w:p>
    <w:p>
      <w:pPr>
        <w:pStyle w:val="14"/>
        <w:spacing w:before="0" w:beforeAutospacing="0" w:after="2" w:afterAutospacing="0"/>
        <w:ind w:left="0" w:right="0" w:firstLine="640"/>
        <w:rPr>
          <w:rFonts w:hint="eastAsia" w:ascii="仿宋" w:hAnsi="仿宋" w:eastAsia="仿宋" w:cs="仿宋"/>
          <w:kern w:val="0"/>
          <w:sz w:val="32"/>
          <w:szCs w:val="32"/>
        </w:rPr>
      </w:pPr>
      <w:r>
        <w:rPr>
          <w:rFonts w:hint="eastAsia" w:ascii="仿宋" w:hAnsi="仿宋" w:eastAsia="仿宋" w:cs="仿宋"/>
          <w:b/>
          <w:bCs/>
          <w:kern w:val="0"/>
          <w:sz w:val="32"/>
          <w:szCs w:val="32"/>
        </w:rPr>
        <w:t>十二、国有资产占用情况说明</w:t>
      </w:r>
      <w:r>
        <w:rPr>
          <w:rFonts w:hint="eastAsia" w:ascii="仿宋" w:hAnsi="仿宋" w:eastAsia="仿宋" w:cs="仿宋"/>
          <w:kern w:val="0"/>
          <w:sz w:val="32"/>
          <w:szCs w:val="32"/>
        </w:rPr>
        <w:t xml:space="preserve"> </w:t>
      </w:r>
    </w:p>
    <w:p>
      <w:pPr>
        <w:pStyle w:val="11"/>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rPr>
        <w:t>截至2021年12月31日，道县教育局共有车辆1辆，</w:t>
      </w:r>
      <w:r>
        <w:rPr>
          <w:rFonts w:hint="eastAsia" w:ascii="仿宋" w:hAnsi="仿宋" w:eastAsia="仿宋" w:cs="仿宋"/>
          <w:kern w:val="0"/>
          <w:sz w:val="32"/>
          <w:szCs w:val="32"/>
          <w:lang w:eastAsia="zh-CN"/>
        </w:rPr>
        <w:t>均为一般公务用车</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单位价值</w:t>
      </w:r>
      <w:r>
        <w:rPr>
          <w:rFonts w:hint="eastAsia" w:ascii="仿宋" w:hAnsi="仿宋" w:eastAsia="仿宋" w:cs="仿宋"/>
          <w:kern w:val="0"/>
          <w:sz w:val="32"/>
          <w:szCs w:val="32"/>
        </w:rPr>
        <w:t>50万元以上通用设备0套，</w:t>
      </w:r>
      <w:r>
        <w:rPr>
          <w:rFonts w:hint="eastAsia" w:ascii="仿宋" w:hAnsi="仿宋" w:eastAsia="仿宋" w:cs="仿宋"/>
          <w:kern w:val="0"/>
          <w:sz w:val="32"/>
          <w:szCs w:val="32"/>
          <w:lang w:eastAsia="zh-CN"/>
        </w:rPr>
        <w:t>单位价值</w:t>
      </w:r>
      <w:r>
        <w:rPr>
          <w:rFonts w:hint="eastAsia" w:ascii="仿宋" w:hAnsi="仿宋" w:eastAsia="仿宋" w:cs="仿宋"/>
          <w:kern w:val="0"/>
          <w:sz w:val="32"/>
          <w:szCs w:val="32"/>
        </w:rPr>
        <w:t>100万元</w:t>
      </w:r>
      <w:r>
        <w:rPr>
          <w:rFonts w:hint="eastAsia" w:ascii="仿宋" w:hAnsi="仿宋" w:eastAsia="仿宋" w:cs="仿宋"/>
          <w:kern w:val="0"/>
          <w:sz w:val="32"/>
          <w:szCs w:val="32"/>
          <w:lang w:eastAsia="zh-CN"/>
        </w:rPr>
        <w:t>以上专用设备</w:t>
      </w:r>
      <w:r>
        <w:rPr>
          <w:rFonts w:hint="eastAsia" w:ascii="仿宋" w:hAnsi="仿宋" w:eastAsia="仿宋" w:cs="仿宋"/>
          <w:kern w:val="0"/>
          <w:sz w:val="32"/>
          <w:szCs w:val="32"/>
          <w:lang w:val="en-US" w:eastAsia="zh-CN"/>
        </w:rPr>
        <w:t>0套。</w:t>
      </w:r>
    </w:p>
    <w:p>
      <w:pPr>
        <w:pStyle w:val="11"/>
        <w:ind w:firstLine="640" w:firstLineChars="200"/>
        <w:rPr>
          <w:rFonts w:hint="eastAsia" w:ascii="仿宋" w:hAnsi="仿宋" w:eastAsia="仿宋" w:cs="仿宋"/>
          <w:b/>
          <w:sz w:val="32"/>
          <w:szCs w:val="32"/>
        </w:rPr>
      </w:pPr>
      <w:r>
        <w:rPr>
          <w:rFonts w:hint="eastAsia" w:ascii="仿宋" w:hAnsi="仿宋" w:eastAsia="仿宋" w:cs="仿宋"/>
          <w:b/>
          <w:sz w:val="32"/>
          <w:szCs w:val="32"/>
        </w:rPr>
        <w:t>十三、2021年度预算绩效情况说明</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根据预算绩效管理要求，我部门组织对2021年度</w:t>
      </w:r>
      <w:r>
        <w:rPr>
          <w:rFonts w:hint="eastAsia" w:ascii="仿宋" w:hAnsi="仿宋" w:eastAsia="仿宋" w:cs="仿宋"/>
          <w:color w:val="000000"/>
          <w:kern w:val="0"/>
          <w:sz w:val="32"/>
          <w:szCs w:val="32"/>
          <w:lang w:eastAsia="zh-CN"/>
        </w:rPr>
        <w:t>部门整体</w:t>
      </w:r>
      <w:r>
        <w:rPr>
          <w:rFonts w:hint="eastAsia" w:ascii="仿宋" w:hAnsi="仿宋" w:eastAsia="仿宋" w:cs="仿宋"/>
          <w:color w:val="000000"/>
          <w:kern w:val="0"/>
          <w:sz w:val="32"/>
          <w:szCs w:val="32"/>
        </w:rPr>
        <w:t>支出全面开展绩效自评，共涉及资金</w:t>
      </w:r>
      <w:r>
        <w:rPr>
          <w:rFonts w:hint="eastAsia" w:ascii="仿宋" w:hAnsi="仿宋" w:eastAsia="仿宋" w:cs="仿宋"/>
          <w:color w:val="000000"/>
          <w:kern w:val="0"/>
          <w:sz w:val="32"/>
          <w:szCs w:val="32"/>
          <w:lang w:val="en-US" w:eastAsia="zh-CN"/>
        </w:rPr>
        <w:t>82191.16</w:t>
      </w:r>
      <w:r>
        <w:rPr>
          <w:rFonts w:hint="eastAsia" w:ascii="仿宋" w:hAnsi="仿宋" w:eastAsia="仿宋" w:cs="仿宋"/>
          <w:color w:val="000000"/>
          <w:kern w:val="0"/>
          <w:sz w:val="32"/>
          <w:szCs w:val="32"/>
        </w:rPr>
        <w:t xml:space="preserve"> 万元，</w:t>
      </w:r>
      <w:r>
        <w:rPr>
          <w:rFonts w:hint="eastAsia" w:ascii="仿宋" w:hAnsi="仿宋" w:eastAsia="仿宋" w:cs="仿宋"/>
          <w:color w:val="000000"/>
          <w:kern w:val="0"/>
          <w:sz w:val="32"/>
          <w:szCs w:val="32"/>
          <w:lang w:eastAsia="zh-CN"/>
        </w:rPr>
        <w:t>其中一般公共预算财政拨款收入</w:t>
      </w:r>
      <w:r>
        <w:rPr>
          <w:rFonts w:hint="eastAsia" w:ascii="仿宋" w:hAnsi="仿宋" w:eastAsia="仿宋" w:cs="仿宋"/>
          <w:color w:val="000000"/>
          <w:kern w:val="0"/>
          <w:sz w:val="32"/>
          <w:szCs w:val="32"/>
          <w:lang w:val="en-US" w:eastAsia="zh-CN"/>
        </w:rPr>
        <w:t>81951.16万元，事业收入240万元</w:t>
      </w:r>
      <w:r>
        <w:rPr>
          <w:rFonts w:hint="eastAsia" w:ascii="仿宋" w:hAnsi="仿宋" w:eastAsia="仿宋" w:cs="仿宋"/>
          <w:color w:val="000000"/>
          <w:kern w:val="0"/>
          <w:sz w:val="32"/>
          <w:szCs w:val="32"/>
        </w:rPr>
        <w:t>。从评价情况来看，</w:t>
      </w:r>
      <w:r>
        <w:rPr>
          <w:rFonts w:hint="eastAsia" w:ascii="仿宋" w:hAnsi="仿宋" w:eastAsia="仿宋" w:cs="仿宋"/>
          <w:color w:val="333333"/>
          <w:sz w:val="32"/>
          <w:szCs w:val="32"/>
        </w:rPr>
        <w:t>通过绩效自评，进一步掌握了资金使用情况和取得的效果，发现了工作中存在的问题和不足，为今后加强资金使用管理、完善资金绩效管理、提高资金使用效益工作提供了重要的参考依据。</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both"/>
        <w:rPr>
          <w:sz w:val="72"/>
          <w:szCs w:val="72"/>
        </w:rPr>
      </w:pPr>
    </w:p>
    <w:p>
      <w:pPr>
        <w:pStyle w:val="11"/>
        <w:jc w:val="center"/>
        <w:rPr>
          <w:rFonts w:hint="eastAsia" w:ascii="仿宋" w:hAnsi="仿宋" w:eastAsia="仿宋" w:cs="仿宋"/>
          <w:b/>
          <w:bCs/>
          <w:sz w:val="44"/>
          <w:szCs w:val="44"/>
        </w:rPr>
      </w:pPr>
    </w:p>
    <w:p>
      <w:pPr>
        <w:pStyle w:val="11"/>
        <w:jc w:val="center"/>
        <w:rPr>
          <w:rFonts w:hint="eastAsia" w:ascii="仿宋" w:hAnsi="仿宋" w:eastAsia="仿宋" w:cs="仿宋"/>
          <w:b/>
          <w:bCs/>
          <w:sz w:val="44"/>
          <w:szCs w:val="44"/>
        </w:rPr>
      </w:pPr>
      <w:r>
        <w:rPr>
          <w:rFonts w:hint="eastAsia" w:ascii="仿宋" w:hAnsi="仿宋" w:eastAsia="仿宋" w:cs="仿宋"/>
          <w:b/>
          <w:bCs/>
          <w:sz w:val="44"/>
          <w:szCs w:val="44"/>
        </w:rPr>
        <w:t>第四部分</w:t>
      </w:r>
    </w:p>
    <w:p>
      <w:pPr>
        <w:jc w:val="center"/>
        <w:rPr>
          <w:rFonts w:hint="eastAsia" w:ascii="仿宋" w:hAnsi="仿宋" w:eastAsia="仿宋" w:cs="仿宋"/>
          <w:b/>
          <w:bCs/>
          <w:color w:val="000000"/>
          <w:kern w:val="0"/>
          <w:sz w:val="44"/>
          <w:szCs w:val="44"/>
        </w:rPr>
      </w:pPr>
    </w:p>
    <w:p>
      <w:pPr>
        <w:jc w:val="center"/>
        <w:rPr>
          <w:rFonts w:hint="eastAsia" w:ascii="仿宋" w:hAnsi="仿宋" w:eastAsia="仿宋" w:cs="仿宋"/>
          <w:b/>
          <w:bCs/>
          <w:color w:val="000000"/>
          <w:kern w:val="0"/>
          <w:sz w:val="44"/>
          <w:szCs w:val="44"/>
        </w:rPr>
      </w:pPr>
      <w:r>
        <w:rPr>
          <w:rFonts w:hint="eastAsia" w:ascii="仿宋" w:hAnsi="仿宋" w:eastAsia="仿宋" w:cs="仿宋"/>
          <w:b/>
          <w:bCs/>
          <w:color w:val="000000"/>
          <w:kern w:val="0"/>
          <w:sz w:val="44"/>
          <w:szCs w:val="44"/>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spacing w:after="2" w:afterAutospacing="0" w:line="336" w:lineRule="atLeast"/>
        <w:ind w:left="0" w:firstLine="643"/>
        <w:rPr>
          <w:rFonts w:hint="eastAsia" w:ascii="仿宋" w:hAnsi="仿宋" w:eastAsia="仿宋" w:cs="仿宋"/>
          <w:kern w:val="0"/>
          <w:sz w:val="32"/>
          <w:szCs w:val="32"/>
        </w:rPr>
      </w:pPr>
      <w:r>
        <w:rPr>
          <w:rFonts w:hint="eastAsia" w:ascii="仿宋" w:hAnsi="仿宋" w:eastAsia="仿宋" w:cs="仿宋"/>
          <w:b/>
          <w:bCs/>
          <w:kern w:val="0"/>
          <w:sz w:val="32"/>
          <w:szCs w:val="32"/>
        </w:rPr>
        <w:t>财政拨款收入</w:t>
      </w:r>
      <w:r>
        <w:rPr>
          <w:rFonts w:hint="eastAsia" w:ascii="仿宋" w:hAnsi="仿宋" w:eastAsia="仿宋" w:cs="仿宋"/>
          <w:kern w:val="0"/>
          <w:sz w:val="32"/>
          <w:szCs w:val="32"/>
        </w:rPr>
        <w:t xml:space="preserve">：指财政当年拨付的资金。包括一般公共预算财政拨款和政府性基金财政拨款。 </w:t>
      </w:r>
    </w:p>
    <w:p>
      <w:pPr>
        <w:spacing w:after="2" w:afterAutospacing="0" w:line="336" w:lineRule="atLeast"/>
        <w:ind w:left="0" w:firstLine="643"/>
        <w:rPr>
          <w:rFonts w:hint="eastAsia" w:ascii="仿宋" w:hAnsi="仿宋" w:eastAsia="仿宋" w:cs="仿宋"/>
          <w:kern w:val="0"/>
          <w:sz w:val="32"/>
          <w:szCs w:val="32"/>
        </w:rPr>
      </w:pPr>
      <w:r>
        <w:rPr>
          <w:rFonts w:hint="eastAsia" w:ascii="仿宋" w:hAnsi="仿宋" w:eastAsia="仿宋" w:cs="仿宋"/>
          <w:b/>
          <w:bCs/>
          <w:kern w:val="0"/>
          <w:sz w:val="32"/>
          <w:szCs w:val="32"/>
        </w:rPr>
        <w:t>上级补助收入</w:t>
      </w:r>
      <w:r>
        <w:rPr>
          <w:rFonts w:hint="eastAsia" w:ascii="仿宋" w:hAnsi="仿宋" w:eastAsia="仿宋" w:cs="仿宋"/>
          <w:kern w:val="0"/>
          <w:sz w:val="32"/>
          <w:szCs w:val="32"/>
        </w:rPr>
        <w:t xml:space="preserve">：指事业单位从主管部门和上级单位取得的非财政补助收入。 </w:t>
      </w:r>
    </w:p>
    <w:p>
      <w:pPr>
        <w:spacing w:after="2" w:afterAutospacing="0" w:line="336" w:lineRule="atLeast"/>
        <w:ind w:left="0" w:firstLine="643"/>
        <w:rPr>
          <w:rFonts w:hint="eastAsia" w:ascii="仿宋" w:hAnsi="仿宋" w:eastAsia="仿宋" w:cs="仿宋"/>
          <w:kern w:val="0"/>
          <w:sz w:val="32"/>
          <w:szCs w:val="32"/>
        </w:rPr>
      </w:pPr>
      <w:r>
        <w:rPr>
          <w:rFonts w:hint="eastAsia" w:ascii="仿宋" w:hAnsi="仿宋" w:eastAsia="仿宋" w:cs="仿宋"/>
          <w:b/>
          <w:bCs/>
          <w:kern w:val="0"/>
          <w:sz w:val="32"/>
          <w:szCs w:val="32"/>
        </w:rPr>
        <w:t>事业收入：</w:t>
      </w:r>
      <w:r>
        <w:rPr>
          <w:rFonts w:hint="eastAsia" w:ascii="仿宋" w:hAnsi="仿宋" w:eastAsia="仿宋" w:cs="仿宋"/>
          <w:kern w:val="0"/>
          <w:sz w:val="32"/>
          <w:szCs w:val="32"/>
        </w:rPr>
        <w:t xml:space="preserve">指事业单位开展专业业务活动及辅助活动所取得的收入。 </w:t>
      </w:r>
    </w:p>
    <w:p>
      <w:pPr>
        <w:spacing w:after="2" w:afterAutospacing="0" w:line="336" w:lineRule="atLeast"/>
        <w:ind w:left="0" w:firstLine="643"/>
        <w:rPr>
          <w:rFonts w:hint="eastAsia" w:ascii="仿宋" w:hAnsi="仿宋" w:eastAsia="仿宋" w:cs="仿宋"/>
          <w:kern w:val="0"/>
          <w:sz w:val="32"/>
          <w:szCs w:val="32"/>
        </w:rPr>
      </w:pPr>
      <w:r>
        <w:rPr>
          <w:rFonts w:hint="eastAsia" w:ascii="仿宋" w:hAnsi="仿宋" w:eastAsia="仿宋" w:cs="仿宋"/>
          <w:b/>
          <w:bCs/>
          <w:kern w:val="0"/>
          <w:sz w:val="32"/>
          <w:szCs w:val="32"/>
        </w:rPr>
        <w:t>经营收入：</w:t>
      </w:r>
      <w:r>
        <w:rPr>
          <w:rFonts w:hint="eastAsia" w:ascii="仿宋" w:hAnsi="仿宋" w:eastAsia="仿宋" w:cs="仿宋"/>
          <w:kern w:val="0"/>
          <w:sz w:val="32"/>
          <w:szCs w:val="32"/>
        </w:rPr>
        <w:t xml:space="preserve">指事业单位在专业业务活动及其辅助活动之外开展非独立核算经营活动取得的收入。 </w:t>
      </w:r>
    </w:p>
    <w:p>
      <w:pPr>
        <w:spacing w:after="2" w:afterAutospacing="0" w:line="336" w:lineRule="atLeast"/>
        <w:ind w:left="0" w:firstLine="643"/>
        <w:rPr>
          <w:rFonts w:hint="eastAsia" w:ascii="仿宋" w:hAnsi="仿宋" w:eastAsia="仿宋" w:cs="仿宋"/>
          <w:kern w:val="0"/>
          <w:sz w:val="32"/>
          <w:szCs w:val="32"/>
        </w:rPr>
      </w:pPr>
      <w:r>
        <w:rPr>
          <w:rFonts w:hint="eastAsia" w:ascii="仿宋" w:hAnsi="仿宋" w:eastAsia="仿宋" w:cs="仿宋"/>
          <w:b/>
          <w:bCs/>
          <w:kern w:val="0"/>
          <w:sz w:val="32"/>
          <w:szCs w:val="32"/>
        </w:rPr>
        <w:t>附属单位上缴收入</w:t>
      </w:r>
      <w:r>
        <w:rPr>
          <w:rFonts w:hint="eastAsia" w:ascii="仿宋" w:hAnsi="仿宋" w:eastAsia="仿宋" w:cs="仿宋"/>
          <w:kern w:val="0"/>
          <w:sz w:val="32"/>
          <w:szCs w:val="32"/>
        </w:rPr>
        <w:t xml:space="preserve">：指事业单位附属独立核算单位按照有关规定上缴的收入。 </w:t>
      </w:r>
    </w:p>
    <w:p>
      <w:pPr>
        <w:spacing w:after="2" w:afterAutospacing="0" w:line="336" w:lineRule="atLeast"/>
        <w:ind w:left="0" w:firstLine="643"/>
        <w:rPr>
          <w:rFonts w:hint="eastAsia" w:ascii="仿宋" w:hAnsi="仿宋" w:eastAsia="仿宋" w:cs="仿宋"/>
          <w:kern w:val="0"/>
          <w:sz w:val="32"/>
          <w:szCs w:val="32"/>
        </w:rPr>
      </w:pPr>
      <w:r>
        <w:rPr>
          <w:rFonts w:hint="eastAsia" w:ascii="仿宋" w:hAnsi="仿宋" w:eastAsia="仿宋" w:cs="仿宋"/>
          <w:b/>
          <w:bCs/>
          <w:kern w:val="0"/>
          <w:sz w:val="32"/>
          <w:szCs w:val="32"/>
        </w:rPr>
        <w:t>其他收入</w:t>
      </w:r>
      <w:r>
        <w:rPr>
          <w:rFonts w:hint="eastAsia" w:ascii="仿宋" w:hAnsi="仿宋" w:eastAsia="仿宋" w:cs="仿宋"/>
          <w:kern w:val="0"/>
          <w:sz w:val="32"/>
          <w:szCs w:val="32"/>
        </w:rPr>
        <w:t xml:space="preserve">：指除上述“财政拨款收入”、“事业收入”、“经营收入”等以外的收入。 </w:t>
      </w:r>
    </w:p>
    <w:p>
      <w:pPr>
        <w:spacing w:after="2" w:afterAutospacing="0" w:line="336" w:lineRule="atLeast"/>
        <w:ind w:left="0" w:firstLine="643"/>
        <w:rPr>
          <w:rFonts w:hint="eastAsia" w:ascii="仿宋" w:hAnsi="仿宋" w:eastAsia="仿宋" w:cs="仿宋"/>
          <w:kern w:val="0"/>
          <w:sz w:val="32"/>
          <w:szCs w:val="32"/>
        </w:rPr>
      </w:pPr>
      <w:r>
        <w:rPr>
          <w:rFonts w:hint="eastAsia" w:ascii="仿宋" w:hAnsi="仿宋" w:eastAsia="仿宋" w:cs="仿宋"/>
          <w:b/>
          <w:bCs/>
          <w:kern w:val="0"/>
          <w:sz w:val="32"/>
          <w:szCs w:val="32"/>
        </w:rPr>
        <w:t>用事业基金弥补收支差额</w:t>
      </w:r>
      <w:r>
        <w:rPr>
          <w:rFonts w:hint="eastAsia" w:ascii="仿宋" w:hAnsi="仿宋" w:eastAsia="仿宋" w:cs="仿宋"/>
          <w:kern w:val="0"/>
          <w:sz w:val="32"/>
          <w:szCs w:val="32"/>
        </w:rPr>
        <w:t xml:space="preserve">：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after="2" w:afterAutospacing="0" w:line="336" w:lineRule="atLeast"/>
        <w:ind w:left="0" w:firstLine="643"/>
        <w:rPr>
          <w:rFonts w:hint="eastAsia" w:ascii="仿宋" w:hAnsi="仿宋" w:eastAsia="仿宋" w:cs="仿宋"/>
          <w:kern w:val="0"/>
          <w:sz w:val="32"/>
          <w:szCs w:val="32"/>
        </w:rPr>
      </w:pPr>
      <w:r>
        <w:rPr>
          <w:rFonts w:hint="eastAsia" w:ascii="仿宋" w:hAnsi="仿宋" w:eastAsia="仿宋" w:cs="仿宋"/>
          <w:b/>
          <w:bCs/>
          <w:kern w:val="0"/>
          <w:sz w:val="32"/>
          <w:szCs w:val="32"/>
        </w:rPr>
        <w:t>年初结转和结余</w:t>
      </w:r>
      <w:r>
        <w:rPr>
          <w:rFonts w:hint="eastAsia" w:ascii="仿宋" w:hAnsi="仿宋" w:eastAsia="仿宋" w:cs="仿宋"/>
          <w:kern w:val="0"/>
          <w:sz w:val="32"/>
          <w:szCs w:val="32"/>
        </w:rPr>
        <w:t xml:space="preserve">：指以前年度尚未完成、结转到本年按有关规定继续使用的资金。 </w:t>
      </w:r>
    </w:p>
    <w:p>
      <w:pPr>
        <w:spacing w:after="2" w:afterAutospacing="0" w:line="336" w:lineRule="atLeast"/>
        <w:ind w:left="0" w:firstLine="643"/>
        <w:rPr>
          <w:rFonts w:hint="eastAsia" w:ascii="仿宋" w:hAnsi="仿宋" w:eastAsia="仿宋" w:cs="仿宋"/>
          <w:kern w:val="0"/>
          <w:sz w:val="32"/>
          <w:szCs w:val="32"/>
        </w:rPr>
      </w:pPr>
      <w:r>
        <w:rPr>
          <w:rFonts w:hint="eastAsia" w:ascii="仿宋" w:hAnsi="仿宋" w:eastAsia="仿宋" w:cs="仿宋"/>
          <w:b/>
          <w:bCs/>
          <w:kern w:val="0"/>
          <w:sz w:val="32"/>
          <w:szCs w:val="32"/>
        </w:rPr>
        <w:t>结余分配</w:t>
      </w:r>
      <w:r>
        <w:rPr>
          <w:rFonts w:hint="eastAsia" w:ascii="仿宋" w:hAnsi="仿宋" w:eastAsia="仿宋" w:cs="仿宋"/>
          <w:kern w:val="0"/>
          <w:sz w:val="32"/>
          <w:szCs w:val="32"/>
        </w:rPr>
        <w:t xml:space="preserve">：指事业事位按规定从非财政补助结余中分配的事业基金和职工福利基金等。 </w:t>
      </w:r>
    </w:p>
    <w:p>
      <w:pPr>
        <w:spacing w:after="2" w:afterAutospacing="0" w:line="336" w:lineRule="atLeast"/>
        <w:ind w:left="0" w:firstLine="643"/>
        <w:rPr>
          <w:rFonts w:hint="eastAsia" w:ascii="仿宋" w:hAnsi="仿宋" w:eastAsia="仿宋" w:cs="仿宋"/>
          <w:kern w:val="0"/>
          <w:sz w:val="32"/>
          <w:szCs w:val="32"/>
        </w:rPr>
      </w:pPr>
      <w:r>
        <w:rPr>
          <w:rFonts w:hint="eastAsia" w:ascii="仿宋" w:hAnsi="仿宋" w:eastAsia="仿宋" w:cs="仿宋"/>
          <w:b/>
          <w:bCs/>
          <w:kern w:val="0"/>
          <w:sz w:val="32"/>
          <w:szCs w:val="32"/>
        </w:rPr>
        <w:t>年末结转和结余</w:t>
      </w:r>
      <w:r>
        <w:rPr>
          <w:rFonts w:hint="eastAsia" w:ascii="仿宋" w:hAnsi="仿宋" w:eastAsia="仿宋" w:cs="仿宋"/>
          <w:kern w:val="0"/>
          <w:sz w:val="32"/>
          <w:szCs w:val="32"/>
        </w:rPr>
        <w:t xml:space="preserve">：指本年度或以前年度预算安排、因客观条件发生变化无法按原计划实施，需要延迟到以后年度按有关规定继续使用的资金。 </w:t>
      </w:r>
    </w:p>
    <w:p>
      <w:pPr>
        <w:spacing w:after="2" w:afterAutospacing="0" w:line="336" w:lineRule="atLeast"/>
        <w:ind w:left="0" w:firstLine="643"/>
        <w:rPr>
          <w:rFonts w:hint="eastAsia" w:ascii="仿宋" w:hAnsi="仿宋" w:eastAsia="仿宋" w:cs="仿宋"/>
          <w:kern w:val="0"/>
          <w:sz w:val="32"/>
          <w:szCs w:val="32"/>
        </w:rPr>
      </w:pPr>
      <w:r>
        <w:rPr>
          <w:rFonts w:hint="eastAsia" w:ascii="仿宋" w:hAnsi="仿宋" w:eastAsia="仿宋" w:cs="仿宋"/>
          <w:b/>
          <w:bCs/>
          <w:kern w:val="0"/>
          <w:sz w:val="32"/>
          <w:szCs w:val="32"/>
        </w:rPr>
        <w:t>基本支出</w:t>
      </w:r>
      <w:r>
        <w:rPr>
          <w:rFonts w:hint="eastAsia" w:ascii="仿宋" w:hAnsi="仿宋" w:eastAsia="仿宋" w:cs="仿宋"/>
          <w:kern w:val="0"/>
          <w:sz w:val="32"/>
          <w:szCs w:val="32"/>
        </w:rPr>
        <w:t xml:space="preserve">：指为保障机构正常运转、完成日常工作任务而发生的人员支出和公用支出。 </w:t>
      </w:r>
    </w:p>
    <w:p>
      <w:pPr>
        <w:spacing w:after="2" w:afterAutospacing="0" w:line="336" w:lineRule="atLeast"/>
        <w:ind w:left="0" w:firstLine="643"/>
        <w:rPr>
          <w:rFonts w:hint="eastAsia" w:ascii="仿宋" w:hAnsi="仿宋" w:eastAsia="仿宋" w:cs="仿宋"/>
          <w:kern w:val="0"/>
          <w:sz w:val="32"/>
          <w:szCs w:val="32"/>
        </w:rPr>
      </w:pPr>
      <w:r>
        <w:rPr>
          <w:rFonts w:hint="eastAsia" w:ascii="仿宋" w:hAnsi="仿宋" w:eastAsia="仿宋" w:cs="仿宋"/>
          <w:b/>
          <w:bCs/>
          <w:kern w:val="0"/>
          <w:sz w:val="32"/>
          <w:szCs w:val="32"/>
        </w:rPr>
        <w:t>项目支出</w:t>
      </w:r>
      <w:r>
        <w:rPr>
          <w:rFonts w:hint="eastAsia" w:ascii="仿宋" w:hAnsi="仿宋" w:eastAsia="仿宋" w:cs="仿宋"/>
          <w:kern w:val="0"/>
          <w:sz w:val="32"/>
          <w:szCs w:val="32"/>
        </w:rPr>
        <w:t xml:space="preserve">：指在基本支出之外为完成特定行政任务和事业发展目标所发生的支出。 </w:t>
      </w:r>
    </w:p>
    <w:p>
      <w:pPr>
        <w:spacing w:after="2" w:afterAutospacing="0" w:line="336" w:lineRule="atLeast"/>
        <w:ind w:left="0" w:firstLine="643"/>
        <w:rPr>
          <w:rFonts w:hint="eastAsia" w:ascii="仿宋" w:hAnsi="仿宋" w:eastAsia="仿宋" w:cs="仿宋"/>
          <w:kern w:val="0"/>
          <w:sz w:val="32"/>
          <w:szCs w:val="32"/>
        </w:rPr>
      </w:pPr>
      <w:r>
        <w:rPr>
          <w:rFonts w:hint="eastAsia" w:ascii="仿宋" w:hAnsi="仿宋" w:eastAsia="仿宋" w:cs="仿宋"/>
          <w:b/>
          <w:bCs/>
          <w:kern w:val="0"/>
          <w:sz w:val="32"/>
          <w:szCs w:val="32"/>
        </w:rPr>
        <w:t>经营支出</w:t>
      </w:r>
      <w:r>
        <w:rPr>
          <w:rFonts w:hint="eastAsia" w:ascii="仿宋" w:hAnsi="仿宋" w:eastAsia="仿宋" w:cs="仿宋"/>
          <w:kern w:val="0"/>
          <w:sz w:val="32"/>
          <w:szCs w:val="32"/>
        </w:rPr>
        <w:t xml:space="preserve">：指事业单位在专业业务活动及其辅助活动之外开展非独立核算经营活动所发生的支出。 </w:t>
      </w:r>
    </w:p>
    <w:p>
      <w:pPr>
        <w:spacing w:after="2" w:afterAutospacing="0" w:line="336" w:lineRule="atLeast"/>
        <w:ind w:left="0" w:firstLine="643"/>
        <w:rPr>
          <w:rFonts w:hint="eastAsia" w:ascii="仿宋" w:hAnsi="仿宋" w:eastAsia="仿宋" w:cs="仿宋"/>
          <w:kern w:val="0"/>
          <w:sz w:val="32"/>
          <w:szCs w:val="32"/>
        </w:rPr>
      </w:pPr>
      <w:r>
        <w:rPr>
          <w:rFonts w:hint="eastAsia" w:ascii="仿宋" w:hAnsi="仿宋" w:eastAsia="仿宋" w:cs="仿宋"/>
          <w:b/>
          <w:bCs/>
          <w:kern w:val="0"/>
          <w:sz w:val="32"/>
          <w:szCs w:val="32"/>
        </w:rPr>
        <w:t>“三公”经费</w:t>
      </w:r>
      <w:r>
        <w:rPr>
          <w:rFonts w:hint="eastAsia" w:ascii="仿宋" w:hAnsi="仿宋" w:eastAsia="仿宋" w:cs="仿宋"/>
          <w:kern w:val="0"/>
          <w:sz w:val="32"/>
          <w:szCs w:val="32"/>
        </w:rPr>
        <w:t xml:space="preserve">：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 </w:t>
      </w:r>
    </w:p>
    <w:p>
      <w:pPr>
        <w:spacing w:after="2" w:afterAutospacing="0" w:line="336" w:lineRule="atLeast"/>
        <w:ind w:left="0" w:firstLine="643"/>
        <w:rPr>
          <w:rFonts w:hint="eastAsia" w:ascii="仿宋" w:hAnsi="仿宋" w:eastAsia="仿宋" w:cs="仿宋"/>
          <w:kern w:val="0"/>
          <w:sz w:val="32"/>
          <w:szCs w:val="32"/>
        </w:rPr>
      </w:pPr>
      <w:r>
        <w:rPr>
          <w:rFonts w:hint="eastAsia" w:ascii="仿宋" w:hAnsi="仿宋" w:eastAsia="仿宋" w:cs="仿宋"/>
          <w:b/>
          <w:bCs/>
          <w:kern w:val="0"/>
          <w:sz w:val="32"/>
          <w:szCs w:val="32"/>
        </w:rPr>
        <w:t>机关运行经费</w:t>
      </w:r>
      <w:r>
        <w:rPr>
          <w:rFonts w:hint="eastAsia" w:ascii="仿宋" w:hAnsi="仿宋" w:eastAsia="仿宋" w:cs="仿宋"/>
          <w:kern w:val="0"/>
          <w:sz w:val="32"/>
          <w:szCs w:val="32"/>
        </w:rPr>
        <w:t xml:space="preserve">：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 </w:t>
      </w:r>
    </w:p>
    <w:p>
      <w:pPr>
        <w:spacing w:after="2" w:afterAutospacing="0" w:line="336" w:lineRule="atLeast"/>
        <w:ind w:left="0" w:firstLine="643"/>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spacing w:before="0" w:beforeAutospacing="1" w:after="0" w:afterAutospacing="1"/>
        <w:jc w:val="center"/>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spacing w:before="0" w:beforeAutospacing="1" w:after="0" w:afterAutospacing="1"/>
        <w:jc w:val="center"/>
        <w:rPr>
          <w:rFonts w:hint="eastAsia" w:ascii="宋体" w:hAnsi="宋体" w:eastAsia="宋体" w:cs="宋体"/>
          <w:kern w:val="0"/>
          <w:sz w:val="32"/>
          <w:szCs w:val="32"/>
        </w:rPr>
      </w:pPr>
      <w:r>
        <w:rPr>
          <w:rFonts w:hint="eastAsia" w:ascii="宋体" w:hAnsi="宋体" w:eastAsia="宋体" w:cs="宋体"/>
          <w:kern w:val="0"/>
          <w:sz w:val="32"/>
          <w:szCs w:val="32"/>
        </w:rPr>
        <w:t xml:space="preserve"> </w:t>
      </w:r>
    </w:p>
    <w:p>
      <w:pPr>
        <w:spacing w:before="0" w:beforeAutospacing="1" w:after="0" w:afterAutospacing="1"/>
        <w:jc w:val="center"/>
        <w:rPr>
          <w:rFonts w:hint="eastAsia" w:ascii="宋体" w:hAnsi="宋体" w:eastAsia="宋体" w:cs="宋体"/>
          <w:kern w:val="0"/>
          <w:sz w:val="32"/>
          <w:szCs w:val="32"/>
        </w:rPr>
      </w:pPr>
      <w:r>
        <w:rPr>
          <w:rFonts w:hint="eastAsia" w:ascii="宋体" w:hAnsi="宋体" w:eastAsia="宋体" w:cs="宋体"/>
          <w:kern w:val="0"/>
          <w:sz w:val="32"/>
          <w:szCs w:val="32"/>
        </w:rPr>
        <w:t xml:space="preserve"> </w:t>
      </w:r>
    </w:p>
    <w:p>
      <w:pPr>
        <w:pStyle w:val="11"/>
        <w:jc w:val="center"/>
        <w:rPr>
          <w:sz w:val="32"/>
          <w:szCs w:val="32"/>
        </w:rPr>
      </w:pPr>
    </w:p>
    <w:p>
      <w:pPr>
        <w:pStyle w:val="11"/>
        <w:jc w:val="center"/>
        <w:rPr>
          <w:sz w:val="32"/>
          <w:szCs w:val="32"/>
        </w:r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rFonts w:hint="eastAsia" w:ascii="仿宋" w:hAnsi="仿宋" w:eastAsia="仿宋" w:cs="仿宋"/>
          <w:b/>
          <w:bCs/>
          <w:sz w:val="44"/>
          <w:szCs w:val="44"/>
        </w:rPr>
      </w:pPr>
      <w:r>
        <w:rPr>
          <w:rFonts w:hint="eastAsia" w:ascii="仿宋" w:hAnsi="仿宋" w:eastAsia="仿宋" w:cs="仿宋"/>
          <w:b/>
          <w:bCs/>
          <w:sz w:val="44"/>
          <w:szCs w:val="44"/>
        </w:rPr>
        <w:t>第五部分</w:t>
      </w:r>
    </w:p>
    <w:p>
      <w:pPr>
        <w:jc w:val="center"/>
        <w:rPr>
          <w:rFonts w:hint="eastAsia" w:ascii="仿宋" w:hAnsi="仿宋" w:eastAsia="仿宋" w:cs="仿宋"/>
          <w:b/>
          <w:bCs/>
          <w:color w:val="000000"/>
          <w:kern w:val="0"/>
          <w:sz w:val="44"/>
          <w:szCs w:val="44"/>
        </w:rPr>
      </w:pPr>
    </w:p>
    <w:p>
      <w:pPr>
        <w:jc w:val="center"/>
        <w:rPr>
          <w:rFonts w:hint="eastAsia" w:ascii="仿宋" w:hAnsi="仿宋" w:eastAsia="仿宋" w:cs="仿宋"/>
          <w:b/>
          <w:bCs/>
          <w:color w:val="000000"/>
          <w:kern w:val="0"/>
          <w:sz w:val="44"/>
          <w:szCs w:val="44"/>
        </w:rPr>
      </w:pPr>
      <w:r>
        <w:rPr>
          <w:rFonts w:hint="eastAsia" w:ascii="仿宋" w:hAnsi="仿宋" w:eastAsia="仿宋" w:cs="仿宋"/>
          <w:b/>
          <w:bCs/>
          <w:color w:val="000000"/>
          <w:kern w:val="0"/>
          <w:sz w:val="44"/>
          <w:szCs w:val="44"/>
        </w:rPr>
        <w:t>附件</w:t>
      </w:r>
    </w:p>
    <w:p>
      <w:pPr>
        <w:widowControl/>
        <w:jc w:val="left"/>
        <w:rPr>
          <w:rFonts w:hint="eastAsia" w:ascii="仿宋" w:hAnsi="仿宋" w:eastAsia="仿宋" w:cs="仿宋"/>
          <w:b/>
          <w:bCs/>
          <w:color w:val="000000"/>
          <w:kern w:val="0"/>
          <w:sz w:val="44"/>
          <w:szCs w:val="44"/>
        </w:rPr>
      </w:pPr>
      <w:r>
        <w:rPr>
          <w:rFonts w:hint="eastAsia" w:ascii="仿宋" w:hAnsi="仿宋" w:eastAsia="仿宋" w:cs="仿宋"/>
          <w:b/>
          <w:bCs/>
          <w:color w:val="000000"/>
          <w:kern w:val="0"/>
          <w:sz w:val="44"/>
          <w:szCs w:val="44"/>
        </w:rPr>
        <w:br w:type="page"/>
      </w:r>
    </w:p>
    <w:p>
      <w:pPr>
        <w:jc w:val="center"/>
        <w:rPr>
          <w:rFonts w:ascii="黑体" w:eastAsia="黑体" w:cs="黑体"/>
          <w:color w:val="000000"/>
          <w:kern w:val="0"/>
          <w:sz w:val="70"/>
          <w:szCs w:val="70"/>
        </w:rPr>
      </w:pPr>
    </w:p>
    <w:p>
      <w:pPr>
        <w:adjustRightInd w:val="0"/>
        <w:snapToGrid w:val="0"/>
        <w:spacing w:line="600" w:lineRule="exact"/>
        <w:jc w:val="center"/>
        <w:rPr>
          <w:rFonts w:hint="eastAsia" w:ascii="仿宋" w:hAnsi="仿宋" w:eastAsia="仿宋" w:cs="仿宋"/>
          <w:b/>
          <w:color w:val="000000" w:themeColor="text1"/>
          <w:sz w:val="36"/>
          <w:szCs w:val="36"/>
          <w:shd w:val="clear" w:color="auto" w:fill="FFFFFF"/>
          <w14:textFill>
            <w14:solidFill>
              <w14:schemeClr w14:val="tx1"/>
            </w14:solidFill>
          </w14:textFill>
        </w:rPr>
      </w:pPr>
      <w:r>
        <w:rPr>
          <w:rFonts w:ascii="仿宋" w:hAnsi="仿宋" w:eastAsia="仿宋" w:cs="仿宋"/>
          <w:b/>
          <w:color w:val="000000" w:themeColor="text1"/>
          <w:sz w:val="36"/>
          <w:szCs w:val="36"/>
          <w:shd w:val="clear" w:color="auto" w:fill="FFFFFF"/>
          <w14:textFill>
            <w14:solidFill>
              <w14:schemeClr w14:val="tx1"/>
            </w14:solidFill>
          </w14:textFill>
        </w:rPr>
        <w:t>20</w:t>
      </w:r>
      <w:r>
        <w:rPr>
          <w:rFonts w:hint="eastAsia" w:ascii="仿宋" w:hAnsi="仿宋" w:eastAsia="仿宋" w:cs="仿宋"/>
          <w:b/>
          <w:color w:val="000000" w:themeColor="text1"/>
          <w:sz w:val="36"/>
          <w:szCs w:val="36"/>
          <w:shd w:val="clear" w:color="auto" w:fill="FFFFFF"/>
          <w:lang w:val="en-US" w:eastAsia="zh-CN"/>
          <w14:textFill>
            <w14:solidFill>
              <w14:schemeClr w14:val="tx1"/>
            </w14:solidFill>
          </w14:textFill>
        </w:rPr>
        <w:t>21</w:t>
      </w:r>
      <w:r>
        <w:rPr>
          <w:rFonts w:hint="eastAsia" w:ascii="仿宋" w:hAnsi="仿宋" w:eastAsia="仿宋" w:cs="仿宋"/>
          <w:b/>
          <w:color w:val="000000" w:themeColor="text1"/>
          <w:sz w:val="36"/>
          <w:szCs w:val="36"/>
          <w:shd w:val="clear" w:color="auto" w:fill="FFFFFF"/>
          <w14:textFill>
            <w14:solidFill>
              <w14:schemeClr w14:val="tx1"/>
            </w14:solidFill>
          </w14:textFill>
        </w:rPr>
        <w:t>年度道县教育</w:t>
      </w:r>
      <w:r>
        <w:rPr>
          <w:rFonts w:hint="eastAsia" w:ascii="仿宋" w:hAnsi="仿宋" w:eastAsia="仿宋" w:cs="仿宋"/>
          <w:b/>
          <w:color w:val="000000" w:themeColor="text1"/>
          <w:sz w:val="36"/>
          <w:szCs w:val="36"/>
          <w:shd w:val="clear" w:color="auto" w:fill="FFFFFF"/>
          <w:lang w:eastAsia="zh-CN"/>
          <w14:textFill>
            <w14:solidFill>
              <w14:schemeClr w14:val="tx1"/>
            </w14:solidFill>
          </w14:textFill>
        </w:rPr>
        <w:t>局（</w:t>
      </w:r>
      <w:r>
        <w:rPr>
          <w:rFonts w:hint="eastAsia" w:ascii="仿宋" w:hAnsi="仿宋" w:eastAsia="仿宋" w:cs="仿宋"/>
          <w:b/>
          <w:color w:val="000000" w:themeColor="text1"/>
          <w:sz w:val="36"/>
          <w:szCs w:val="36"/>
          <w:shd w:val="clear" w:color="auto" w:fill="FFFFFF"/>
          <w14:textFill>
            <w14:solidFill>
              <w14:schemeClr w14:val="tx1"/>
            </w14:solidFill>
          </w14:textFill>
        </w:rPr>
        <w:t>除工贸学校一中二中</w:t>
      </w:r>
      <w:r>
        <w:rPr>
          <w:rFonts w:hint="eastAsia" w:ascii="仿宋" w:hAnsi="仿宋" w:eastAsia="仿宋" w:cs="仿宋"/>
          <w:b/>
          <w:color w:val="000000" w:themeColor="text1"/>
          <w:sz w:val="36"/>
          <w:szCs w:val="36"/>
          <w:shd w:val="clear" w:color="auto" w:fill="FFFFFF"/>
          <w:lang w:eastAsia="zh-CN"/>
          <w14:textFill>
            <w14:solidFill>
              <w14:schemeClr w14:val="tx1"/>
            </w14:solidFill>
          </w14:textFill>
        </w:rPr>
        <w:t>五中</w:t>
      </w:r>
    </w:p>
    <w:p>
      <w:pPr>
        <w:adjustRightInd w:val="0"/>
        <w:snapToGrid w:val="0"/>
        <w:spacing w:line="600" w:lineRule="exact"/>
        <w:jc w:val="center"/>
        <w:rPr>
          <w:rFonts w:ascii="仿宋" w:hAnsi="仿宋" w:eastAsia="仿宋" w:cs="仿宋"/>
          <w:b/>
          <w:color w:val="000000" w:themeColor="text1"/>
          <w:sz w:val="36"/>
          <w:szCs w:val="36"/>
          <w:shd w:val="clear" w:color="auto" w:fill="FFFFFF"/>
          <w14:textFill>
            <w14:solidFill>
              <w14:schemeClr w14:val="tx1"/>
            </w14:solidFill>
          </w14:textFill>
        </w:rPr>
      </w:pPr>
      <w:r>
        <w:rPr>
          <w:rFonts w:hint="eastAsia" w:ascii="仿宋" w:hAnsi="仿宋" w:eastAsia="仿宋" w:cs="仿宋"/>
          <w:b/>
          <w:color w:val="000000" w:themeColor="text1"/>
          <w:sz w:val="36"/>
          <w:szCs w:val="36"/>
          <w:shd w:val="clear" w:color="auto" w:fill="FFFFFF"/>
          <w:lang w:eastAsia="zh-CN"/>
          <w14:textFill>
            <w14:solidFill>
              <w14:schemeClr w14:val="tx1"/>
            </w14:solidFill>
          </w14:textFill>
        </w:rPr>
        <w:t>进修学校</w:t>
      </w:r>
      <w:r>
        <w:rPr>
          <w:rFonts w:hint="eastAsia" w:ascii="仿宋" w:hAnsi="仿宋" w:eastAsia="仿宋" w:cs="仿宋"/>
          <w:b/>
          <w:color w:val="000000" w:themeColor="text1"/>
          <w:sz w:val="36"/>
          <w:szCs w:val="36"/>
          <w:shd w:val="clear" w:color="auto" w:fill="FFFFFF"/>
          <w14:textFill>
            <w14:solidFill>
              <w14:schemeClr w14:val="tx1"/>
            </w14:solidFill>
          </w14:textFill>
        </w:rPr>
        <w:t>）部门整体支出绩效</w:t>
      </w:r>
      <w:r>
        <w:rPr>
          <w:rFonts w:hint="eastAsia" w:ascii="仿宋" w:hAnsi="仿宋" w:eastAsia="仿宋" w:cs="仿宋"/>
          <w:b/>
          <w:color w:val="000000" w:themeColor="text1"/>
          <w:sz w:val="36"/>
          <w:szCs w:val="36"/>
          <w:shd w:val="clear" w:color="auto" w:fill="FFFFFF"/>
          <w:lang w:eastAsia="zh-CN"/>
          <w14:textFill>
            <w14:solidFill>
              <w14:schemeClr w14:val="tx1"/>
            </w14:solidFill>
          </w14:textFill>
        </w:rPr>
        <w:t>评价</w:t>
      </w:r>
      <w:r>
        <w:rPr>
          <w:rFonts w:hint="eastAsia" w:ascii="仿宋" w:hAnsi="仿宋" w:eastAsia="仿宋" w:cs="仿宋"/>
          <w:b/>
          <w:color w:val="000000" w:themeColor="text1"/>
          <w:sz w:val="36"/>
          <w:szCs w:val="36"/>
          <w:shd w:val="clear" w:color="auto" w:fill="FFFFFF"/>
          <w14:textFill>
            <w14:solidFill>
              <w14:schemeClr w14:val="tx1"/>
            </w14:solidFill>
          </w14:textFill>
        </w:rPr>
        <w:t>报告</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b/>
          <w:color w:val="auto"/>
          <w:sz w:val="36"/>
          <w:szCs w:val="36"/>
          <w:shd w:val="clear" w:color="auto" w:fill="FFFFFF"/>
        </w:rPr>
      </w:pPr>
    </w:p>
    <w:p>
      <w:pPr>
        <w:keepNext w:val="0"/>
        <w:keepLines w:val="0"/>
        <w:pageBreakBefore w:val="0"/>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b/>
          <w:bCs/>
          <w:color w:val="auto"/>
          <w:sz w:val="30"/>
          <w:szCs w:val="30"/>
          <w:shd w:val="clear" w:color="auto" w:fill="FFFFFF"/>
          <w:lang w:eastAsia="zh-CN"/>
        </w:rPr>
      </w:pPr>
      <w:r>
        <w:rPr>
          <w:rFonts w:hint="eastAsia" w:ascii="仿宋_GB2312" w:hAnsi="仿宋_GB2312" w:eastAsia="仿宋_GB2312" w:cs="仿宋_GB2312"/>
          <w:b/>
          <w:bCs/>
          <w:color w:val="auto"/>
          <w:sz w:val="30"/>
          <w:szCs w:val="30"/>
          <w:shd w:val="clear" w:color="auto" w:fill="FFFFFF"/>
          <w:lang w:eastAsia="zh-CN"/>
        </w:rPr>
        <w:t>一、基本情况</w:t>
      </w:r>
    </w:p>
    <w:p>
      <w:pPr>
        <w:keepNext w:val="0"/>
        <w:keepLines w:val="0"/>
        <w:pageBreakBefore w:val="0"/>
        <w:kinsoku/>
        <w:wordWrap/>
        <w:overflowPunct/>
        <w:topLinePunct w:val="0"/>
        <w:autoSpaceDE/>
        <w:autoSpaceDN/>
        <w:bidi w:val="0"/>
        <w:adjustRightInd w:val="0"/>
        <w:snapToGrid w:val="0"/>
        <w:spacing w:line="460" w:lineRule="exact"/>
        <w:ind w:firstLine="600" w:firstLineChars="200"/>
        <w:textAlignment w:val="auto"/>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（一）部门基本情况</w:t>
      </w:r>
    </w:p>
    <w:p>
      <w:pPr>
        <w:keepNext w:val="0"/>
        <w:keepLines w:val="0"/>
        <w:pageBreakBefore w:val="0"/>
        <w:kinsoku/>
        <w:wordWrap/>
        <w:overflowPunct/>
        <w:topLinePunct w:val="0"/>
        <w:autoSpaceDE/>
        <w:autoSpaceDN/>
        <w:bidi w:val="0"/>
        <w:adjustRightInd w:val="0"/>
        <w:snapToGrid w:val="0"/>
        <w:spacing w:line="46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shd w:val="clear" w:color="auto" w:fill="FFFFFF"/>
          <w:lang w:val="en-US" w:eastAsia="zh-CN"/>
        </w:rPr>
        <w:t>1、职责职能</w:t>
      </w:r>
    </w:p>
    <w:p>
      <w:pPr>
        <w:keepNext w:val="0"/>
        <w:keepLines w:val="0"/>
        <w:pageBreakBefore w:val="0"/>
        <w:kinsoku/>
        <w:wordWrap/>
        <w:overflowPunct/>
        <w:topLinePunct w:val="0"/>
        <w:autoSpaceDE/>
        <w:autoSpaceDN/>
        <w:bidi w:val="0"/>
        <w:spacing w:line="46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（1）贯彻落实国家、省、市关于教育工作的法律、法规和政策，拟订全县教育改革和发展战略规划，并组织实施。</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（2）负责各级各类教育的统筹规划和协调管理，组织实施各级各类学校设置标准，指导各级各类学校教育教学改革，负责教育基本信息的统计、分析和发布。</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3）负责推进义务教育均衡发展和促进教育公平，负责义务教育、高中教育、幼儿教育和特殊教育的管理、指导与协调。落实基础教育教学基本要求，制定全县中小学和职业学校招生计划，组织招生考试和录取工作，全面实施素质教育。</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（4）指导以就业为导向的职业教育的发展与改革，执行教学指导文件和教学评估标准。</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（5）负责组织大中专招生考试、成人高校招生考试、高等教育自学考试和自学考试学籍管理工作；负责大中专院校毕业生就业指导、服务和管理工作。</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6）统筹管理本部门教育经费；参与拟订全县教育经费筹措、教育拨款、教育基建投资办法与措施；负责统计和监测全县教育经费的投入和使用情况；指导、管理全县资助经济困难学生工作；负责组织实施教育系统内部审计工作。</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（7）统筹指导少数民族教育工作。</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（8）负责全县中、小学校的思想政治工作、德育工作、体育卫生与艺术教育以及国防教育工作，指导和协调教育系统的稳定工作。</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9）依据《教师法》规定，在职责范围内，主管全县教师工作；贯彻实施各级各类教师资格标准，配合有关部门组织实施各级各类学校编制标准；负责普通中小学（含职业学校）、中等专业学校、幼儿园教师招聘录用、资格认定、培养培训、专业技术职务评聘、调动交流、工资福利、考核奖惩和新教师的转正定级工作；按照干部管理权限和程序，考核、呈报、任免全县各级各类学校的领导干部；；指导有关教育学会、基金会、关工委、退（教）协、团委、妇联等社会组织的工作；负责教育系统人才队伍建设。</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（10）负责组织全县教育督导工作。</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（11）统筹管理全县语言文字工作，拟定全县语言文字规划并组织实施，负责指导推广普通话和规范字及普通话师资培训工作。</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（13）负责建立和完善全县教育系统学校安全工作监督管理体系，对全县各级各类学校法制安全管理工作实施监督管理；综合协调、指导、督促校（园）建立和完善安全工作责任管理制度。</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（14）承办县人民政府交办的其他事项。</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2、</w:t>
      </w:r>
      <w:r>
        <w:rPr>
          <w:rFonts w:hint="eastAsia" w:ascii="仿宋_GB2312" w:hAnsi="仿宋_GB2312" w:eastAsia="仿宋_GB2312" w:cs="仿宋_GB2312"/>
          <w:color w:val="auto"/>
          <w:kern w:val="0"/>
          <w:sz w:val="30"/>
          <w:szCs w:val="30"/>
        </w:rPr>
        <w:t>机构情况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县教育局设内设机构及直属事业单位</w:t>
      </w:r>
      <w:r>
        <w:rPr>
          <w:rFonts w:hint="eastAsia" w:ascii="仿宋_GB2312" w:hAnsi="仿宋_GB2312" w:eastAsia="仿宋_GB2312" w:cs="仿宋_GB2312"/>
          <w:sz w:val="30"/>
          <w:szCs w:val="30"/>
          <w:lang w:eastAsia="zh-CN"/>
        </w:rPr>
        <w:t>包括</w:t>
      </w:r>
      <w:r>
        <w:rPr>
          <w:rFonts w:hint="eastAsia" w:ascii="仿宋_GB2312" w:hAnsi="仿宋_GB2312" w:eastAsia="仿宋_GB2312" w:cs="仿宋_GB2312"/>
          <w:sz w:val="30"/>
          <w:szCs w:val="30"/>
        </w:rPr>
        <w:t>：县委教育工作领导小组秘书组秘书股、综合股、人事股、行政审批股、计划财务股、基础教育股、职业教育和成人教育股、教育督导股、政策法规与学校安全管理股、体育卫生与艺术教育股、党建办公室、审计股、县委教育工委纪检（监察）办公室、道县教师发展中心、道县教育联合工会、道县教育科学研究中心、道县招生考试中心、道县电化教学站、道县民办教育事务中心、道县学生资助中心、道县教育事务协调服务中心、学校基础建设服务中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全县有各级各类学校和幼儿园</w:t>
      </w:r>
      <w:r>
        <w:rPr>
          <w:rFonts w:hint="eastAsia" w:ascii="仿宋_GB2312" w:hAnsi="仿宋_GB2312" w:eastAsia="仿宋_GB2312" w:cs="仿宋_GB2312"/>
          <w:sz w:val="30"/>
          <w:szCs w:val="30"/>
          <w:lang w:val="en-US" w:eastAsia="zh-CN"/>
        </w:rPr>
        <w:t>306</w:t>
      </w:r>
      <w:r>
        <w:rPr>
          <w:rFonts w:hint="eastAsia" w:ascii="仿宋_GB2312" w:hAnsi="仿宋_GB2312" w:eastAsia="仿宋_GB2312" w:cs="仿宋_GB2312"/>
          <w:sz w:val="30"/>
          <w:szCs w:val="30"/>
        </w:rPr>
        <w:t>所,其中:幼儿园2</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所，普通高中</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所，完全中学1所，九年一贯制学校</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所，普通小学</w:t>
      </w:r>
      <w:r>
        <w:rPr>
          <w:rFonts w:hint="eastAsia" w:ascii="仿宋_GB2312" w:hAnsi="仿宋_GB2312" w:eastAsia="仿宋_GB2312" w:cs="仿宋_GB2312"/>
          <w:sz w:val="30"/>
          <w:szCs w:val="30"/>
          <w:lang w:val="en-US" w:eastAsia="zh-CN"/>
        </w:rPr>
        <w:t>45</w:t>
      </w:r>
      <w:r>
        <w:rPr>
          <w:rFonts w:hint="eastAsia" w:ascii="仿宋_GB2312" w:hAnsi="仿宋_GB2312" w:eastAsia="仿宋_GB2312" w:cs="仿宋_GB2312"/>
          <w:sz w:val="30"/>
          <w:szCs w:val="30"/>
        </w:rPr>
        <w:t>所，普通初中25所，中等职业学校、教师进修学校、特殊教育学校各1所。</w:t>
      </w:r>
      <w:r>
        <w:rPr>
          <w:rFonts w:hint="eastAsia" w:ascii="仿宋_GB2312" w:hAnsi="仿宋_GB2312" w:eastAsia="仿宋_GB2312" w:cs="仿宋_GB2312"/>
          <w:sz w:val="30"/>
          <w:szCs w:val="30"/>
          <w:lang w:eastAsia="zh-CN"/>
        </w:rPr>
        <w:t>全县在校学生</w:t>
      </w:r>
      <w:r>
        <w:rPr>
          <w:rFonts w:hint="eastAsia" w:ascii="仿宋_GB2312" w:hAnsi="仿宋_GB2312" w:eastAsia="仿宋_GB2312" w:cs="仿宋_GB2312"/>
          <w:sz w:val="30"/>
          <w:szCs w:val="30"/>
          <w:lang w:val="en-US" w:eastAsia="zh-CN"/>
        </w:rPr>
        <w:t>143780人，</w:t>
      </w:r>
      <w:r>
        <w:rPr>
          <w:rFonts w:hint="eastAsia" w:ascii="仿宋_GB2312" w:hAnsi="仿宋_GB2312" w:eastAsia="仿宋_GB2312" w:cs="仿宋_GB2312"/>
          <w:sz w:val="30"/>
          <w:szCs w:val="30"/>
        </w:rPr>
        <w:t>全县在职在编</w:t>
      </w:r>
      <w:r>
        <w:rPr>
          <w:rFonts w:hint="eastAsia" w:ascii="仿宋_GB2312" w:hAnsi="仿宋_GB2312" w:eastAsia="仿宋_GB2312" w:cs="仿宋_GB2312"/>
          <w:sz w:val="30"/>
          <w:szCs w:val="30"/>
          <w:lang w:eastAsia="zh-CN"/>
        </w:rPr>
        <w:t>教职员工</w:t>
      </w:r>
      <w:r>
        <w:rPr>
          <w:rFonts w:hint="eastAsia" w:ascii="仿宋_GB2312" w:hAnsi="仿宋_GB2312" w:eastAsia="仿宋_GB2312" w:cs="仿宋_GB2312"/>
          <w:sz w:val="30"/>
          <w:szCs w:val="30"/>
          <w:lang w:val="en-US" w:eastAsia="zh-CN"/>
        </w:rPr>
        <w:t>6009</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auto"/>
          <w:kern w:val="0"/>
          <w:sz w:val="30"/>
          <w:szCs w:val="30"/>
        </w:rPr>
        <w:t>合同制、返聘、特岗教师</w:t>
      </w:r>
      <w:r>
        <w:rPr>
          <w:rFonts w:hint="eastAsia" w:ascii="仿宋_GB2312" w:hAnsi="仿宋_GB2312" w:eastAsia="仿宋_GB2312" w:cs="仿宋_GB2312"/>
          <w:color w:val="auto"/>
          <w:kern w:val="0"/>
          <w:sz w:val="30"/>
          <w:szCs w:val="30"/>
          <w:lang w:val="en-US" w:eastAsia="zh-CN"/>
        </w:rPr>
        <w:t>1030</w:t>
      </w:r>
      <w:r>
        <w:rPr>
          <w:rFonts w:hint="eastAsia" w:ascii="仿宋_GB2312" w:hAnsi="仿宋_GB2312" w:eastAsia="仿宋_GB2312" w:cs="仿宋_GB2312"/>
          <w:color w:val="auto"/>
          <w:kern w:val="0"/>
          <w:sz w:val="30"/>
          <w:szCs w:val="30"/>
        </w:rPr>
        <w:t>人。</w:t>
      </w:r>
    </w:p>
    <w:p>
      <w:pPr>
        <w:keepNext w:val="0"/>
        <w:keepLines w:val="0"/>
        <w:pageBreakBefore w:val="0"/>
        <w:kinsoku/>
        <w:wordWrap/>
        <w:overflowPunct/>
        <w:topLinePunct w:val="0"/>
        <w:autoSpaceDE/>
        <w:autoSpaceDN/>
        <w:bidi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20</w:t>
      </w:r>
      <w:r>
        <w:rPr>
          <w:rFonts w:hint="eastAsia" w:ascii="仿宋_GB2312" w:hAnsi="仿宋_GB2312" w:eastAsia="仿宋_GB2312" w:cs="仿宋_GB2312"/>
          <w:color w:val="auto"/>
          <w:kern w:val="0"/>
          <w:sz w:val="30"/>
          <w:szCs w:val="30"/>
          <w:lang w:val="en-US" w:eastAsia="zh-CN"/>
        </w:rPr>
        <w:t>21</w:t>
      </w:r>
      <w:r>
        <w:rPr>
          <w:rFonts w:hint="eastAsia" w:ascii="仿宋_GB2312" w:hAnsi="仿宋_GB2312" w:eastAsia="仿宋_GB2312" w:cs="仿宋_GB2312"/>
          <w:color w:val="auto"/>
          <w:kern w:val="0"/>
          <w:sz w:val="30"/>
          <w:szCs w:val="30"/>
        </w:rPr>
        <w:t>年</w:t>
      </w:r>
      <w:r>
        <w:rPr>
          <w:rFonts w:hint="eastAsia" w:ascii="仿宋_GB2312" w:hAnsi="仿宋_GB2312" w:eastAsia="仿宋_GB2312" w:cs="仿宋_GB2312"/>
          <w:color w:val="auto"/>
          <w:kern w:val="0"/>
          <w:sz w:val="30"/>
          <w:szCs w:val="30"/>
          <w:lang w:eastAsia="zh-CN"/>
        </w:rPr>
        <w:t>工贸学校、</w:t>
      </w:r>
      <w:r>
        <w:rPr>
          <w:rFonts w:hint="eastAsia" w:ascii="仿宋_GB2312" w:hAnsi="仿宋_GB2312" w:eastAsia="仿宋_GB2312" w:cs="仿宋_GB2312"/>
          <w:color w:val="auto"/>
          <w:kern w:val="0"/>
          <w:sz w:val="30"/>
          <w:szCs w:val="30"/>
        </w:rPr>
        <w:t>一中、二中、五中</w:t>
      </w:r>
      <w:r>
        <w:rPr>
          <w:rFonts w:hint="eastAsia" w:ascii="仿宋_GB2312" w:hAnsi="仿宋_GB2312" w:eastAsia="仿宋_GB2312" w:cs="仿宋_GB2312"/>
          <w:color w:val="auto"/>
          <w:kern w:val="0"/>
          <w:sz w:val="30"/>
          <w:szCs w:val="30"/>
          <w:lang w:eastAsia="zh-CN"/>
        </w:rPr>
        <w:t>、进修学校</w:t>
      </w:r>
      <w:r>
        <w:rPr>
          <w:rFonts w:hint="eastAsia" w:ascii="仿宋_GB2312" w:hAnsi="仿宋_GB2312" w:eastAsia="仿宋_GB2312" w:cs="仿宋_GB2312"/>
          <w:color w:val="auto"/>
          <w:kern w:val="0"/>
          <w:sz w:val="30"/>
          <w:szCs w:val="30"/>
        </w:rPr>
        <w:t>为一级预算单位，计财股预算编制范围为除上述五个单位外的其他道县教育部门办的各级各类学校。退休教师</w:t>
      </w:r>
      <w:r>
        <w:rPr>
          <w:rFonts w:hint="eastAsia" w:ascii="仿宋_GB2312" w:hAnsi="仿宋_GB2312" w:eastAsia="仿宋_GB2312" w:cs="仿宋_GB2312"/>
          <w:color w:val="auto"/>
          <w:kern w:val="0"/>
          <w:sz w:val="30"/>
          <w:szCs w:val="30"/>
          <w:lang w:eastAsia="zh-CN"/>
        </w:rPr>
        <w:t>退休金</w:t>
      </w:r>
      <w:r>
        <w:rPr>
          <w:rFonts w:hint="eastAsia" w:ascii="仿宋_GB2312" w:hAnsi="仿宋_GB2312" w:eastAsia="仿宋_GB2312" w:cs="仿宋_GB2312"/>
          <w:color w:val="auto"/>
          <w:kern w:val="0"/>
          <w:sz w:val="30"/>
          <w:szCs w:val="30"/>
        </w:rPr>
        <w:t>已由人社局发放，</w:t>
      </w:r>
      <w:r>
        <w:rPr>
          <w:rFonts w:hint="eastAsia" w:ascii="仿宋_GB2312" w:hAnsi="仿宋_GB2312" w:eastAsia="仿宋_GB2312" w:cs="仿宋_GB2312"/>
          <w:color w:val="auto"/>
          <w:kern w:val="0"/>
          <w:sz w:val="30"/>
          <w:szCs w:val="30"/>
          <w:highlight w:val="none"/>
        </w:rPr>
        <w:t>经费不在教育的决算中填报。</w:t>
      </w:r>
    </w:p>
    <w:p>
      <w:pPr>
        <w:numPr>
          <w:ilvl w:val="0"/>
          <w:numId w:val="0"/>
        </w:numPr>
        <w:adjustRightInd w:val="0"/>
        <w:snapToGrid w:val="0"/>
        <w:spacing w:line="600" w:lineRule="exact"/>
        <w:ind w:firstLine="600" w:firstLineChars="200"/>
        <w:rPr>
          <w:rFonts w:hint="eastAsia"/>
          <w:lang w:eastAsia="zh-CN"/>
        </w:rPr>
      </w:pPr>
      <w:r>
        <w:rPr>
          <w:rFonts w:hint="eastAsia" w:ascii="仿宋_GB2312" w:hAnsi="仿宋_GB2312" w:eastAsia="仿宋_GB2312" w:cs="仿宋_GB2312"/>
          <w:color w:val="auto"/>
          <w:sz w:val="30"/>
          <w:szCs w:val="30"/>
          <w:lang w:eastAsia="zh-CN"/>
        </w:rPr>
        <w:t>（二）部门年度整体支出绩效目标</w:t>
      </w:r>
    </w:p>
    <w:p>
      <w:pPr>
        <w:numPr>
          <w:ilvl w:val="0"/>
          <w:numId w:val="1"/>
        </w:numPr>
        <w:adjustRightInd w:val="0"/>
        <w:snapToGrid w:val="0"/>
        <w:spacing w:line="60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年度总体目标</w:t>
      </w:r>
    </w:p>
    <w:p>
      <w:pPr>
        <w:numPr>
          <w:ilvl w:val="0"/>
          <w:numId w:val="0"/>
        </w:numPr>
        <w:adjustRightInd w:val="0"/>
        <w:snapToGrid w:val="0"/>
        <w:spacing w:line="600" w:lineRule="exact"/>
        <w:ind w:left="596" w:leftChars="284" w:firstLine="0" w:firstLineChars="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目标1：保障本单位和学校人员工资及经费正常运转。                                                    目标2：进一步规范财务管理，严格执行财务制度。                                                                                              目标3：改善和优化学校的办学条件，加快学校信息化建设，优化教育布局。                                    </w:t>
      </w:r>
    </w:p>
    <w:p>
      <w:pPr>
        <w:numPr>
          <w:ilvl w:val="0"/>
          <w:numId w:val="0"/>
        </w:numPr>
        <w:adjustRightInd w:val="0"/>
        <w:snapToGrid w:val="0"/>
        <w:spacing w:line="600" w:lineRule="exact"/>
        <w:ind w:left="596" w:leftChars="284" w:firstLine="0" w:firstLineChars="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目标</w:t>
      </w:r>
      <w:r>
        <w:rPr>
          <w:rFonts w:hint="eastAsia" w:ascii="仿宋_GB2312" w:hAnsi="仿宋_GB2312" w:eastAsia="仿宋_GB2312" w:cs="仿宋_GB2312"/>
          <w:color w:val="auto"/>
          <w:sz w:val="30"/>
          <w:szCs w:val="30"/>
        </w:rPr>
        <w:t>4</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强化质量攻坚主观能动性，提升教育质量。</w:t>
      </w:r>
    </w:p>
    <w:p>
      <w:pPr>
        <w:adjustRightInd w:val="0"/>
        <w:snapToGrid w:val="0"/>
        <w:spacing w:line="60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部门整体支出规模、使用方向和主要内容、涉及范围</w:t>
      </w:r>
    </w:p>
    <w:p>
      <w:pPr>
        <w:adjustRightInd w:val="0"/>
        <w:snapToGri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shd w:val="clear" w:color="auto" w:fill="FFFFFF"/>
        </w:rPr>
        <w:t>20</w:t>
      </w:r>
      <w:r>
        <w:rPr>
          <w:rFonts w:hint="eastAsia" w:ascii="仿宋_GB2312" w:hAnsi="仿宋_GB2312" w:eastAsia="仿宋_GB2312" w:cs="仿宋_GB2312"/>
          <w:color w:val="auto"/>
          <w:sz w:val="30"/>
          <w:szCs w:val="30"/>
          <w:shd w:val="clear" w:color="auto" w:fill="FFFFFF"/>
          <w:lang w:val="en-US" w:eastAsia="zh-CN"/>
        </w:rPr>
        <w:t>21</w:t>
      </w:r>
      <w:r>
        <w:rPr>
          <w:rFonts w:hint="eastAsia" w:ascii="仿宋_GB2312" w:hAnsi="仿宋_GB2312" w:eastAsia="仿宋_GB2312" w:cs="仿宋_GB2312"/>
          <w:color w:val="auto"/>
          <w:sz w:val="30"/>
          <w:szCs w:val="30"/>
          <w:shd w:val="clear" w:color="auto" w:fill="FFFFFF"/>
        </w:rPr>
        <w:t>年教育系统（除工贸学校一中二中</w:t>
      </w:r>
      <w:r>
        <w:rPr>
          <w:rFonts w:hint="eastAsia" w:ascii="仿宋_GB2312" w:hAnsi="仿宋_GB2312" w:eastAsia="仿宋_GB2312" w:cs="仿宋_GB2312"/>
          <w:color w:val="auto"/>
          <w:sz w:val="30"/>
          <w:szCs w:val="30"/>
          <w:shd w:val="clear" w:color="auto" w:fill="FFFFFF"/>
          <w:lang w:eastAsia="zh-CN"/>
        </w:rPr>
        <w:t>五中进修学校</w:t>
      </w:r>
      <w:r>
        <w:rPr>
          <w:rFonts w:hint="eastAsia" w:ascii="仿宋_GB2312" w:hAnsi="仿宋_GB2312" w:eastAsia="仿宋_GB2312" w:cs="仿宋_GB2312"/>
          <w:color w:val="auto"/>
          <w:sz w:val="30"/>
          <w:szCs w:val="30"/>
          <w:shd w:val="clear" w:color="auto" w:fill="FFFFFF"/>
        </w:rPr>
        <w:t>）</w:t>
      </w:r>
      <w:r>
        <w:rPr>
          <w:rFonts w:hint="eastAsia" w:ascii="仿宋_GB2312" w:hAnsi="仿宋_GB2312" w:eastAsia="仿宋_GB2312" w:cs="仿宋_GB2312"/>
          <w:color w:val="auto"/>
          <w:sz w:val="30"/>
          <w:szCs w:val="30"/>
          <w:shd w:val="clear" w:color="auto" w:fill="FFFFFF"/>
          <w:lang w:eastAsia="zh-CN"/>
        </w:rPr>
        <w:t>整体</w:t>
      </w:r>
      <w:r>
        <w:rPr>
          <w:rFonts w:hint="eastAsia" w:ascii="仿宋_GB2312" w:hAnsi="仿宋_GB2312" w:eastAsia="仿宋_GB2312" w:cs="仿宋_GB2312"/>
          <w:color w:val="auto"/>
          <w:sz w:val="30"/>
          <w:szCs w:val="30"/>
          <w:shd w:val="clear" w:color="auto" w:fill="FFFFFF"/>
        </w:rPr>
        <w:t>支出资金构成：</w:t>
      </w:r>
    </w:p>
    <w:p>
      <w:pPr>
        <w:snapToGrid w:val="0"/>
        <w:spacing w:line="520" w:lineRule="exact"/>
        <w:ind w:firstLine="6900" w:firstLineChars="2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单位：万元</w:t>
      </w:r>
    </w:p>
    <w:tbl>
      <w:tblPr>
        <w:tblStyle w:val="7"/>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2"/>
        <w:gridCol w:w="1311"/>
        <w:gridCol w:w="1228"/>
        <w:gridCol w:w="1206"/>
        <w:gridCol w:w="986"/>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    标</w:t>
            </w:r>
          </w:p>
        </w:tc>
        <w:tc>
          <w:tcPr>
            <w:tcW w:w="1311"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2021</w:t>
            </w:r>
            <w:r>
              <w:rPr>
                <w:rFonts w:hint="eastAsia" w:ascii="宋体" w:hAnsi="宋体" w:eastAsia="宋体" w:cs="宋体"/>
                <w:i w:val="0"/>
                <w:iCs w:val="0"/>
                <w:color w:val="000000"/>
                <w:kern w:val="0"/>
                <w:sz w:val="22"/>
                <w:szCs w:val="22"/>
                <w:u w:val="none"/>
                <w:lang w:val="en-US" w:eastAsia="zh-CN" w:bidi="ar"/>
              </w:rPr>
              <w:t>年度</w:t>
            </w:r>
          </w:p>
        </w:tc>
        <w:tc>
          <w:tcPr>
            <w:tcW w:w="1228"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2020</w:t>
            </w:r>
            <w:r>
              <w:rPr>
                <w:rFonts w:hint="eastAsia" w:ascii="宋体" w:hAnsi="宋体" w:eastAsia="宋体" w:cs="宋体"/>
                <w:i w:val="0"/>
                <w:iCs w:val="0"/>
                <w:color w:val="000000"/>
                <w:kern w:val="0"/>
                <w:sz w:val="22"/>
                <w:szCs w:val="22"/>
                <w:u w:val="none"/>
                <w:lang w:val="en-US" w:eastAsia="zh-CN" w:bidi="ar"/>
              </w:rPr>
              <w:t>年度</w:t>
            </w:r>
          </w:p>
        </w:tc>
        <w:tc>
          <w:tcPr>
            <w:tcW w:w="1206"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比上年增减</w:t>
            </w:r>
          </w:p>
        </w:tc>
        <w:tc>
          <w:tcPr>
            <w:tcW w:w="986"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增减％</w:t>
            </w:r>
          </w:p>
        </w:tc>
        <w:tc>
          <w:tcPr>
            <w:tcW w:w="1682" w:type="dxa"/>
            <w:vMerge w:val="restart"/>
            <w:tcBorders>
              <w:top w:val="single" w:color="000000" w:sz="4" w:space="0"/>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311"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28"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8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682" w:type="dxa"/>
            <w:vMerge w:val="continue"/>
            <w:tcBorders>
              <w:top w:val="single" w:color="000000" w:sz="4" w:space="0"/>
              <w:left w:val="nil"/>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栏    次 </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一、年度收支情况（单位：元）</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1.本年收入</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821911631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785731348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36180283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人员经费、生平均公用经费增长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其中：一般公共预算财政拨款</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819511631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783981348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33780283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人员经费、生平均公用经费增长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2021年无政府性基金预算财政拨款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*事业收入</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学前教育保育费收入增加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2.本年支出</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819511631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785731348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33780283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其中：基本支出</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718619431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686734048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31885383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4.64</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（1）人员经费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546581618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545165468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1416150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0.03</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（2）公用经费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172037813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141568580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30469233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21.52</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生平均公用经费增长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项目支出</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103292200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98997300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4294900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其中：基本建设类项目</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103292200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141568580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-38276380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-27.04</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化解大班额工作已经完成，上级及本级用于化解大班额的资金减少，新建的西洲芙蓉学校、谷源学校已经投入使用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二、年末资产负债信息（单位：元）</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1.货币资金</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2.财政应返还额度</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3.房屋</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567016899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494381287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72635612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14.69</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学校新建校舍等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4.车辆</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5.在建工程</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6.借款</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7.应缴财政款</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8.应付职工薪酬</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三、年末机构人员情况（单位：个、人）</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1.独立编制机构数</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学校数增加（增加4个公办幼儿园，2个小学,减少1个独立预决算学校）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2.独立核算机构数</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学校数增加（增加4个公办幼儿园，2个小学,减少1个独立预决算学校）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3.年末实有人数</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5322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5301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0.004</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新招聘教师增加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在职人员</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5322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5301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0.004</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新招聘教师增加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其中：行政人员</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-46.15</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调出人员大于新调入人员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非参公事业人员</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5315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5288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0.005</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新招聘教师增加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离休人员</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退休人员</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4.年末其他人员数</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945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621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52.17</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合同制教师增加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5.年末学生人数</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123756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126111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-2355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四、补充资料（单位：元）</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1.固定资产情况</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房屋面积（平方米）</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973338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951097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22241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车辆数量（辆）</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2.“三公”经费支出</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1932700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1951575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-18875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其中：因公出国（境）费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公务用车购置及运行维护费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69000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其中：公务用车购置费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69000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1867000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1882575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-15575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3.培训费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11478620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10912694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565926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4.会议费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789500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808837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-19337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5.机关运行经费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6.年初预算数</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本年收入合计</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821911631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785731348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36180283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本年支出合计</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821911631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785731348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36180283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7.调整预算数</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本年收入合计</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821911631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785731348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36180283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本年支出合计</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821911631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785731348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36180283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8"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1311"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bl>
    <w:p>
      <w:pPr>
        <w:adjustRightInd w:val="0"/>
        <w:snapToGrid w:val="0"/>
        <w:spacing w:line="600" w:lineRule="exact"/>
        <w:rPr>
          <w:rFonts w:hint="eastAsia" w:ascii="仿宋_GB2312" w:hAnsi="仿宋_GB2312" w:eastAsia="仿宋_GB2312" w:cs="仿宋_GB2312"/>
          <w:color w:val="000000" w:themeColor="text1"/>
          <w:sz w:val="10"/>
          <w:szCs w:val="10"/>
          <w:shd w:val="clear" w:color="auto" w:fill="FFFFFF"/>
          <w14:textFill>
            <w14:solidFill>
              <w14:schemeClr w14:val="tx1"/>
            </w14:solidFill>
          </w14:textFill>
        </w:rPr>
      </w:pPr>
    </w:p>
    <w:p>
      <w:pPr>
        <w:adjustRightInd w:val="0"/>
        <w:snapToGrid w:val="0"/>
        <w:spacing w:line="600" w:lineRule="exact"/>
        <w:ind w:firstLine="600" w:firstLineChars="200"/>
        <w:rPr>
          <w:rFonts w:hint="eastAsia" w:ascii="仿宋_GB2312" w:hAnsi="仿宋_GB2312" w:eastAsia="仿宋_GB2312" w:cs="仿宋_GB2312"/>
          <w:b/>
          <w:bCs/>
          <w:color w:val="000000" w:themeColor="text1"/>
          <w:sz w:val="30"/>
          <w:szCs w:val="30"/>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0"/>
          <w:szCs w:val="30"/>
          <w:shd w:val="clear" w:color="auto" w:fill="FFFFFF"/>
          <w14:textFill>
            <w14:solidFill>
              <w14:schemeClr w14:val="tx1"/>
            </w14:solidFill>
          </w14:textFill>
        </w:rPr>
        <w:t>二、一般公共预算支出情况</w:t>
      </w:r>
    </w:p>
    <w:p>
      <w:pPr>
        <w:snapToGrid w:val="0"/>
        <w:spacing w:line="520" w:lineRule="exact"/>
        <w:ind w:firstLine="600" w:firstLineChars="200"/>
        <w:rPr>
          <w:rFonts w:hint="eastAsia" w:ascii="仿宋_GB2312" w:hAnsi="仿宋_GB2312" w:eastAsia="仿宋_GB2312" w:cs="仿宋_GB2312"/>
          <w:color w:val="000000" w:themeColor="text1"/>
          <w:sz w:val="30"/>
          <w:szCs w:val="30"/>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0"/>
          <w:szCs w:val="30"/>
          <w:shd w:val="clear" w:color="auto" w:fill="FFFFFF"/>
          <w:lang w:eastAsia="zh-CN"/>
          <w14:textFill>
            <w14:solidFill>
              <w14:schemeClr w14:val="tx1"/>
            </w14:solidFill>
          </w14:textFill>
        </w:rPr>
        <w:t>（一）基本支出和项目支出情况</w:t>
      </w:r>
    </w:p>
    <w:p>
      <w:pPr>
        <w:snapToGrid w:val="0"/>
        <w:spacing w:line="520" w:lineRule="exact"/>
        <w:ind w:firstLine="6300" w:firstLineChars="21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单位：万元</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68"/>
        <w:gridCol w:w="2484"/>
        <w:gridCol w:w="2209"/>
        <w:gridCol w:w="2209"/>
        <w:gridCol w:w="2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055" w:type="dxa"/>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 </w:t>
            </w:r>
          </w:p>
        </w:tc>
        <w:tc>
          <w:tcPr>
            <w:tcW w:w="5257" w:type="dxa"/>
            <w:gridSpan w:val="3"/>
            <w:tcBorders>
              <w:top w:val="single" w:color="666666" w:sz="6" w:space="0"/>
              <w:left w:val="nil"/>
              <w:bottom w:val="single" w:color="666666" w:sz="6" w:space="0"/>
              <w:right w:val="single" w:color="666666" w:sz="6" w:space="0"/>
            </w:tcBorders>
            <w:shd w:val="clear" w:color="auto" w:fill="auto"/>
            <w:vAlign w:val="center"/>
          </w:tcPr>
          <w:p>
            <w:pPr>
              <w:pStyle w:val="17"/>
              <w:jc w:val="center"/>
              <w:rPr>
                <w:rFonts w:hint="eastAsia" w:ascii="宋体" w:hAnsi="宋体" w:eastAsia="宋体" w:cs="宋体"/>
                <w:kern w:val="0"/>
                <w:sz w:val="22"/>
                <w:szCs w:val="22"/>
              </w:rPr>
            </w:pPr>
            <w:r>
              <w:rPr>
                <w:rFonts w:hint="eastAsia" w:cs="宋体"/>
                <w:kern w:val="0"/>
                <w:sz w:val="22"/>
                <w:szCs w:val="22"/>
                <w:lang w:val="en-US" w:eastAsia="zh-CN"/>
              </w:rPr>
              <w:t>2021</w:t>
            </w:r>
            <w:r>
              <w:rPr>
                <w:rFonts w:hint="eastAsia" w:ascii="宋体" w:hAnsi="宋体" w:eastAsia="宋体" w:cs="宋体"/>
                <w:kern w:val="0"/>
                <w:sz w:val="22"/>
                <w:szCs w:val="22"/>
              </w:rPr>
              <w:t xml:space="preserve">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5" w:type="dxa"/>
            <w:vMerge w:val="restart"/>
            <w:tcBorders>
              <w:top w:val="nil"/>
              <w:left w:val="single" w:color="666666" w:sz="6" w:space="0"/>
              <w:bottom w:val="single" w:color="666666" w:sz="6" w:space="0"/>
              <w:right w:val="single" w:color="666666" w:sz="6" w:space="0"/>
            </w:tcBorders>
            <w:shd w:val="clear" w:color="auto" w:fill="auto"/>
            <w:vAlign w:val="center"/>
          </w:tcPr>
          <w:p>
            <w:pPr>
              <w:pStyle w:val="17"/>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功能分类科目编码 </w:t>
            </w:r>
          </w:p>
        </w:tc>
        <w:tc>
          <w:tcPr>
            <w:tcW w:w="1970" w:type="dxa"/>
            <w:vMerge w:val="restart"/>
            <w:tcBorders>
              <w:top w:val="nil"/>
              <w:left w:val="nil"/>
              <w:bottom w:val="single" w:color="666666" w:sz="6" w:space="0"/>
              <w:right w:val="single" w:color="666666" w:sz="6" w:space="0"/>
            </w:tcBorders>
            <w:shd w:val="clear" w:color="auto" w:fill="auto"/>
            <w:vAlign w:val="center"/>
          </w:tcPr>
          <w:p>
            <w:pPr>
              <w:pStyle w:val="17"/>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科目名称 </w:t>
            </w:r>
          </w:p>
        </w:tc>
        <w:tc>
          <w:tcPr>
            <w:tcW w:w="1752" w:type="dxa"/>
            <w:vMerge w:val="restart"/>
            <w:tcBorders>
              <w:top w:val="single" w:color="666666" w:sz="6" w:space="0"/>
              <w:left w:val="nil"/>
              <w:bottom w:val="single" w:color="666666" w:sz="6" w:space="0"/>
              <w:right w:val="single" w:color="666666" w:sz="6" w:space="0"/>
            </w:tcBorders>
            <w:shd w:val="clear" w:color="auto" w:fill="auto"/>
            <w:vAlign w:val="center"/>
          </w:tcPr>
          <w:p>
            <w:pPr>
              <w:pStyle w:val="17"/>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小计 </w:t>
            </w:r>
          </w:p>
        </w:tc>
        <w:tc>
          <w:tcPr>
            <w:tcW w:w="1752" w:type="dxa"/>
            <w:vMerge w:val="restart"/>
            <w:tcBorders>
              <w:top w:val="single" w:color="666666" w:sz="6" w:space="0"/>
              <w:left w:val="nil"/>
              <w:bottom w:val="single" w:color="666666" w:sz="6" w:space="0"/>
              <w:right w:val="single" w:color="666666" w:sz="6" w:space="0"/>
            </w:tcBorders>
            <w:shd w:val="clear" w:color="auto" w:fill="auto"/>
            <w:vAlign w:val="center"/>
          </w:tcPr>
          <w:p>
            <w:pPr>
              <w:pStyle w:val="17"/>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基本支出 </w:t>
            </w:r>
          </w:p>
        </w:tc>
        <w:tc>
          <w:tcPr>
            <w:tcW w:w="1753" w:type="dxa"/>
            <w:vMerge w:val="restart"/>
            <w:tcBorders>
              <w:top w:val="single" w:color="666666" w:sz="6" w:space="0"/>
              <w:left w:val="nil"/>
              <w:bottom w:val="single" w:color="666666" w:sz="6" w:space="0"/>
              <w:right w:val="single" w:color="666666" w:sz="6" w:space="0"/>
            </w:tcBorders>
            <w:shd w:val="clear" w:color="auto" w:fill="auto"/>
            <w:vAlign w:val="center"/>
          </w:tcPr>
          <w:p>
            <w:pPr>
              <w:pStyle w:val="17"/>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5" w:type="dxa"/>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1970" w:type="dxa"/>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1752" w:type="dxa"/>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1752" w:type="dxa"/>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1753" w:type="dxa"/>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5" w:type="dxa"/>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1970" w:type="dxa"/>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1752" w:type="dxa"/>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1752" w:type="dxa"/>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1753" w:type="dxa"/>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55" w:type="dxa"/>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栏次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055" w:type="dxa"/>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合计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81951.16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71621.94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10329.22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教育支出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77111.02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66781.80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b/>
                <w:bCs/>
                <w:kern w:val="0"/>
                <w:sz w:val="22"/>
                <w:szCs w:val="22"/>
              </w:rPr>
              <w:t>10329.2</w:t>
            </w:r>
            <w:r>
              <w:rPr>
                <w:rFonts w:hint="eastAsia" w:ascii="宋体" w:hAnsi="宋体" w:eastAsia="宋体" w:cs="宋体"/>
                <w:kern w:val="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教育管理事务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1719.00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1719.000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2050101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行政运行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1369.00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1369.00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2050199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其他教育管理事务支出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350.00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350.00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20502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普通教育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72365.40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63854.29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8511.11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2050201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学前教育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2006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1582.00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2050202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小学教育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38748.00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34275.04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4472.96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2050203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初中教育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26180.38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22566.23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3614.15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2050204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高中教育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177.02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177.02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2050299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其他普通教育支出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5254.00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5254.00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20507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特殊教育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117.00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117.00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2050701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特殊学校教育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117.00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117.00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20508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进修及培训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1091.52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1091.52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2050801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教师进修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841.52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841.52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2050803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培训支出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250.00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250.00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20509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教育费附加安排的支出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1818.10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1818.10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2050901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农村中小学校舍建设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630.00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2050903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城市中小学校舍建设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11881.10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11881.10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208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社会保障和就业支出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1148.17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1148.17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20808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抚恤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1148.17</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1148.17</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2080801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死亡抚恤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1148.17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1148.17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221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住房保障支出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3691.97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3691.97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22102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住房改革支出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3691.97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3691.97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2210201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17"/>
              <w:rPr>
                <w:rFonts w:hint="eastAsia" w:ascii="宋体" w:hAnsi="宋体" w:eastAsia="宋体" w:cs="宋体"/>
                <w:kern w:val="0"/>
                <w:sz w:val="22"/>
                <w:szCs w:val="22"/>
              </w:rPr>
            </w:pPr>
            <w:r>
              <w:rPr>
                <w:rFonts w:hint="eastAsia" w:ascii="宋体" w:hAnsi="宋体" w:eastAsia="宋体" w:cs="宋体"/>
                <w:kern w:val="0"/>
                <w:sz w:val="22"/>
                <w:szCs w:val="22"/>
              </w:rPr>
              <w:t xml:space="preserve">住房公积金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3691.97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3691.97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17"/>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bl>
    <w:p>
      <w:pPr>
        <w:pStyle w:val="2"/>
        <w:rPr>
          <w:rFonts w:hint="eastAsia"/>
        </w:rPr>
      </w:pPr>
    </w:p>
    <w:p>
      <w:pPr>
        <w:snapToGrid w:val="0"/>
        <w:spacing w:line="520" w:lineRule="exact"/>
        <w:ind w:firstLine="600" w:firstLineChars="200"/>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sz w:val="30"/>
          <w:szCs w:val="30"/>
          <w:shd w:val="clear" w:color="auto" w:fill="FFFFFF"/>
          <w:lang w:eastAsia="zh-CN"/>
          <w14:textFill>
            <w14:solidFill>
              <w14:schemeClr w14:val="tx1"/>
            </w14:solidFill>
          </w14:textFill>
        </w:rPr>
        <w:t>（二）</w:t>
      </w:r>
      <w:r>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t>20</w:t>
      </w:r>
      <w:r>
        <w:rPr>
          <w:rFonts w:hint="eastAsia" w:ascii="仿宋_GB2312" w:hAnsi="仿宋_GB2312" w:eastAsia="仿宋_GB2312" w:cs="仿宋_GB2312"/>
          <w:color w:val="000000" w:themeColor="text1"/>
          <w:sz w:val="30"/>
          <w:szCs w:val="30"/>
          <w:shd w:val="clear" w:color="auto" w:fill="FFFFFF"/>
          <w:lang w:val="en-US" w:eastAsia="zh-CN"/>
          <w14:textFill>
            <w14:solidFill>
              <w14:schemeClr w14:val="tx1"/>
            </w14:solidFill>
          </w14:textFill>
        </w:rPr>
        <w:t>21</w:t>
      </w:r>
      <w:r>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t>年“三公”经费、培训费、会议费经费支出情况</w:t>
      </w:r>
    </w:p>
    <w:p>
      <w:pPr>
        <w:snapToGrid w:val="0"/>
        <w:spacing w:line="520" w:lineRule="exact"/>
        <w:ind w:firstLine="6600" w:firstLineChars="2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单位：万元</w:t>
      </w:r>
    </w:p>
    <w:tbl>
      <w:tblPr>
        <w:tblStyle w:val="7"/>
        <w:tblW w:w="7875" w:type="dxa"/>
        <w:tblInd w:w="339" w:type="dxa"/>
        <w:tblLayout w:type="autofit"/>
        <w:tblCellMar>
          <w:top w:w="0" w:type="dxa"/>
          <w:left w:w="0" w:type="dxa"/>
          <w:bottom w:w="0" w:type="dxa"/>
          <w:right w:w="0" w:type="dxa"/>
        </w:tblCellMar>
      </w:tblPr>
      <w:tblGrid>
        <w:gridCol w:w="2046"/>
        <w:gridCol w:w="1080"/>
        <w:gridCol w:w="1080"/>
        <w:gridCol w:w="1080"/>
        <w:gridCol w:w="2589"/>
      </w:tblGrid>
      <w:tr>
        <w:tblPrEx>
          <w:tblCellMar>
            <w:top w:w="0" w:type="dxa"/>
            <w:left w:w="0" w:type="dxa"/>
            <w:bottom w:w="0" w:type="dxa"/>
            <w:right w:w="0" w:type="dxa"/>
          </w:tblCellMar>
        </w:tblPrEx>
        <w:trPr>
          <w:trHeight w:val="560" w:hRule="atLeast"/>
        </w:trPr>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内容</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2020年</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2021年</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增减%</w:t>
            </w:r>
          </w:p>
        </w:tc>
        <w:tc>
          <w:tcPr>
            <w:tcW w:w="2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变动原因</w:t>
            </w:r>
          </w:p>
        </w:tc>
      </w:tr>
      <w:tr>
        <w:tblPrEx>
          <w:tblCellMar>
            <w:top w:w="0" w:type="dxa"/>
            <w:left w:w="0" w:type="dxa"/>
            <w:bottom w:w="0" w:type="dxa"/>
            <w:right w:w="0" w:type="dxa"/>
          </w:tblCellMar>
        </w:tblPrEx>
        <w:trPr>
          <w:trHeight w:val="560" w:hRule="atLeast"/>
        </w:trPr>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公务用车运行维护费</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6.57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w:t>
            </w:r>
          </w:p>
        </w:tc>
        <w:tc>
          <w:tcPr>
            <w:tcW w:w="2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单位租车费增多</w:t>
            </w:r>
          </w:p>
        </w:tc>
      </w:tr>
      <w:tr>
        <w:tblPrEx>
          <w:tblCellMar>
            <w:top w:w="0" w:type="dxa"/>
            <w:left w:w="0" w:type="dxa"/>
            <w:bottom w:w="0" w:type="dxa"/>
            <w:right w:w="0" w:type="dxa"/>
          </w:tblCellMar>
        </w:tblPrEx>
        <w:trPr>
          <w:trHeight w:val="560" w:hRule="atLeast"/>
        </w:trPr>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公务接待费</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188.26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186.7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2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4"/>
                <w:szCs w:val="24"/>
                <w:u w:val="none"/>
                <w:lang w:val="en-US" w:eastAsia="zh-CN" w:bidi="ar"/>
              </w:rPr>
              <w:t>同城不接待，缩减开支</w:t>
            </w:r>
          </w:p>
        </w:tc>
      </w:tr>
      <w:tr>
        <w:tblPrEx>
          <w:tblCellMar>
            <w:top w:w="0" w:type="dxa"/>
            <w:left w:w="0" w:type="dxa"/>
            <w:bottom w:w="0" w:type="dxa"/>
            <w:right w:w="0" w:type="dxa"/>
          </w:tblCellMar>
        </w:tblPrEx>
        <w:trPr>
          <w:trHeight w:val="560" w:hRule="atLeast"/>
        </w:trPr>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培训费</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1091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1147.86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5.2</w:t>
            </w:r>
          </w:p>
        </w:tc>
        <w:tc>
          <w:tcPr>
            <w:tcW w:w="2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4"/>
                <w:szCs w:val="24"/>
                <w:u w:val="none"/>
                <w:lang w:val="en-US" w:eastAsia="zh-CN" w:bidi="ar"/>
              </w:rPr>
              <w:t>公用经费提标，培训费增多</w:t>
            </w:r>
          </w:p>
        </w:tc>
      </w:tr>
      <w:tr>
        <w:tblPrEx>
          <w:tblCellMar>
            <w:top w:w="0" w:type="dxa"/>
            <w:left w:w="0" w:type="dxa"/>
            <w:bottom w:w="0" w:type="dxa"/>
            <w:right w:w="0" w:type="dxa"/>
          </w:tblCellMar>
        </w:tblPrEx>
        <w:trPr>
          <w:trHeight w:val="560" w:hRule="atLeast"/>
        </w:trPr>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会议费</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80.9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78.95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-0.2</w:t>
            </w:r>
          </w:p>
        </w:tc>
        <w:tc>
          <w:tcPr>
            <w:tcW w:w="2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缩减开支</w:t>
            </w:r>
          </w:p>
        </w:tc>
      </w:tr>
    </w:tbl>
    <w:p>
      <w:pPr>
        <w:adjustRightInd w:val="0"/>
        <w:snapToGrid w:val="0"/>
        <w:spacing w:line="600" w:lineRule="exact"/>
        <w:rPr>
          <w:rFonts w:hint="eastAsia" w:ascii="仿宋_GB2312" w:hAnsi="仿宋_GB2312" w:eastAsia="仿宋_GB2312" w:cs="仿宋_GB2312"/>
          <w:b/>
          <w:color w:val="000000" w:themeColor="text1"/>
          <w:sz w:val="28"/>
          <w:szCs w:val="28"/>
          <w14:textFill>
            <w14:solidFill>
              <w14:schemeClr w14:val="tx1"/>
            </w14:solidFill>
          </w14:textFill>
        </w:rPr>
      </w:pPr>
    </w:p>
    <w:p>
      <w:pPr>
        <w:keepNext w:val="0"/>
        <w:keepLines w:val="0"/>
        <w:pageBreakBefore w:val="0"/>
        <w:numPr>
          <w:ilvl w:val="0"/>
          <w:numId w:val="2"/>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000000" w:themeColor="text1"/>
          <w:sz w:val="30"/>
          <w:szCs w:val="30"/>
          <w:shd w:val="clear" w:color="auto" w:fill="FFFFFF"/>
          <w:lang w:eastAsia="zh-CN"/>
          <w14:textFill>
            <w14:solidFill>
              <w14:schemeClr w14:val="tx1"/>
            </w14:solidFill>
          </w14:textFill>
        </w:rPr>
        <w:t>政府性基金预算支出情况</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道县教育系统2021年无政府性基金预算。</w:t>
      </w:r>
    </w:p>
    <w:p>
      <w:pPr>
        <w:keepNext w:val="0"/>
        <w:keepLines w:val="0"/>
        <w:pageBreakBefore w:val="0"/>
        <w:numPr>
          <w:ilvl w:val="0"/>
          <w:numId w:val="0"/>
        </w:numPr>
        <w:kinsoku/>
        <w:wordWrap/>
        <w:overflowPunct/>
        <w:topLinePunct w:val="0"/>
        <w:autoSpaceDE/>
        <w:autoSpaceDN/>
        <w:bidi w:val="0"/>
        <w:spacing w:line="520" w:lineRule="exact"/>
        <w:ind w:right="11" w:rightChars="0" w:firstLine="600" w:firstLineChars="200"/>
        <w:textAlignment w:val="auto"/>
        <w:rPr>
          <w:rFonts w:hint="eastAsia" w:ascii="仿宋_GB2312" w:hAnsi="仿宋_GB2312" w:eastAsia="仿宋_GB2312" w:cs="仿宋_GB2312"/>
          <w:b/>
          <w:bCs/>
          <w:color w:val="010101"/>
          <w:sz w:val="30"/>
          <w:szCs w:val="30"/>
          <w:lang w:val="en-US" w:eastAsia="zh-CN"/>
        </w:rPr>
      </w:pPr>
      <w:r>
        <w:rPr>
          <w:rFonts w:hint="eastAsia" w:ascii="仿宋_GB2312" w:hAnsi="仿宋_GB2312" w:eastAsia="仿宋_GB2312" w:cs="仿宋_GB2312"/>
          <w:b/>
          <w:bCs/>
          <w:color w:val="010101"/>
          <w:sz w:val="30"/>
          <w:szCs w:val="30"/>
          <w:lang w:val="en-US" w:eastAsia="zh-CN"/>
        </w:rPr>
        <w:t>四、国有资本经营预算支出情况</w:t>
      </w:r>
    </w:p>
    <w:p>
      <w:pPr>
        <w:keepNext w:val="0"/>
        <w:keepLines w:val="0"/>
        <w:pageBreakBefore w:val="0"/>
        <w:numPr>
          <w:ilvl w:val="0"/>
          <w:numId w:val="0"/>
        </w:numPr>
        <w:kinsoku/>
        <w:wordWrap/>
        <w:overflowPunct/>
        <w:topLinePunct w:val="0"/>
        <w:autoSpaceDE/>
        <w:autoSpaceDN/>
        <w:bidi w:val="0"/>
        <w:spacing w:line="520" w:lineRule="exact"/>
        <w:ind w:right="11" w:rightChars="0" w:firstLine="600" w:firstLineChars="200"/>
        <w:textAlignment w:val="auto"/>
        <w:rPr>
          <w:rFonts w:hint="eastAsia" w:ascii="仿宋_GB2312" w:hAnsi="仿宋_GB2312" w:eastAsia="仿宋_GB2312" w:cs="仿宋_GB2312"/>
          <w:b w:val="0"/>
          <w:bCs w:val="0"/>
          <w:color w:val="010101"/>
          <w:sz w:val="30"/>
          <w:szCs w:val="30"/>
          <w:lang w:val="en-US" w:eastAsia="zh-CN"/>
        </w:rPr>
      </w:pPr>
      <w:r>
        <w:rPr>
          <w:rFonts w:hint="eastAsia" w:ascii="仿宋_GB2312" w:hAnsi="仿宋_GB2312" w:eastAsia="仿宋_GB2312" w:cs="仿宋_GB2312"/>
          <w:sz w:val="30"/>
          <w:szCs w:val="30"/>
          <w:lang w:val="en-US" w:eastAsia="zh-CN"/>
        </w:rPr>
        <w:t>道县教育系统</w:t>
      </w:r>
      <w:r>
        <w:rPr>
          <w:rFonts w:hint="eastAsia" w:ascii="仿宋_GB2312" w:hAnsi="仿宋_GB2312" w:eastAsia="仿宋_GB2312" w:cs="仿宋_GB2312"/>
          <w:b w:val="0"/>
          <w:bCs w:val="0"/>
          <w:color w:val="010101"/>
          <w:sz w:val="30"/>
          <w:szCs w:val="30"/>
          <w:lang w:val="en-US" w:eastAsia="zh-CN"/>
        </w:rPr>
        <w:t>2021年无国有资本经营预算支出。</w:t>
      </w:r>
    </w:p>
    <w:p>
      <w:pPr>
        <w:keepNext w:val="0"/>
        <w:keepLines w:val="0"/>
        <w:pageBreakBefore w:val="0"/>
        <w:numPr>
          <w:ilvl w:val="0"/>
          <w:numId w:val="0"/>
        </w:numPr>
        <w:kinsoku/>
        <w:wordWrap/>
        <w:overflowPunct/>
        <w:topLinePunct w:val="0"/>
        <w:autoSpaceDE/>
        <w:autoSpaceDN/>
        <w:bidi w:val="0"/>
        <w:spacing w:line="520" w:lineRule="exact"/>
        <w:ind w:right="11" w:rightChars="0" w:firstLine="600" w:firstLineChars="200"/>
        <w:textAlignment w:val="auto"/>
        <w:rPr>
          <w:rFonts w:hint="eastAsia" w:ascii="仿宋_GB2312" w:hAnsi="仿宋_GB2312" w:eastAsia="仿宋_GB2312" w:cs="仿宋_GB2312"/>
          <w:b/>
          <w:color w:val="010101"/>
          <w:sz w:val="30"/>
          <w:szCs w:val="30"/>
          <w:lang w:val="en-US" w:eastAsia="zh-CN"/>
        </w:rPr>
      </w:pPr>
      <w:r>
        <w:rPr>
          <w:rFonts w:hint="eastAsia" w:ascii="仿宋_GB2312" w:hAnsi="仿宋_GB2312" w:eastAsia="仿宋_GB2312" w:cs="仿宋_GB2312"/>
          <w:b/>
          <w:bCs/>
          <w:color w:val="010101"/>
          <w:sz w:val="30"/>
          <w:szCs w:val="30"/>
          <w:lang w:val="en-US" w:eastAsia="zh-CN"/>
        </w:rPr>
        <w:t>五</w:t>
      </w:r>
      <w:r>
        <w:rPr>
          <w:rFonts w:hint="eastAsia" w:ascii="仿宋_GB2312" w:hAnsi="仿宋_GB2312" w:eastAsia="仿宋_GB2312" w:cs="仿宋_GB2312"/>
          <w:b w:val="0"/>
          <w:bCs/>
          <w:color w:val="010101"/>
          <w:sz w:val="30"/>
          <w:szCs w:val="30"/>
          <w:lang w:val="en-US" w:eastAsia="zh-CN"/>
        </w:rPr>
        <w:t>、</w:t>
      </w:r>
      <w:r>
        <w:rPr>
          <w:rFonts w:hint="eastAsia" w:ascii="仿宋_GB2312" w:hAnsi="仿宋_GB2312" w:eastAsia="仿宋_GB2312" w:cs="仿宋_GB2312"/>
          <w:b/>
          <w:color w:val="010101"/>
          <w:sz w:val="30"/>
          <w:szCs w:val="30"/>
          <w:lang w:val="en-US" w:eastAsia="zh-CN"/>
        </w:rPr>
        <w:t>社会保险基金预算支出情况</w:t>
      </w:r>
    </w:p>
    <w:p>
      <w:pPr>
        <w:keepNext w:val="0"/>
        <w:keepLines w:val="0"/>
        <w:pageBreakBefore w:val="0"/>
        <w:numPr>
          <w:ilvl w:val="0"/>
          <w:numId w:val="0"/>
        </w:numPr>
        <w:kinsoku/>
        <w:wordWrap/>
        <w:overflowPunct/>
        <w:topLinePunct w:val="0"/>
        <w:autoSpaceDE/>
        <w:autoSpaceDN/>
        <w:bidi w:val="0"/>
        <w:spacing w:line="520" w:lineRule="exact"/>
        <w:ind w:right="11" w:rightChars="0" w:firstLine="600" w:firstLineChars="200"/>
        <w:textAlignment w:val="auto"/>
        <w:rPr>
          <w:rFonts w:hint="eastAsia" w:ascii="仿宋_GB2312" w:hAnsi="仿宋_GB2312" w:eastAsia="仿宋_GB2312" w:cs="仿宋_GB2312"/>
          <w:b/>
          <w:color w:val="010101"/>
          <w:sz w:val="30"/>
          <w:szCs w:val="30"/>
          <w:lang w:eastAsia="zh-CN"/>
        </w:rPr>
      </w:pPr>
      <w:r>
        <w:rPr>
          <w:rFonts w:hint="eastAsia" w:ascii="仿宋_GB2312" w:hAnsi="仿宋_GB2312" w:eastAsia="仿宋_GB2312" w:cs="仿宋_GB2312"/>
          <w:sz w:val="30"/>
          <w:szCs w:val="30"/>
          <w:lang w:val="en-US" w:eastAsia="zh-CN"/>
        </w:rPr>
        <w:t>道县教育系统</w:t>
      </w:r>
      <w:r>
        <w:rPr>
          <w:rFonts w:hint="eastAsia" w:ascii="仿宋_GB2312" w:hAnsi="仿宋_GB2312" w:eastAsia="仿宋_GB2312" w:cs="仿宋_GB2312"/>
          <w:b w:val="0"/>
          <w:bCs/>
          <w:color w:val="010101"/>
          <w:sz w:val="30"/>
          <w:szCs w:val="30"/>
          <w:lang w:val="en-US" w:eastAsia="zh-CN"/>
        </w:rPr>
        <w:t>2021年无社会保险基金预算支出。</w:t>
      </w:r>
    </w:p>
    <w:p>
      <w:pPr>
        <w:keepNext w:val="0"/>
        <w:keepLines w:val="0"/>
        <w:pageBreakBefore w:val="0"/>
        <w:kinsoku/>
        <w:wordWrap/>
        <w:overflowPunct/>
        <w:topLinePunct w:val="0"/>
        <w:autoSpaceDE/>
        <w:autoSpaceDN/>
        <w:bidi w:val="0"/>
        <w:spacing w:line="520" w:lineRule="exact"/>
        <w:ind w:right="11" w:firstLine="600" w:firstLineChars="200"/>
        <w:textAlignment w:val="auto"/>
        <w:rPr>
          <w:rFonts w:hint="eastAsia" w:ascii="仿宋_GB2312" w:hAnsi="仿宋_GB2312" w:eastAsia="仿宋_GB2312" w:cs="仿宋_GB2312"/>
          <w:b/>
          <w:color w:val="010101"/>
          <w:sz w:val="30"/>
          <w:szCs w:val="30"/>
        </w:rPr>
      </w:pPr>
      <w:r>
        <w:rPr>
          <w:rFonts w:hint="eastAsia" w:ascii="仿宋_GB2312" w:hAnsi="仿宋_GB2312" w:eastAsia="仿宋_GB2312" w:cs="仿宋_GB2312"/>
          <w:b/>
          <w:color w:val="010101"/>
          <w:sz w:val="30"/>
          <w:szCs w:val="30"/>
          <w:lang w:eastAsia="zh-CN"/>
        </w:rPr>
        <w:t>六</w:t>
      </w:r>
      <w:r>
        <w:rPr>
          <w:rFonts w:hint="eastAsia" w:ascii="仿宋_GB2312" w:hAnsi="仿宋_GB2312" w:eastAsia="仿宋_GB2312" w:cs="仿宋_GB2312"/>
          <w:b/>
          <w:color w:val="010101"/>
          <w:sz w:val="30"/>
          <w:szCs w:val="30"/>
        </w:rPr>
        <w:t>、部门整体支出绩效情况</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sz w:val="30"/>
          <w:szCs w:val="30"/>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t>学校实行国库集中支付，各校均严格相关法律法规规定，按照县财政关于公务接待、会议费、差旅费等规定执行，厉行节约， “三公”经费实现了有效压减。</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2</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sz w:val="30"/>
          <w:szCs w:val="30"/>
        </w:rPr>
        <w:t>完善质量攻坚机制，落实质量攻坚举措，扎扎实实推进质量攻坚。全县高考本科上线人数突破1726人，二本同口径上线1205人，较去年净增179人，其中一本同口径上线501人，较去年增加151人，实现高考一、二本“五连增”；初三毕业合格率、选优秀率分别为58.7%、30.94%，较上年提高29.5%、25.37%，全科平均合格率、优秀率全市排名较上年均提升1个名次；小学六年级毕业合格率为84.6%，优秀率为63.68%，人均合格率、优秀率均较上年度有较大提高（21.02%、33.55%）。县教育局获评全省在线备课大赛优秀组织单位，县五中获评全国中小学中华优秀传统文化传承校，工贸学校在全省职业院校技能竞赛中获得殊荣。</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3</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sz w:val="30"/>
          <w:szCs w:val="30"/>
        </w:rPr>
        <w:t>按照保教保学要求，抓好城区学校扩容提质，启动敦颐学校、东洲学校、道县七小等配套基础设施建设和城南幼儿园迁建，西洲芙蓉学校、谷源学校启动招生办学；实施公办学前教育学位扩容，完成小甲中心幼儿园、六小、八小、岑江渡小学、新车小学附属幼儿园改扩建，新增学位662个；推进两类学校建设，实施洪塘营中心小学、白马渡中心小学等6所寄宿制学校建设，提质改造清溪小学、上李小学等20个教学点，落实了公办附设园独立办学，城乡教育布局持续优化。</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4</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sz w:val="30"/>
          <w:szCs w:val="30"/>
        </w:rPr>
        <w:t>通过公开招聘、人才引进、特岗指标、接收公费定向培养示范毕业生、返聘退休教师、接收县外编制教师等途径补充教师1085人；采取校地联合培养方式，协调湖南科技学院等3所高等院校112名师范专业应届毕业生前来顶岗实习，送培公费定向师范生297名。组织开展教师继续教育培训、学科教师培训及新招录教师适岗培训18期，累计培训教师4600人次，组织开展了名师、名课评选，评选县级名师、骨干教师及学科带头人253人，评选县级名课93节。3名教师获得正高级职称，159名乡村教师获评专项副高职称。</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5</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sz w:val="30"/>
          <w:szCs w:val="30"/>
        </w:rPr>
        <w:t>落实高考综合改革，圆满完成2021年湖南省3+1+2新高考首考组考任务，全县共有6391名高三阶段考生、9602名高一、高二考生参加新高考。围绕义务教育“双减”政策，推动课后服务和校外培训机构规范化管理，停办校外培训机构办学4所。严格控制民办义务教育学校招生比例，落实在民办义务教育学校教师返回公办学校任教。</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6</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sz w:val="30"/>
          <w:szCs w:val="30"/>
        </w:rPr>
        <w:t>落实建档立卡学生和贫困生生活补贴发放及减免，发放各学段助学金及生活补助1802万元，减免学杂费及教科书231万元；发放高校新生交通补助12万元，新增生源地助学贷款2748人次，发放助学贷款2464万元。针对暑期防溺水工作压力大的形势，组织开展了“千师访万家”活动和县级领导带队督查防溺水工作，防学生溺水工作典型经验在全国、全省进行推广。</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b/>
          <w:bCs/>
          <w:color w:val="auto"/>
          <w:sz w:val="30"/>
          <w:szCs w:val="30"/>
          <w:shd w:val="clear" w:color="auto" w:fill="FFFFFF"/>
          <w:lang w:eastAsia="zh-CN"/>
        </w:rPr>
      </w:pPr>
      <w:r>
        <w:rPr>
          <w:rFonts w:hint="eastAsia" w:ascii="仿宋_GB2312" w:hAnsi="仿宋_GB2312" w:eastAsia="仿宋_GB2312" w:cs="仿宋_GB2312"/>
          <w:b/>
          <w:bCs/>
          <w:color w:val="auto"/>
          <w:sz w:val="30"/>
          <w:szCs w:val="30"/>
          <w:shd w:val="clear" w:color="auto" w:fill="FFFFFF"/>
          <w:lang w:eastAsia="zh-CN"/>
        </w:rPr>
        <w:t>七</w:t>
      </w:r>
      <w:r>
        <w:rPr>
          <w:rFonts w:hint="eastAsia" w:ascii="仿宋_GB2312" w:hAnsi="仿宋_GB2312" w:eastAsia="仿宋_GB2312" w:cs="仿宋_GB2312"/>
          <w:b/>
          <w:bCs/>
          <w:color w:val="auto"/>
          <w:sz w:val="30"/>
          <w:szCs w:val="30"/>
          <w:shd w:val="clear" w:color="auto" w:fill="FFFFFF"/>
        </w:rPr>
        <w:t>、存在的问题</w:t>
      </w:r>
      <w:r>
        <w:rPr>
          <w:rFonts w:hint="eastAsia" w:ascii="仿宋_GB2312" w:hAnsi="仿宋_GB2312" w:eastAsia="仿宋_GB2312" w:cs="仿宋_GB2312"/>
          <w:b/>
          <w:bCs/>
          <w:color w:val="auto"/>
          <w:sz w:val="30"/>
          <w:szCs w:val="30"/>
          <w:shd w:val="clear" w:color="auto" w:fill="FFFFFF"/>
          <w:lang w:eastAsia="zh-CN"/>
        </w:rPr>
        <w:t>及原因分析</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预算编制工作有待细化。预算编制不够明确和细化，预算编制的合理性需要提高，预算执行力度还要进一步加强。</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提高对预算编制重要性的认识，严格按照财政部门要求编制部门预算，认真做好编制前的准备工作，合理确定收入来源，预算收支数字必须依据充分确定的资料，努力提高预算的透明度。</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333333"/>
          <w:sz w:val="30"/>
          <w:szCs w:val="30"/>
          <w:lang w:val="en-US" w:eastAsia="zh-CN"/>
        </w:rPr>
        <w:t>3、</w:t>
      </w:r>
      <w:r>
        <w:rPr>
          <w:rFonts w:hint="eastAsia" w:ascii="仿宋_GB2312" w:hAnsi="仿宋_GB2312" w:eastAsia="仿宋_GB2312" w:cs="仿宋_GB2312"/>
          <w:color w:val="333333"/>
          <w:sz w:val="30"/>
          <w:szCs w:val="30"/>
        </w:rPr>
        <w:t>部分预算资金支付进度稍缓，预算执行率降低。绩效目标设置有待进一步优化。目标不够明确、细化和量化，有待进一步提高可操作性。</w:t>
      </w:r>
      <w:r>
        <w:rPr>
          <w:rFonts w:hint="eastAsia" w:ascii="仿宋_GB2312" w:hAnsi="仿宋_GB2312" w:eastAsia="仿宋_GB2312" w:cs="仿宋_GB2312"/>
          <w:color w:val="auto"/>
          <w:sz w:val="30"/>
          <w:szCs w:val="30"/>
          <w:lang w:val="en-US" w:eastAsia="zh-CN"/>
        </w:rPr>
        <w:t xml:space="preserve">    </w:t>
      </w:r>
    </w:p>
    <w:p>
      <w:pPr>
        <w:pStyle w:val="6"/>
        <w:keepNext w:val="0"/>
        <w:keepLines w:val="0"/>
        <w:pageBreakBefore w:val="0"/>
        <w:widowControl/>
        <w:kinsoku/>
        <w:wordWrap/>
        <w:overflowPunct/>
        <w:topLinePunct w:val="0"/>
        <w:autoSpaceDE/>
        <w:autoSpaceDN/>
        <w:bidi w:val="0"/>
        <w:spacing w:before="0" w:beforeAutospacing="0" w:after="0" w:afterAutospacing="0" w:line="520" w:lineRule="exact"/>
        <w:ind w:right="11" w:firstLine="600" w:firstLineChars="200"/>
        <w:textAlignment w:val="auto"/>
        <w:rPr>
          <w:rFonts w:hint="eastAsia" w:ascii="仿宋_GB2312" w:hAnsi="仿宋_GB2312" w:eastAsia="仿宋_GB2312" w:cs="仿宋_GB2312"/>
          <w:b/>
          <w:bCs w:val="0"/>
          <w:color w:val="000000"/>
          <w:sz w:val="30"/>
          <w:szCs w:val="30"/>
          <w:lang w:eastAsia="zh-CN"/>
        </w:rPr>
      </w:pPr>
      <w:r>
        <w:rPr>
          <w:rFonts w:hint="eastAsia" w:ascii="仿宋_GB2312" w:hAnsi="仿宋_GB2312" w:eastAsia="仿宋_GB2312" w:cs="仿宋_GB2312"/>
          <w:b/>
          <w:bCs w:val="0"/>
          <w:color w:val="000000"/>
          <w:sz w:val="30"/>
          <w:szCs w:val="30"/>
          <w:lang w:eastAsia="zh-CN"/>
        </w:rPr>
        <w:t>八、下一步改进措施</w:t>
      </w:r>
    </w:p>
    <w:p>
      <w:pPr>
        <w:pStyle w:val="6"/>
        <w:keepNext w:val="0"/>
        <w:keepLines w:val="0"/>
        <w:pageBreakBefore w:val="0"/>
        <w:widowControl/>
        <w:kinsoku/>
        <w:wordWrap/>
        <w:overflowPunct/>
        <w:topLinePunct w:val="0"/>
        <w:autoSpaceDE/>
        <w:autoSpaceDN/>
        <w:bidi w:val="0"/>
        <w:spacing w:before="0" w:beforeAutospacing="0" w:after="0" w:afterAutospacing="0" w:line="520" w:lineRule="exact"/>
        <w:ind w:right="11"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细化预算编制工作，认真做好预算的编制。进一步加强</w:t>
      </w:r>
      <w:r>
        <w:rPr>
          <w:rFonts w:hint="eastAsia" w:ascii="仿宋_GB2312" w:hAnsi="仿宋_GB2312" w:eastAsia="仿宋_GB2312" w:cs="仿宋_GB2312"/>
          <w:sz w:val="30"/>
          <w:szCs w:val="30"/>
          <w:lang w:eastAsia="zh-CN"/>
        </w:rPr>
        <w:t>单位和学校</w:t>
      </w:r>
      <w:r>
        <w:rPr>
          <w:rFonts w:hint="eastAsia" w:ascii="仿宋_GB2312" w:hAnsi="仿宋_GB2312" w:eastAsia="仿宋_GB2312" w:cs="仿宋_GB2312"/>
          <w:sz w:val="30"/>
          <w:szCs w:val="30"/>
        </w:rPr>
        <w:t>的预算管理意识，严格按照预算编制的相关制度和要求进行预算编制</w:t>
      </w:r>
      <w:r>
        <w:rPr>
          <w:rFonts w:hint="eastAsia" w:ascii="仿宋_GB2312" w:hAnsi="仿宋_GB2312" w:eastAsia="仿宋_GB2312" w:cs="仿宋_GB2312"/>
          <w:sz w:val="30"/>
          <w:szCs w:val="30"/>
          <w:lang w:eastAsia="zh-CN"/>
        </w:rPr>
        <w:t>。</w:t>
      </w:r>
    </w:p>
    <w:p>
      <w:pPr>
        <w:pStyle w:val="6"/>
        <w:keepNext w:val="0"/>
        <w:keepLines w:val="0"/>
        <w:pageBreakBefore w:val="0"/>
        <w:widowControl/>
        <w:kinsoku/>
        <w:wordWrap/>
        <w:overflowPunct/>
        <w:topLinePunct w:val="0"/>
        <w:autoSpaceDE/>
        <w:autoSpaceDN/>
        <w:bidi w:val="0"/>
        <w:spacing w:before="0" w:beforeAutospacing="0" w:after="0" w:afterAutospacing="0" w:line="520" w:lineRule="exact"/>
        <w:ind w:right="11"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2、加强财务管理，严格财务审核。健全单位财务管理制度体系，规范单位财务行为。在费用报账支付时，按照预算规定的费用项目和用途进行资金使用审核、列报支付、财务核算，杜绝超支现象的发生。</w:t>
      </w:r>
    </w:p>
    <w:p>
      <w:pPr>
        <w:pStyle w:val="6"/>
        <w:keepNext w:val="0"/>
        <w:keepLines w:val="0"/>
        <w:pageBreakBefore w:val="0"/>
        <w:widowControl/>
        <w:kinsoku/>
        <w:wordWrap/>
        <w:overflowPunct/>
        <w:topLinePunct w:val="0"/>
        <w:autoSpaceDE/>
        <w:autoSpaceDN/>
        <w:bidi w:val="0"/>
        <w:spacing w:before="0" w:beforeAutospacing="0" w:after="0" w:afterAutospacing="0" w:line="520" w:lineRule="exact"/>
        <w:ind w:right="11"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、对</w:t>
      </w:r>
      <w:r>
        <w:rPr>
          <w:rFonts w:hint="eastAsia" w:ascii="仿宋_GB2312" w:hAnsi="仿宋_GB2312" w:eastAsia="仿宋_GB2312" w:cs="仿宋_GB2312"/>
          <w:sz w:val="30"/>
          <w:szCs w:val="30"/>
          <w:lang w:eastAsia="zh-CN"/>
        </w:rPr>
        <w:t>财务</w:t>
      </w:r>
      <w:r>
        <w:rPr>
          <w:rFonts w:hint="eastAsia" w:ascii="仿宋_GB2312" w:hAnsi="仿宋_GB2312" w:eastAsia="仿宋_GB2312" w:cs="仿宋_GB2312"/>
          <w:sz w:val="30"/>
          <w:szCs w:val="30"/>
        </w:rPr>
        <w:t>人员加强培训，特别是针对《预算法》《行政事业单位会计制度》等学习培训，规范部门预算收支核算，切实提高部门预算收支管理水平。</w:t>
      </w:r>
      <w:bookmarkStart w:id="3" w:name="_Toc9436397"/>
      <w:bookmarkEnd w:id="3"/>
    </w:p>
    <w:p>
      <w:pPr>
        <w:pStyle w:val="6"/>
        <w:keepNext w:val="0"/>
        <w:keepLines w:val="0"/>
        <w:pageBreakBefore w:val="0"/>
        <w:widowControl/>
        <w:kinsoku/>
        <w:wordWrap/>
        <w:overflowPunct/>
        <w:topLinePunct w:val="0"/>
        <w:autoSpaceDE/>
        <w:autoSpaceDN/>
        <w:bidi w:val="0"/>
        <w:spacing w:before="0" w:beforeAutospacing="0" w:after="0" w:afterAutospacing="0" w:line="520" w:lineRule="exact"/>
        <w:ind w:right="11"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lang w:val="en-US" w:eastAsia="zh-CN"/>
        </w:rPr>
        <w:t>4、</w:t>
      </w:r>
      <w:r>
        <w:rPr>
          <w:rFonts w:hint="eastAsia" w:ascii="仿宋_GB2312" w:hAnsi="仿宋_GB2312" w:eastAsia="仿宋_GB2312" w:cs="仿宋_GB2312"/>
          <w:color w:val="333333"/>
          <w:sz w:val="30"/>
          <w:szCs w:val="30"/>
        </w:rPr>
        <w:t>加强资金使用与监管，合理安排资金支付进度，提高资金使用效益</w:t>
      </w:r>
      <w:bookmarkStart w:id="4" w:name="_Toc9436398"/>
      <w:bookmarkEnd w:id="4"/>
      <w:r>
        <w:rPr>
          <w:rFonts w:hint="eastAsia" w:ascii="仿宋_GB2312" w:hAnsi="仿宋_GB2312" w:eastAsia="仿宋_GB2312" w:cs="仿宋_GB2312"/>
          <w:color w:val="333333"/>
          <w:sz w:val="30"/>
          <w:szCs w:val="30"/>
        </w:rPr>
        <w:t>。进一步规范绩效目标编制，在编制项目资金绩效目标时，要求指向明确、细化量化、合理可行、相应匹配。</w:t>
      </w:r>
    </w:p>
    <w:p>
      <w:pPr>
        <w:pStyle w:val="6"/>
        <w:keepNext w:val="0"/>
        <w:keepLines w:val="0"/>
        <w:pageBreakBefore w:val="0"/>
        <w:widowControl/>
        <w:kinsoku/>
        <w:wordWrap/>
        <w:overflowPunct/>
        <w:topLinePunct w:val="0"/>
        <w:autoSpaceDE/>
        <w:autoSpaceDN/>
        <w:bidi w:val="0"/>
        <w:spacing w:before="0" w:beforeAutospacing="0" w:after="0" w:afterAutospacing="0" w:line="520" w:lineRule="exact"/>
        <w:ind w:right="11" w:firstLine="600"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九、绩效自评结果拟应用和公开情况</w:t>
      </w:r>
      <w:bookmarkStart w:id="5" w:name="_Toc9436408"/>
      <w:bookmarkEnd w:id="5"/>
    </w:p>
    <w:p>
      <w:pPr>
        <w:pStyle w:val="6"/>
        <w:keepNext w:val="0"/>
        <w:keepLines w:val="0"/>
        <w:pageBreakBefore w:val="0"/>
        <w:widowControl/>
        <w:kinsoku/>
        <w:wordWrap/>
        <w:overflowPunct/>
        <w:topLinePunct w:val="0"/>
        <w:autoSpaceDE/>
        <w:autoSpaceDN/>
        <w:bidi w:val="0"/>
        <w:spacing w:before="0" w:beforeAutospacing="0" w:after="0" w:afterAutospacing="0" w:line="520" w:lineRule="exact"/>
        <w:ind w:right="11"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通过绩效自评，进一步掌握了资金使用情况和取得的效果，发现了工作中存在的问题和不足，为今后加强资金使用管理、完善资金绩效管理、提高资金使用效益工作提供了重要的参考依据。</w:t>
      </w:r>
      <w:bookmarkStart w:id="6" w:name="_Toc9436409"/>
      <w:bookmarkEnd w:id="6"/>
      <w:r>
        <w:rPr>
          <w:rFonts w:hint="eastAsia" w:ascii="仿宋_GB2312" w:hAnsi="仿宋_GB2312" w:eastAsia="仿宋_GB2312" w:cs="仿宋_GB2312"/>
          <w:color w:val="333333"/>
          <w:sz w:val="30"/>
          <w:szCs w:val="30"/>
        </w:rPr>
        <w:t>按规定时间将此次绩效自评报告在本单位门户网站上予以公布，向社会公开，广泛接受群众监督。</w:t>
      </w:r>
    </w:p>
    <w:p>
      <w:pPr>
        <w:adjustRightInd w:val="0"/>
        <w:snapToGrid w:val="0"/>
        <w:spacing w:line="600" w:lineRule="exact"/>
        <w:ind w:firstLine="6150" w:firstLineChars="2050"/>
        <w:rPr>
          <w:rFonts w:hint="eastAsia" w:ascii="仿宋_GB2312" w:hAnsi="仿宋_GB2312" w:eastAsia="仿宋_GB2312" w:cs="仿宋_GB2312"/>
          <w:color w:val="000000"/>
          <w:sz w:val="30"/>
          <w:szCs w:val="30"/>
          <w:shd w:val="clear" w:color="auto" w:fill="FFFFFF"/>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CE656"/>
    <w:multiLevelType w:val="singleLevel"/>
    <w:tmpl w:val="12FCE656"/>
    <w:lvl w:ilvl="0" w:tentative="0">
      <w:start w:val="3"/>
      <w:numFmt w:val="chineseCounting"/>
      <w:suff w:val="nothing"/>
      <w:lvlText w:val="%1、"/>
      <w:lvlJc w:val="left"/>
      <w:rPr>
        <w:rFonts w:hint="eastAsia"/>
      </w:rPr>
    </w:lvl>
  </w:abstractNum>
  <w:abstractNum w:abstractNumId="1">
    <w:nsid w:val="4F90A65E"/>
    <w:multiLevelType w:val="singleLevel"/>
    <w:tmpl w:val="4F90A65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4A545AD"/>
    <w:rsid w:val="064526CC"/>
    <w:rsid w:val="067526A6"/>
    <w:rsid w:val="075860A1"/>
    <w:rsid w:val="09BA7D0B"/>
    <w:rsid w:val="0A40121D"/>
    <w:rsid w:val="0A8B40E6"/>
    <w:rsid w:val="0ADE5034"/>
    <w:rsid w:val="0C41127C"/>
    <w:rsid w:val="0C992E66"/>
    <w:rsid w:val="0D83258B"/>
    <w:rsid w:val="0F31382A"/>
    <w:rsid w:val="136202C9"/>
    <w:rsid w:val="14B6097D"/>
    <w:rsid w:val="157E709D"/>
    <w:rsid w:val="165A5414"/>
    <w:rsid w:val="18343E3D"/>
    <w:rsid w:val="184C5231"/>
    <w:rsid w:val="18E7372F"/>
    <w:rsid w:val="1D41732E"/>
    <w:rsid w:val="1F20693A"/>
    <w:rsid w:val="1F3D06D2"/>
    <w:rsid w:val="1F59608C"/>
    <w:rsid w:val="1F6317DE"/>
    <w:rsid w:val="211A5133"/>
    <w:rsid w:val="23A33068"/>
    <w:rsid w:val="250C69E6"/>
    <w:rsid w:val="265A6D6B"/>
    <w:rsid w:val="2A437731"/>
    <w:rsid w:val="2ABB3E95"/>
    <w:rsid w:val="2AE942AA"/>
    <w:rsid w:val="2AF23C2C"/>
    <w:rsid w:val="2B0C2F93"/>
    <w:rsid w:val="2B200583"/>
    <w:rsid w:val="2D1C0C0C"/>
    <w:rsid w:val="2D4F6EFD"/>
    <w:rsid w:val="2DCE2518"/>
    <w:rsid w:val="2E7D2441"/>
    <w:rsid w:val="30BE6AF0"/>
    <w:rsid w:val="30FB4C0B"/>
    <w:rsid w:val="31680134"/>
    <w:rsid w:val="3216623C"/>
    <w:rsid w:val="33863895"/>
    <w:rsid w:val="3428494C"/>
    <w:rsid w:val="344D1701"/>
    <w:rsid w:val="35345415"/>
    <w:rsid w:val="37B704C1"/>
    <w:rsid w:val="3999711F"/>
    <w:rsid w:val="39B822CE"/>
    <w:rsid w:val="3B037AD7"/>
    <w:rsid w:val="3C3D3D14"/>
    <w:rsid w:val="3C806354"/>
    <w:rsid w:val="405D597D"/>
    <w:rsid w:val="411E232A"/>
    <w:rsid w:val="41555735"/>
    <w:rsid w:val="430A1D0C"/>
    <w:rsid w:val="4537679D"/>
    <w:rsid w:val="45E71F71"/>
    <w:rsid w:val="479F09BE"/>
    <w:rsid w:val="48A712BD"/>
    <w:rsid w:val="4BA15CE6"/>
    <w:rsid w:val="4D715568"/>
    <w:rsid w:val="4E4D2773"/>
    <w:rsid w:val="51B354F7"/>
    <w:rsid w:val="520D0FB1"/>
    <w:rsid w:val="52A66872"/>
    <w:rsid w:val="530E3233"/>
    <w:rsid w:val="54FD480B"/>
    <w:rsid w:val="566149C3"/>
    <w:rsid w:val="572B3928"/>
    <w:rsid w:val="57A81AFA"/>
    <w:rsid w:val="589007DD"/>
    <w:rsid w:val="592A069B"/>
    <w:rsid w:val="594C074B"/>
    <w:rsid w:val="59987F3E"/>
    <w:rsid w:val="5A5F47D7"/>
    <w:rsid w:val="5A7C4F26"/>
    <w:rsid w:val="5CAC6B74"/>
    <w:rsid w:val="5CEA2869"/>
    <w:rsid w:val="5F0B4ACB"/>
    <w:rsid w:val="62261C1B"/>
    <w:rsid w:val="65A12A86"/>
    <w:rsid w:val="66AD6467"/>
    <w:rsid w:val="66E07D38"/>
    <w:rsid w:val="67912D2E"/>
    <w:rsid w:val="67A621D7"/>
    <w:rsid w:val="67DB0DB2"/>
    <w:rsid w:val="69524E67"/>
    <w:rsid w:val="6A6C0F2E"/>
    <w:rsid w:val="6A9E67F3"/>
    <w:rsid w:val="6B166CD1"/>
    <w:rsid w:val="6B686E01"/>
    <w:rsid w:val="6BF3402C"/>
    <w:rsid w:val="6CCB5899"/>
    <w:rsid w:val="6CDA5ADC"/>
    <w:rsid w:val="6DAB3230"/>
    <w:rsid w:val="6E366170"/>
    <w:rsid w:val="6EA97E5C"/>
    <w:rsid w:val="6FC82564"/>
    <w:rsid w:val="70ED4030"/>
    <w:rsid w:val="716F3541"/>
    <w:rsid w:val="71B0505E"/>
    <w:rsid w:val="726522EC"/>
    <w:rsid w:val="73373C88"/>
    <w:rsid w:val="75030E61"/>
    <w:rsid w:val="75153B55"/>
    <w:rsid w:val="75C73D87"/>
    <w:rsid w:val="75F865F3"/>
    <w:rsid w:val="76706EBF"/>
    <w:rsid w:val="785726D7"/>
    <w:rsid w:val="79352A18"/>
    <w:rsid w:val="79442C5B"/>
    <w:rsid w:val="795D35B9"/>
    <w:rsid w:val="7C6778EF"/>
    <w:rsid w:val="7CDE33C7"/>
    <w:rsid w:val="7D00333D"/>
    <w:rsid w:val="7ED06D3F"/>
    <w:rsid w:val="7F4A4D43"/>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paragraph" w:customStyle="1" w:styleId="14">
    <w:name w:val="181"/>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22"/>
    <w:basedOn w:val="8"/>
    <w:qFormat/>
    <w:uiPriority w:val="0"/>
    <w:rPr>
      <w:rFonts w:hint="default" w:ascii="Calibri" w:hAnsi="Calibri" w:cs="Calibri"/>
      <w:b/>
      <w:bCs/>
    </w:rPr>
  </w:style>
  <w:style w:type="character" w:customStyle="1" w:styleId="16">
    <w:name w:val="18"/>
    <w:basedOn w:val="8"/>
    <w:qFormat/>
    <w:uiPriority w:val="0"/>
    <w:rPr>
      <w:rFonts w:hint="default" w:ascii="Calibri" w:hAnsi="Calibri" w:cs="Calibri"/>
    </w:rPr>
  </w:style>
  <w:style w:type="paragraph" w:customStyle="1" w:styleId="17">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13756</Words>
  <Characters>18088</Characters>
  <Lines>69</Lines>
  <Paragraphs>19</Paragraphs>
  <TotalTime>0</TotalTime>
  <ScaleCrop>false</ScaleCrop>
  <LinksUpToDate>false</LinksUpToDate>
  <CharactersWithSpaces>20051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2023-09-28T05:35:00Z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31A0DB8E63FE40EB854E887D4FCDC616</vt:lpwstr>
  </property>
</Properties>
</file>