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道县水利和库区移民事务中心部门决算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道县水利和库区移民事务中心单位概况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宋体" w:hAnsi="宋体"/>
          <w:sz w:val="32"/>
          <w:szCs w:val="30"/>
        </w:rPr>
      </w:pPr>
      <w:r>
        <w:rPr>
          <w:rFonts w:hint="eastAsia" w:ascii="宋体" w:hAnsi="宋体"/>
          <w:bCs/>
          <w:sz w:val="32"/>
          <w:szCs w:val="32"/>
        </w:rPr>
        <w:t>1、职能职责：</w:t>
      </w:r>
      <w:r>
        <w:rPr>
          <w:rFonts w:hint="eastAsia" w:ascii="宋体" w:hAnsi="宋体"/>
          <w:sz w:val="32"/>
          <w:szCs w:val="30"/>
        </w:rPr>
        <w:t>根据《中共永州市委办公室永州人民政府办公室关于印发〈道县机构改革方案的通知〉》（永办2019）6号）、《关于道县机构改革涉改科级事业单位调整的批复（永编办发﹝2019）6号）和《关于道县党政部门、人大政协机关、群团机关和涉改事业单位领导职数的批复》（永编办发（2019）21号，本单位其主要职责为：</w:t>
      </w:r>
    </w:p>
    <w:p>
      <w:pPr>
        <w:ind w:firstLine="640" w:firstLineChars="200"/>
        <w:rPr>
          <w:rFonts w:ascii="宋体" w:hAnsi="宋体"/>
          <w:bCs/>
          <w:sz w:val="32"/>
          <w:szCs w:val="32"/>
        </w:rPr>
      </w:pPr>
      <w:r>
        <w:rPr>
          <w:rFonts w:hint="eastAsia" w:ascii="宋体" w:hAnsi="宋体"/>
          <w:bCs/>
          <w:sz w:val="32"/>
          <w:szCs w:val="32"/>
        </w:rPr>
        <w:t>⑴拟定本县水库移民开发工作规划及年度工作计划。承担全县水库移民事务的业务指导工作；</w:t>
      </w:r>
    </w:p>
    <w:p>
      <w:pPr>
        <w:ind w:firstLine="640" w:firstLineChars="200"/>
        <w:rPr>
          <w:rFonts w:ascii="宋体" w:hAnsi="宋体"/>
          <w:bCs/>
          <w:sz w:val="32"/>
          <w:szCs w:val="32"/>
        </w:rPr>
      </w:pPr>
      <w:r>
        <w:rPr>
          <w:rFonts w:hint="eastAsia" w:ascii="宋体" w:hAnsi="宋体"/>
          <w:bCs/>
          <w:sz w:val="32"/>
          <w:szCs w:val="32"/>
        </w:rPr>
        <w:t>⑵协助全县水库移民工作法规、规章、制度和政策的研究和起草工作；为全县水库移民依法行政工作提供技术支持和服务保障。</w:t>
      </w:r>
    </w:p>
    <w:p>
      <w:pPr>
        <w:ind w:firstLine="640" w:firstLineChars="200"/>
        <w:rPr>
          <w:rFonts w:ascii="宋体" w:hAnsi="宋体"/>
          <w:bCs/>
          <w:sz w:val="32"/>
          <w:szCs w:val="32"/>
        </w:rPr>
      </w:pPr>
      <w:r>
        <w:rPr>
          <w:rFonts w:hint="eastAsia" w:ascii="宋体" w:hAnsi="宋体"/>
          <w:bCs/>
          <w:sz w:val="32"/>
          <w:szCs w:val="32"/>
        </w:rPr>
        <w:t>⑶为全县大中型水库工程建设征地实物调查细则、移民安置规划大纲、移民安置规划、移民后期扶持规划审查提供技术支持；协助全县大中型水库移民安置阶段验收和竣工验收的事务工作。</w:t>
      </w:r>
    </w:p>
    <w:p>
      <w:pPr>
        <w:ind w:firstLine="640" w:firstLineChars="200"/>
        <w:rPr>
          <w:rFonts w:ascii="宋体" w:hAnsi="宋体"/>
          <w:bCs/>
          <w:sz w:val="32"/>
          <w:szCs w:val="32"/>
        </w:rPr>
      </w:pPr>
      <w:r>
        <w:rPr>
          <w:rFonts w:hint="eastAsia" w:ascii="宋体" w:hAnsi="宋体"/>
          <w:bCs/>
          <w:sz w:val="32"/>
          <w:szCs w:val="32"/>
        </w:rPr>
        <w:t>⑷为全县大中型水库移民安置规划、移民后期扶持规划的审核或审批提供技术支持和服务保障；承担全县移民系统信息管理和综合统计工作。</w:t>
      </w:r>
    </w:p>
    <w:p>
      <w:pPr>
        <w:ind w:firstLine="640" w:firstLineChars="200"/>
        <w:rPr>
          <w:rFonts w:ascii="宋体" w:hAnsi="宋体"/>
          <w:bCs/>
          <w:sz w:val="32"/>
          <w:szCs w:val="32"/>
        </w:rPr>
      </w:pPr>
      <w:r>
        <w:rPr>
          <w:rFonts w:hint="eastAsia" w:ascii="宋体" w:hAnsi="宋体"/>
          <w:bCs/>
          <w:sz w:val="32"/>
          <w:szCs w:val="32"/>
        </w:rPr>
        <w:t>⑸承担全县大中型水库移民后期扶持规划实施和验收的事务性工作。</w:t>
      </w:r>
    </w:p>
    <w:p>
      <w:pPr>
        <w:ind w:firstLine="640" w:firstLineChars="200"/>
        <w:rPr>
          <w:rFonts w:ascii="宋体" w:hAnsi="宋体"/>
          <w:bCs/>
          <w:sz w:val="32"/>
          <w:szCs w:val="32"/>
        </w:rPr>
      </w:pPr>
      <w:r>
        <w:rPr>
          <w:rFonts w:hint="eastAsia" w:ascii="宋体" w:hAnsi="宋体"/>
          <w:bCs/>
          <w:sz w:val="32"/>
          <w:szCs w:val="32"/>
        </w:rPr>
        <w:t>⑹承担全县水库移民资金管理事务和服务工作；承担全县水库移民资金内部审计、稽察、绩效评价的事务工作；承担全县水库移民后期扶持政策实施情况监测评估工作。</w:t>
      </w:r>
    </w:p>
    <w:p>
      <w:pPr>
        <w:ind w:firstLine="640" w:firstLineChars="200"/>
        <w:rPr>
          <w:rFonts w:ascii="宋体" w:hAnsi="宋体"/>
          <w:bCs/>
          <w:sz w:val="32"/>
          <w:szCs w:val="32"/>
        </w:rPr>
      </w:pPr>
      <w:r>
        <w:rPr>
          <w:rFonts w:hint="eastAsia" w:ascii="宋体" w:hAnsi="宋体"/>
          <w:bCs/>
          <w:sz w:val="32"/>
          <w:szCs w:val="32"/>
        </w:rPr>
        <w:t>⑺承担全县水库移民信访的事务工作；承担全县水库移民稳定工作指导、协调的事务工作。</w:t>
      </w:r>
    </w:p>
    <w:p>
      <w:pPr>
        <w:ind w:firstLine="640" w:firstLineChars="200"/>
        <w:rPr>
          <w:rFonts w:ascii="宋体" w:hAnsi="宋体"/>
          <w:bCs/>
          <w:sz w:val="32"/>
          <w:szCs w:val="32"/>
        </w:rPr>
      </w:pPr>
      <w:r>
        <w:rPr>
          <w:rFonts w:hint="eastAsia" w:ascii="宋体" w:hAnsi="宋体"/>
          <w:bCs/>
          <w:sz w:val="32"/>
          <w:szCs w:val="32"/>
        </w:rPr>
        <w:t>⑻承担全县水库移民培训管理的事务工作，推广与移民区生产结构相关的实用科学技术，对库区移民生产开发、企业等项目进行技术咨询、提供信息和产、供、销服务。</w:t>
      </w:r>
    </w:p>
    <w:p>
      <w:pPr>
        <w:ind w:firstLine="640" w:firstLineChars="200"/>
        <w:rPr>
          <w:rFonts w:ascii="宋体" w:hAnsi="宋体"/>
          <w:bCs/>
          <w:sz w:val="32"/>
          <w:szCs w:val="32"/>
        </w:rPr>
      </w:pPr>
      <w:r>
        <w:rPr>
          <w:rFonts w:hint="eastAsia" w:ascii="宋体" w:hAnsi="宋体"/>
          <w:bCs/>
          <w:sz w:val="32"/>
          <w:szCs w:val="32"/>
        </w:rPr>
        <w:t>⑼协助有关部门推动水库移民对口帮扶工作。</w:t>
      </w:r>
    </w:p>
    <w:p>
      <w:pPr>
        <w:pStyle w:val="12"/>
        <w:ind w:firstLine="640"/>
        <w:jc w:val="left"/>
        <w:rPr>
          <w:rFonts w:ascii="黑体" w:hAnsi="黑体" w:eastAsia="黑体"/>
          <w:sz w:val="32"/>
          <w:szCs w:val="32"/>
        </w:rPr>
      </w:pPr>
      <w:r>
        <w:rPr>
          <w:rFonts w:hint="eastAsia" w:ascii="宋体" w:hAnsi="宋体"/>
          <w:bCs/>
          <w:sz w:val="32"/>
          <w:szCs w:val="32"/>
        </w:rPr>
        <w:t>⑽承担上级部门和县水利局交办的其职责范围内的工作</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rPr>
          <w:rFonts w:ascii="宋体" w:hAnsi="宋体"/>
          <w:bCs/>
          <w:sz w:val="32"/>
          <w:szCs w:val="32"/>
        </w:rPr>
      </w:pPr>
      <w:r>
        <w:rPr>
          <w:rFonts w:hint="eastAsia" w:asciiTheme="minorEastAsia" w:hAnsiTheme="minorEastAsia"/>
          <w:bCs/>
          <w:kern w:val="0"/>
          <w:sz w:val="32"/>
          <w:szCs w:val="32"/>
        </w:rPr>
        <w:t>（一）内设机构设置。道县水利和库区移民事务中心内设机构包括：</w:t>
      </w:r>
      <w:r>
        <w:rPr>
          <w:rFonts w:hint="eastAsia" w:ascii="宋体" w:hAnsi="宋体"/>
          <w:bCs/>
          <w:sz w:val="32"/>
          <w:szCs w:val="32"/>
        </w:rPr>
        <w:t>经编办“三定”内设股室有综合室、规划计划室、工程管理室、后期扶持室、产业开发室、资金财务室。所属事业单位：道县移民科技服务所。</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（二）决算单位构成。道县水利和库区移民事务中心</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宋体" w:hAnsi="宋体"/>
          <w:sz w:val="32"/>
          <w:szCs w:val="32"/>
        </w:rPr>
        <w:t>道县水利和库区移民事务中心</w:t>
      </w:r>
      <w:r>
        <w:rPr>
          <w:rFonts w:ascii="宋体" w:hAnsi="宋体"/>
          <w:sz w:val="32"/>
          <w:szCs w:val="32"/>
        </w:rPr>
        <w:t>部门本级</w:t>
      </w:r>
      <w:r>
        <w:rPr>
          <w:rFonts w:hint="eastAsia" w:asciiTheme="minorEastAsia" w:hAnsiTheme="minorEastAsia"/>
          <w:bCs/>
          <w:kern w:val="0"/>
          <w:sz w:val="32"/>
          <w:szCs w:val="32"/>
        </w:rPr>
        <w:t>以及</w:t>
      </w:r>
      <w:r>
        <w:rPr>
          <w:rFonts w:hint="eastAsia" w:ascii="宋体" w:hAnsi="宋体"/>
          <w:sz w:val="32"/>
          <w:szCs w:val="32"/>
        </w:rPr>
        <w:t>道县移民科技服务所。</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道县水利和库区移民事务中心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2,486.37</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9,164.32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9,221.25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29.47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2,155.97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204.00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11,650.69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11,650.69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386" w:type="dxa"/>
        <w:tblInd w:w="0" w:type="dxa"/>
        <w:tblLayout w:type="autofit"/>
        <w:tblCellMar>
          <w:top w:w="0" w:type="dxa"/>
          <w:left w:w="0" w:type="dxa"/>
          <w:bottom w:w="0" w:type="dxa"/>
          <w:right w:w="0" w:type="dxa"/>
        </w:tblCellMar>
      </w:tblPr>
      <w:tblGrid>
        <w:gridCol w:w="2652"/>
        <w:gridCol w:w="194"/>
        <w:gridCol w:w="1655"/>
        <w:gridCol w:w="1472"/>
        <w:gridCol w:w="1472"/>
        <w:gridCol w:w="1472"/>
        <w:gridCol w:w="1472"/>
        <w:gridCol w:w="1472"/>
        <w:gridCol w:w="1473"/>
        <w:gridCol w:w="2094"/>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道县水利和库区移民事务中心</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11,650.69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11,650.69</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2019999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9,221.25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9,221.25</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56.93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56.93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56.93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56.93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大中型水库移民后期扶持基金支出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9,164.32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9,164.32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2082201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移民补助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4,690.32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4,690.32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2082202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基础设施建设和经济发展</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4,474.00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4,474.00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29.47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2,155.97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2,155.97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水利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2,155.97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2,155.97</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293.43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293.43</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2130316</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农村水利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2130321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大中型水库移民后期扶持专项支出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1,335.00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1,335.00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其他水利支出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447.54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447.54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粮油物资储备支出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粮油物资事务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2220199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其他粮油物资事务支出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204.00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道县水利和库区移民事务中心</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11,650.69</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867.37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10,783.32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2019999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9,221.25</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56.93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9,164.32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56.93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56.93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56.93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20822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大中型水库移民后期扶持基金支出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9,164.32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9,164.32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2082201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移民补助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4,690.32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4,690.32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2082202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基础设施建设和经济发展</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4,474.00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4,474.00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29.47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2,155.97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740.97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2,155.97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740.97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1,415.00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293.43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293.43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2130316</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农村水利</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2130321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大中型水库移民后期扶持专项支出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1,335.00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其他水利支出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447.54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447.54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粮油物资储备支出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22201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粮油物资事务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2220199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其他粮油物资事务支出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204.00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道县水利和库区移民事务中心</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2,486.37</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40.00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40.00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9,164.32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9,221.25</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56.93</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9,164.32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29.47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29.47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2,155.97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2,155.97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204.00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204.00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2,486.37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9,164.32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11,650.69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2,486.37</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9,164.32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1000"/>
        <w:gridCol w:w="3271"/>
        <w:gridCol w:w="2843"/>
        <w:gridCol w:w="3276"/>
        <w:gridCol w:w="284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4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7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43"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2,486.37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867.37</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1,619.00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一般公共服务支出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其他一般公共服务支出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2019999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其他一般公共服务支出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40.00</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56.93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2101102</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事业单位医疗</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29.47</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农林水支出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2,155.97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740.97</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水利</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2,155.97</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740.97</w:t>
            </w: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1,415.00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行政运行</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293.43</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293.43</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2130316</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农村水利</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80.00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80.00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2130321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大中型水库移民后期扶持专项支出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1,335.00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1,335.00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2130399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其他水利支出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447.54</w:t>
            </w:r>
          </w:p>
        </w:tc>
        <w:tc>
          <w:tcPr>
            <w:tcW w:w="327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447.54</w:t>
            </w:r>
          </w:p>
        </w:tc>
        <w:tc>
          <w:tcPr>
            <w:tcW w:w="284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222</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粮油物资储备支出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22201</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粮油物资事务</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2220199</w:t>
            </w:r>
          </w:p>
        </w:tc>
        <w:tc>
          <w:tcPr>
            <w:tcW w:w="4271"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其他粮油物资事务支出</w:t>
            </w:r>
          </w:p>
        </w:tc>
        <w:tc>
          <w:tcPr>
            <w:tcW w:w="284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c>
          <w:tcPr>
            <w:tcW w:w="3276"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3"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204.00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283"/>
        <w:gridCol w:w="3215"/>
        <w:gridCol w:w="845"/>
        <w:gridCol w:w="1174"/>
        <w:gridCol w:w="2216"/>
        <w:gridCol w:w="845"/>
        <w:gridCol w:w="1175"/>
        <w:gridCol w:w="4016"/>
        <w:gridCol w:w="845"/>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482.25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378.12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189.13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104.30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71.28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8.98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22.16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56.93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29.47</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9.00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6.00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3.72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198.00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3.50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35.00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1.30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10.60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489.25</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378.12</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lang w:eastAsia="zh-CN"/>
        </w:rPr>
        <w:t>道县水利和库区移民事务中心</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3.72</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3.72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道县水利和库区移民事务中心</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8"/>
        <w:gridCol w:w="1231"/>
        <w:gridCol w:w="1844"/>
        <w:gridCol w:w="1911"/>
        <w:gridCol w:w="1911"/>
        <w:gridCol w:w="1844"/>
        <w:gridCol w:w="1911"/>
        <w:gridCol w:w="184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6"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4" w:type="dxa"/>
            <w:vMerge w:val="continue"/>
            <w:vAlign w:val="center"/>
          </w:tcPr>
          <w:p>
            <w:pPr>
              <w:widowControl/>
              <w:jc w:val="left"/>
              <w:rPr>
                <w:rFonts w:ascii="Times New Roman" w:hAnsi="Times New Roman" w:eastAsia="仿宋_GB2312" w:cs="Times New Roman"/>
                <w:b/>
                <w:kern w:val="0"/>
                <w:szCs w:val="21"/>
              </w:rPr>
            </w:pPr>
          </w:p>
        </w:tc>
        <w:tc>
          <w:tcPr>
            <w:tcW w:w="1911" w:type="dxa"/>
            <w:vMerge w:val="continue"/>
            <w:vAlign w:val="center"/>
          </w:tcPr>
          <w:p>
            <w:pPr>
              <w:widowControl/>
              <w:jc w:val="left"/>
              <w:rPr>
                <w:rFonts w:ascii="Times New Roman" w:hAnsi="Times New Roman" w:eastAsia="仿宋_GB2312" w:cs="Times New Roman"/>
                <w:b/>
                <w:kern w:val="0"/>
                <w:szCs w:val="21"/>
              </w:rPr>
            </w:pP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4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91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4"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4" w:type="dxa"/>
            <w:gridSpan w:val="2"/>
            <w:vMerge w:val="continue"/>
            <w:vAlign w:val="center"/>
          </w:tcPr>
          <w:p>
            <w:pPr>
              <w:widowControl/>
              <w:jc w:val="left"/>
              <w:rPr>
                <w:rFonts w:ascii="Times New Roman" w:hAnsi="Times New Roman" w:eastAsia="仿宋_GB2312" w:cs="Times New Roman"/>
                <w:kern w:val="0"/>
                <w:szCs w:val="21"/>
              </w:rPr>
            </w:pPr>
          </w:p>
        </w:tc>
        <w:tc>
          <w:tcPr>
            <w:tcW w:w="123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c>
          <w:tcPr>
            <w:tcW w:w="1911" w:type="dxa"/>
            <w:vMerge w:val="continue"/>
            <w:vAlign w:val="center"/>
          </w:tcPr>
          <w:p>
            <w:pPr>
              <w:widowControl/>
              <w:jc w:val="left"/>
              <w:rPr>
                <w:rFonts w:ascii="Times New Roman" w:hAnsi="Times New Roman" w:eastAsia="仿宋_GB2312" w:cs="Times New Roman"/>
                <w:kern w:val="0"/>
                <w:szCs w:val="21"/>
              </w:rPr>
            </w:pPr>
          </w:p>
        </w:tc>
        <w:tc>
          <w:tcPr>
            <w:tcW w:w="1844"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184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1911"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1911"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c>
          <w:tcPr>
            <w:tcW w:w="184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w:t>
            </w:r>
          </w:p>
        </w:tc>
        <w:tc>
          <w:tcPr>
            <w:tcW w:w="1911"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w:t>
            </w:r>
          </w:p>
        </w:tc>
        <w:tc>
          <w:tcPr>
            <w:tcW w:w="1844" w:type="dxa"/>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75" w:type="dxa"/>
            <w:gridSpan w:val="3"/>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9,164.32</w:t>
            </w: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2189"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20822</w:t>
            </w:r>
          </w:p>
        </w:tc>
        <w:tc>
          <w:tcPr>
            <w:tcW w:w="2189"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大中型水库移民后期扶持基金支出</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9,164.32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2082201</w:t>
            </w:r>
          </w:p>
        </w:tc>
        <w:tc>
          <w:tcPr>
            <w:tcW w:w="2189"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移民补助</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4,690.32</w:t>
            </w: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4,690.32</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4,690.32</w:t>
            </w:r>
          </w:p>
        </w:tc>
        <w:tc>
          <w:tcPr>
            <w:tcW w:w="1844"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2082202</w:t>
            </w:r>
          </w:p>
        </w:tc>
        <w:tc>
          <w:tcPr>
            <w:tcW w:w="2189" w:type="dxa"/>
            <w:gridSpan w:val="2"/>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基础设施建设和经济发展</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4,474.00</w:t>
            </w: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4,474.00</w:t>
            </w:r>
          </w:p>
        </w:tc>
        <w:tc>
          <w:tcPr>
            <w:tcW w:w="1844" w:type="dxa"/>
            <w:shd w:val="clear" w:color="auto" w:fill="auto"/>
            <w:vAlign w:val="center"/>
          </w:tcPr>
          <w:p>
            <w:pPr>
              <w:jc w:val="right"/>
              <w:rPr>
                <w:rFonts w:ascii="Times New Roman" w:hAnsi="Times New Roman" w:eastAsia="仿宋_GB2312" w:cs="Times New Roman"/>
                <w:kern w:val="0"/>
                <w:szCs w:val="21"/>
              </w:rPr>
            </w:pPr>
          </w:p>
        </w:tc>
        <w:tc>
          <w:tcPr>
            <w:tcW w:w="1911" w:type="dxa"/>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4,474.00</w:t>
            </w:r>
          </w:p>
        </w:tc>
        <w:tc>
          <w:tcPr>
            <w:tcW w:w="1844"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道县水利和库区移民事务中心</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说明：道县水利和库区移民事务中心</w:t>
            </w:r>
            <w:r>
              <w:rPr>
                <w:rFonts w:hint="eastAsia" w:ascii="宋体" w:hAnsi="宋体" w:eastAsia="宋体" w:cs="宋体"/>
                <w:kern w:val="0"/>
                <w:sz w:val="24"/>
                <w:szCs w:val="24"/>
                <w:lang w:eastAsia="zh-CN"/>
              </w:rPr>
              <w:t>无</w:t>
            </w:r>
            <w:r>
              <w:rPr>
                <w:rFonts w:hint="eastAsia" w:ascii="宋体" w:hAnsi="宋体" w:eastAsia="宋体" w:cs="宋体"/>
                <w:kern w:val="0"/>
                <w:sz w:val="24"/>
                <w:szCs w:val="24"/>
                <w:lang w:val="en-US" w:eastAsia="zh-CN"/>
              </w:rPr>
              <w:t>国有资本经营</w:t>
            </w:r>
            <w:r>
              <w:rPr>
                <w:rFonts w:hint="eastAsia" w:ascii="宋体" w:hAnsi="宋体" w:eastAsia="宋体" w:cs="宋体"/>
                <w:kern w:val="0"/>
                <w:sz w:val="24"/>
                <w:szCs w:val="24"/>
              </w:rPr>
              <w:t>收入，也没有</w:t>
            </w:r>
            <w:r>
              <w:rPr>
                <w:rFonts w:hint="eastAsia" w:ascii="宋体" w:hAnsi="宋体" w:eastAsia="宋体" w:cs="宋体"/>
                <w:kern w:val="0"/>
                <w:sz w:val="24"/>
                <w:szCs w:val="24"/>
                <w:lang w:eastAsia="zh-CN"/>
              </w:rPr>
              <w:t>安排</w:t>
            </w:r>
            <w:r>
              <w:rPr>
                <w:rFonts w:hint="eastAsia" w:ascii="宋体" w:hAnsi="宋体" w:eastAsia="宋体" w:cs="宋体"/>
                <w:kern w:val="0"/>
                <w:sz w:val="24"/>
                <w:szCs w:val="24"/>
                <w:lang w:val="en-US" w:eastAsia="zh-CN"/>
              </w:rPr>
              <w:t>国有资本经营</w:t>
            </w:r>
            <w:r>
              <w:rPr>
                <w:rFonts w:hint="eastAsia" w:ascii="宋体" w:hAnsi="宋体" w:eastAsia="宋体" w:cs="宋体"/>
                <w:kern w:val="0"/>
                <w:sz w:val="24"/>
                <w:szCs w:val="24"/>
              </w:rPr>
              <w:t>的支出，故本表无数据。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2021年度收、支总计11650.69万元。与上年相比，增加9069.04万元，增长351.28%，主要是因为大部分上级专项资金未记入2020年决算。</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2021年度收入合计11650.69万元，其中：财政拨款收入11650.69万元，占100%；上级补助收入0万元，占0%；事业收入0万元，占0%；经营收入0万元，占0%；附属单位上缴收入0万元，占0%；其他收入0万元，占0%。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2021年度支出合计11650.69万元，其中：基本支出867.37万元，占7.44%；项目支出10783.32万元，占92.56%；上缴上级支出0万元，占0%；经营支出0万元，占0%；对附属单位补助支出0万元，占0%。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2021年度财政拨款收、支总计11650.69万元，与上年相比，增加9069.04万元,增长351.28%，主要是因为大部分上级专项资金未记入2020年决算。</w:t>
      </w:r>
    </w:p>
    <w:p>
      <w:pPr>
        <w:pStyle w:val="11"/>
        <w:ind w:firstLine="640"/>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2021年度财政拨款支出11650.69万元，占本年支出合计的100%，与上年相比，财政拨款支出增加9069.04万元，增长351.28%，主要是因为大部分上级专项资金未记入2020年决算。</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11650.69万元，主要用于以下方面：一般公共服务（类）支出40万元，占0.34%；社会保障和就业（类）支出9221.25万元，占79.15%，卫生健康（类）支出29.47万元，占0.25%，农林水（类）支出2155.97万元，占18.5%，粮油物资储备（类）支出204万元，占1.76%。</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2021年度财政拨款支出年初预算数为931.64万元，支出决算数为11650.69万元，完成年初预算的100%，其中：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1、一般公共服务支出（类）其他一般公共服务支出（款）其他一般公共服务支出（项）。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年初预算为541.89万元，支出决算为40万元，完成年初预算的7.38%，决算数小于年初预算数的主要原因是：2021年预算科目和决算科目不一致。</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2、社会保障和就业支出（类）行政事业单位养老支出、大中型水库移民后期扶持基金支出（款）机关事业单位基本养老保险缴费支出、移民补助、基础设施建设和经济发展（项）。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年初预算为0万元，支出决算为9221.25万元，完成年初预算的100%，决算数大于年初预算数的主要原因是：2021年年初预算只做了单位经费预算。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3、卫生健康支出（类）行政事业单位医疗（款）事业单位医疗（项）。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年初预算为0万元，支出决算为29.47万元，完成年初预算的100%，决算数大于年初预算数的主要原因是：2021年年初预算只做了单位经费预算。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4、农林水支出（类）水利（款）行政运行、农村水利、 大中型水库移民后期扶持专项支出、其他水利支出（项）。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年初预算为389.75万元，支出决算为2155.97万元，完成年初预算的100%，决算数大于年初预算数的主要原因是：2021年年初预算只做了单位经费预算。</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5、粮油物资储备支出（类）粮油物资事务（款）其他粮油物资事务支出（项）。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年初预算为0万元，支出决算为204万元，完成年初预算的100%，决算数大于年初预算数的主要原因是：2021年年初预算只做了单位经费预算。</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867.37万元，其中：人员经费482.25万元，占基本支出的55.6%,主要包括基本工资、津贴补贴、奖金、伙食补助费等；公用经费378.12万元，占基本支出的43.59%，主要包括办公费、印刷费、咨询费、水费、电费等；对个人和家庭的补助7万元，主要包括生活补助、奖励金、其他对个人和家庭的补助。</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2021年度“三公”经费财政拨款支出预算为9.6万元，支出决算为3.72万元，完成预算的38.75%，其中：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公务接待费支出预算为9.6万元，支出决算为3.72万元，完成预算的38.75%，决算数小于预算数的主要原因是</w:t>
      </w:r>
      <w:r>
        <w:rPr>
          <w:rFonts w:hint="eastAsia" w:ascii="宋体" w:hAnsi="宋体" w:eastAsia="宋体" w:cs="宋体"/>
          <w:sz w:val="32"/>
          <w:szCs w:val="32"/>
        </w:rPr>
        <w:t>严格执行中央八项规定</w:t>
      </w:r>
      <w:r>
        <w:rPr>
          <w:rFonts w:hint="eastAsia" w:asciiTheme="minorEastAsia" w:hAnsiTheme="minorEastAsia" w:eastAsiaTheme="minorEastAsia"/>
          <w:sz w:val="32"/>
          <w:szCs w:val="32"/>
        </w:rPr>
        <w:t>，与上年相比减少（增加）0.1万元，减少1.04%,减少的主要原因是</w:t>
      </w:r>
      <w:r>
        <w:rPr>
          <w:rFonts w:hint="eastAsia" w:ascii="宋体" w:hAnsi="宋体" w:eastAsia="宋体" w:cs="宋体"/>
          <w:sz w:val="32"/>
          <w:szCs w:val="32"/>
        </w:rPr>
        <w:t>严格执行中央八项规定</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11"/>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2021年度“三公”经费财政拨款支出决算中，公务接待费支出决算3.72万元，占100%,因公出国（境）费支出决算0万元，占0%,公务用车购置费及运行维护费支出决算0万元，占0%。其中：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1、因公出国（境）费支出决算为0万元，全年安排因公出国（境）团组0个，累计0人次，我单位2021年度无因公出国（境）费支出。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2、公务接待费支出决算为3.72万元，全年共接待来访团组29个、来宾265人次，主要是省、市主管部门到我中心检查指导工作发生的接待支出。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公务用车运行维护费0万元，主要是无支出，截止2021年12月31日，我单位开支财政拨款的公务用车保有量为0辆。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2021年度政府性基金预算财政拨款收入9164.32万元；年初结转和结余0万元；支出9164.32万元，其中基本支出0万元，项目支出9164.32万元；年末结转和结余0万元。具体情况如下：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1、社会保障和就业支出（类）大中型水库移民后期扶持基金支出（款）移民补助、基础设施建设和经济发展（项）。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年初预算为0万元，支出决算为9164.32万元，完成年初预算的100%，决算数大于年初预算数的主要原因是：2021年年初预算只做了单位经费预算。</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本部门2021年度机关运行经费支出378.11万元，比上年决算数增加263.49万元，增长229.88%。主要原因是：整村推进美丽家园等专项工作经费增加。</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9万元，用于召开移民工作相关会议，人数256人，内容为全县移民人口动态管理等工作；开支培训费6万元，用于开展移民工作相关培训，人数159人，内容为移民美丽家园项目申报等培训；未举办节庆、晚会、论坛、赛事活动，开支0万元，主要是无。</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16万元，其中：政府采购货物支出16万元、政府采购工程支出0万元、政府采购服务支出0万元。授予中小企业合同金额0万元，占政府采购支出总额的0%，其中：授予小微企业合同金额8万元，占授予中小企业合同金额的50%；货物采购授予中小企业合同金额占货物支出金额的50%，工程采购授予中小企业合同金额占工程支出金额的0%，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其他用车主要是无；单位价值50万元以上通用设备0台（套）；单位价值100万元以上专用设备0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sz w:val="72"/>
          <w:szCs w:val="7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年度一般公共预算项目支出全面开展绩效自评，其中，一级项目80个，二级项目0个，共涉及资金1619万元，占一般公共预算项目支出总额的100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年度大中型水库移民后期扶持基金支出等243个政府性基金预算项目支出开展绩效自评，共涉及资金9164.32万元，占政府性基金预算项目支出总额的100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。严格按照上级文件、管理办法执行。</w:t>
      </w: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spacing w:after="2" w:line="336" w:lineRule="atLeast"/>
        <w:ind w:firstLine="643"/>
        <w:rPr>
          <w:rFonts w:ascii="Calibri" w:hAnsi="Calibri" w:cs="Calibri"/>
          <w:color w:val="000000"/>
          <w:szCs w:val="21"/>
        </w:rPr>
      </w:pPr>
      <w:r>
        <w:rPr>
          <w:rFonts w:hint="eastAsia" w:cs="Calibri"/>
          <w:b/>
          <w:bCs/>
          <w:color w:val="000000"/>
          <w:sz w:val="32"/>
          <w:szCs w:val="32"/>
        </w:rPr>
        <w:t>一、</w:t>
      </w:r>
      <w:r>
        <w:rPr>
          <w:rFonts w:cs="Calibri"/>
          <w:b/>
          <w:bCs/>
          <w:color w:val="000000"/>
          <w:sz w:val="32"/>
          <w:szCs w:val="32"/>
        </w:rPr>
        <w:t>财政拨款收入</w:t>
      </w:r>
      <w:r>
        <w:rPr>
          <w:rFonts w:cs="Calibri"/>
          <w:color w:val="000000"/>
          <w:sz w:val="32"/>
          <w:szCs w:val="32"/>
        </w:rPr>
        <w:t>：指财政当年拨付的资金。包括一般公共预算财政拨款和政府性基金财政拨款。</w:t>
      </w:r>
    </w:p>
    <w:p>
      <w:pPr>
        <w:spacing w:after="2" w:line="336" w:lineRule="atLeast"/>
        <w:ind w:firstLine="643"/>
        <w:rPr>
          <w:rFonts w:ascii="Calibri" w:hAnsi="Calibri" w:cs="Calibri"/>
          <w:color w:val="000000"/>
          <w:szCs w:val="21"/>
        </w:rPr>
      </w:pPr>
      <w:r>
        <w:rPr>
          <w:rFonts w:hint="eastAsia" w:cs="Calibri"/>
          <w:b/>
          <w:bCs/>
          <w:color w:val="000000"/>
          <w:sz w:val="32"/>
          <w:szCs w:val="32"/>
        </w:rPr>
        <w:t>二、</w:t>
      </w:r>
      <w:r>
        <w:rPr>
          <w:rFonts w:cs="Calibri"/>
          <w:b/>
          <w:bCs/>
          <w:color w:val="000000"/>
          <w:sz w:val="32"/>
          <w:szCs w:val="32"/>
        </w:rPr>
        <w:t>上级补助收入</w:t>
      </w:r>
      <w:r>
        <w:rPr>
          <w:rFonts w:cs="Calibri"/>
          <w:color w:val="000000"/>
          <w:sz w:val="32"/>
          <w:szCs w:val="32"/>
        </w:rPr>
        <w:t>：指事业单位从主管部门和上级单位取得的非财政补助收入。</w:t>
      </w:r>
    </w:p>
    <w:p>
      <w:pPr>
        <w:spacing w:after="2" w:line="336" w:lineRule="atLeast"/>
        <w:ind w:firstLine="643"/>
        <w:rPr>
          <w:rFonts w:ascii="Calibri" w:hAnsi="Calibri" w:cs="Calibri"/>
          <w:color w:val="000000"/>
          <w:szCs w:val="21"/>
        </w:rPr>
      </w:pPr>
      <w:r>
        <w:rPr>
          <w:rFonts w:hint="eastAsia" w:cs="Calibri"/>
          <w:b/>
          <w:bCs/>
          <w:color w:val="000000"/>
          <w:sz w:val="32"/>
          <w:szCs w:val="32"/>
        </w:rPr>
        <w:t>三、</w:t>
      </w:r>
      <w:r>
        <w:rPr>
          <w:rFonts w:cs="Calibri"/>
          <w:b/>
          <w:bCs/>
          <w:color w:val="000000"/>
          <w:sz w:val="32"/>
          <w:szCs w:val="32"/>
        </w:rPr>
        <w:t>事业收入：</w:t>
      </w:r>
      <w:r>
        <w:rPr>
          <w:rFonts w:cs="Calibri"/>
          <w:color w:val="000000"/>
          <w:sz w:val="32"/>
          <w:szCs w:val="32"/>
        </w:rPr>
        <w:t>指事业单位开展专业业务活动及辅助活动所取得的收入。</w:t>
      </w:r>
    </w:p>
    <w:p>
      <w:pPr>
        <w:spacing w:after="2" w:line="336" w:lineRule="atLeast"/>
        <w:ind w:firstLine="643"/>
        <w:rPr>
          <w:rFonts w:ascii="Calibri" w:hAnsi="Calibri" w:cs="Calibri"/>
          <w:color w:val="000000"/>
          <w:szCs w:val="21"/>
        </w:rPr>
      </w:pPr>
      <w:r>
        <w:rPr>
          <w:rFonts w:hint="eastAsia" w:cs="Calibri"/>
          <w:b/>
          <w:bCs/>
          <w:color w:val="000000"/>
          <w:sz w:val="32"/>
          <w:szCs w:val="32"/>
        </w:rPr>
        <w:t>四、</w:t>
      </w:r>
      <w:r>
        <w:rPr>
          <w:rFonts w:cs="Calibri"/>
          <w:b/>
          <w:bCs/>
          <w:color w:val="000000"/>
          <w:sz w:val="32"/>
          <w:szCs w:val="32"/>
        </w:rPr>
        <w:t>经营收入：</w:t>
      </w:r>
      <w:r>
        <w:rPr>
          <w:rFonts w:cs="Calibri"/>
          <w:color w:val="000000"/>
          <w:sz w:val="32"/>
          <w:szCs w:val="32"/>
        </w:rPr>
        <w:t>指事业单位在专业业务活动及其辅助活动之外开展非独立核算经营活动取得的收入。</w:t>
      </w:r>
    </w:p>
    <w:p>
      <w:pPr>
        <w:spacing w:after="2" w:line="336" w:lineRule="atLeast"/>
        <w:ind w:firstLine="643"/>
        <w:rPr>
          <w:rFonts w:ascii="Calibri" w:hAnsi="Calibri" w:cs="Calibri"/>
          <w:color w:val="000000"/>
          <w:szCs w:val="21"/>
        </w:rPr>
      </w:pPr>
      <w:r>
        <w:rPr>
          <w:rFonts w:hint="eastAsia" w:cs="Calibri"/>
          <w:b/>
          <w:bCs/>
          <w:color w:val="000000"/>
          <w:sz w:val="32"/>
          <w:szCs w:val="32"/>
        </w:rPr>
        <w:t>五、</w:t>
      </w:r>
      <w:r>
        <w:rPr>
          <w:rFonts w:cs="Calibri"/>
          <w:b/>
          <w:bCs/>
          <w:color w:val="000000"/>
          <w:sz w:val="32"/>
          <w:szCs w:val="32"/>
        </w:rPr>
        <w:t>附属单位上缴收入</w:t>
      </w:r>
      <w:r>
        <w:rPr>
          <w:rFonts w:cs="Calibri"/>
          <w:color w:val="000000"/>
          <w:sz w:val="32"/>
          <w:szCs w:val="32"/>
        </w:rPr>
        <w:t>：指事业单位附属独立核算单位按照有关规定上缴的收入。</w:t>
      </w:r>
    </w:p>
    <w:p>
      <w:pPr>
        <w:spacing w:after="2" w:line="336" w:lineRule="atLeast"/>
        <w:ind w:firstLine="643"/>
        <w:rPr>
          <w:rFonts w:ascii="Calibri" w:hAnsi="Calibri" w:cs="Calibri"/>
          <w:color w:val="000000"/>
          <w:szCs w:val="21"/>
        </w:rPr>
      </w:pPr>
      <w:r>
        <w:rPr>
          <w:rFonts w:hint="eastAsia" w:cs="Calibri"/>
          <w:b/>
          <w:bCs/>
          <w:color w:val="000000"/>
          <w:sz w:val="32"/>
          <w:szCs w:val="32"/>
        </w:rPr>
        <w:t>六、</w:t>
      </w:r>
      <w:r>
        <w:rPr>
          <w:rFonts w:cs="Calibri"/>
          <w:b/>
          <w:bCs/>
          <w:color w:val="000000"/>
          <w:sz w:val="32"/>
          <w:szCs w:val="32"/>
        </w:rPr>
        <w:t>其他收入</w:t>
      </w:r>
      <w:r>
        <w:rPr>
          <w:rFonts w:cs="Calibri"/>
          <w:color w:val="000000"/>
          <w:sz w:val="32"/>
          <w:szCs w:val="32"/>
        </w:rPr>
        <w:t>：指除上述“财政拨款收入”、“事业收入”、“经营收入”等以外的收入。</w:t>
      </w:r>
    </w:p>
    <w:p>
      <w:pPr>
        <w:spacing w:after="2" w:line="336" w:lineRule="atLeast"/>
        <w:ind w:firstLine="643"/>
        <w:rPr>
          <w:rFonts w:ascii="Calibri" w:hAnsi="Calibri" w:cs="Calibri"/>
          <w:color w:val="000000"/>
          <w:szCs w:val="21"/>
        </w:rPr>
      </w:pPr>
      <w:r>
        <w:rPr>
          <w:rFonts w:hint="eastAsia" w:cs="Calibri"/>
          <w:b/>
          <w:bCs/>
          <w:color w:val="000000"/>
          <w:sz w:val="32"/>
          <w:szCs w:val="32"/>
        </w:rPr>
        <w:t>七、</w:t>
      </w:r>
      <w:r>
        <w:rPr>
          <w:rFonts w:cs="Calibri"/>
          <w:b/>
          <w:bCs/>
          <w:color w:val="000000"/>
          <w:sz w:val="32"/>
          <w:szCs w:val="32"/>
        </w:rPr>
        <w:t>用事业基金弥补收支差额</w:t>
      </w:r>
      <w:r>
        <w:rPr>
          <w:rFonts w:cs="Calibri"/>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after="2" w:line="336" w:lineRule="atLeast"/>
        <w:ind w:firstLine="643"/>
        <w:rPr>
          <w:rFonts w:ascii="Calibri" w:hAnsi="Calibri" w:cs="Calibri"/>
          <w:color w:val="000000"/>
          <w:szCs w:val="21"/>
        </w:rPr>
      </w:pPr>
      <w:r>
        <w:rPr>
          <w:rFonts w:hint="eastAsia" w:cs="Calibri"/>
          <w:b/>
          <w:bCs/>
          <w:color w:val="000000"/>
          <w:sz w:val="32"/>
          <w:szCs w:val="32"/>
        </w:rPr>
        <w:t>八、</w:t>
      </w:r>
      <w:r>
        <w:rPr>
          <w:rFonts w:cs="Calibri"/>
          <w:b/>
          <w:bCs/>
          <w:color w:val="000000"/>
          <w:sz w:val="32"/>
          <w:szCs w:val="32"/>
        </w:rPr>
        <w:t>年初结转和结余</w:t>
      </w:r>
      <w:r>
        <w:rPr>
          <w:rFonts w:cs="Calibri"/>
          <w:color w:val="000000"/>
          <w:sz w:val="32"/>
          <w:szCs w:val="32"/>
        </w:rPr>
        <w:t>：指以前年度尚未完成、结转到本年按有关规定继续使用的资金。</w:t>
      </w:r>
    </w:p>
    <w:p>
      <w:pPr>
        <w:spacing w:after="2" w:line="336" w:lineRule="atLeast"/>
        <w:ind w:firstLine="643"/>
        <w:rPr>
          <w:rFonts w:ascii="Calibri" w:hAnsi="Calibri" w:cs="Calibri"/>
          <w:color w:val="000000"/>
          <w:szCs w:val="21"/>
        </w:rPr>
      </w:pPr>
      <w:r>
        <w:rPr>
          <w:rFonts w:hint="eastAsia" w:cs="Calibri"/>
          <w:b/>
          <w:bCs/>
          <w:color w:val="000000"/>
          <w:sz w:val="32"/>
          <w:szCs w:val="32"/>
        </w:rPr>
        <w:t>九、</w:t>
      </w:r>
      <w:r>
        <w:rPr>
          <w:rFonts w:cs="Calibri"/>
          <w:b/>
          <w:bCs/>
          <w:color w:val="000000"/>
          <w:sz w:val="32"/>
          <w:szCs w:val="32"/>
        </w:rPr>
        <w:t>结余分配</w:t>
      </w:r>
      <w:r>
        <w:rPr>
          <w:rFonts w:cs="Calibri"/>
          <w:color w:val="000000"/>
          <w:sz w:val="32"/>
          <w:szCs w:val="32"/>
        </w:rPr>
        <w:t>：指事业事位按规定从非财政补助结余中分配的事业基金和职工福利基金等。</w:t>
      </w:r>
    </w:p>
    <w:p>
      <w:pPr>
        <w:spacing w:after="2" w:line="336" w:lineRule="atLeast"/>
        <w:ind w:firstLine="643"/>
        <w:rPr>
          <w:rFonts w:ascii="Calibri" w:hAnsi="Calibri" w:cs="Calibri"/>
          <w:color w:val="000000"/>
          <w:szCs w:val="21"/>
        </w:rPr>
      </w:pPr>
      <w:r>
        <w:rPr>
          <w:rFonts w:hint="eastAsia" w:cs="Calibri"/>
          <w:b/>
          <w:bCs/>
          <w:color w:val="000000"/>
          <w:sz w:val="32"/>
          <w:szCs w:val="32"/>
        </w:rPr>
        <w:t>十、</w:t>
      </w:r>
      <w:r>
        <w:rPr>
          <w:rFonts w:cs="Calibri"/>
          <w:b/>
          <w:bCs/>
          <w:color w:val="000000"/>
          <w:sz w:val="32"/>
          <w:szCs w:val="32"/>
        </w:rPr>
        <w:t>年末结转和结余</w:t>
      </w:r>
      <w:r>
        <w:rPr>
          <w:rFonts w:cs="Calibri"/>
          <w:color w:val="000000"/>
          <w:sz w:val="32"/>
          <w:szCs w:val="32"/>
        </w:rPr>
        <w:t>：指本年度或以前年度预算安排、因客观条件发生变化无法按原计划实施，需要延迟到以后年度按有关规定继续使用的资金。</w:t>
      </w:r>
    </w:p>
    <w:p>
      <w:pPr>
        <w:spacing w:after="2" w:line="336" w:lineRule="atLeast"/>
        <w:ind w:firstLine="643"/>
        <w:rPr>
          <w:rFonts w:ascii="Calibri" w:hAnsi="Calibri" w:cs="Calibri"/>
          <w:color w:val="000000"/>
          <w:szCs w:val="21"/>
        </w:rPr>
      </w:pPr>
      <w:r>
        <w:rPr>
          <w:rFonts w:hint="eastAsia" w:cs="Calibri"/>
          <w:b/>
          <w:bCs/>
          <w:color w:val="000000"/>
          <w:sz w:val="32"/>
          <w:szCs w:val="32"/>
        </w:rPr>
        <w:t>十一、</w:t>
      </w:r>
      <w:r>
        <w:rPr>
          <w:rFonts w:cs="Calibri"/>
          <w:b/>
          <w:bCs/>
          <w:color w:val="000000"/>
          <w:sz w:val="32"/>
          <w:szCs w:val="32"/>
        </w:rPr>
        <w:t>基本支出</w:t>
      </w:r>
      <w:r>
        <w:rPr>
          <w:rFonts w:cs="Calibri"/>
          <w:color w:val="000000"/>
          <w:sz w:val="32"/>
          <w:szCs w:val="32"/>
        </w:rPr>
        <w:t>：指为保障机构正常运转、完成日常工作任务而发生的人员支出和公用支出。</w:t>
      </w:r>
    </w:p>
    <w:p>
      <w:pPr>
        <w:spacing w:after="2" w:line="336" w:lineRule="atLeast"/>
        <w:ind w:firstLine="643"/>
        <w:rPr>
          <w:rFonts w:ascii="Calibri" w:hAnsi="Calibri" w:cs="Calibri"/>
          <w:color w:val="000000"/>
          <w:szCs w:val="21"/>
        </w:rPr>
      </w:pPr>
      <w:r>
        <w:rPr>
          <w:rFonts w:hint="eastAsia" w:cs="Calibri"/>
          <w:b/>
          <w:bCs/>
          <w:color w:val="000000"/>
          <w:sz w:val="32"/>
          <w:szCs w:val="32"/>
        </w:rPr>
        <w:t>十二、</w:t>
      </w:r>
      <w:r>
        <w:rPr>
          <w:rFonts w:cs="Calibri"/>
          <w:b/>
          <w:bCs/>
          <w:color w:val="000000"/>
          <w:sz w:val="32"/>
          <w:szCs w:val="32"/>
        </w:rPr>
        <w:t>项目支出</w:t>
      </w:r>
      <w:r>
        <w:rPr>
          <w:rFonts w:cs="Calibri"/>
          <w:color w:val="000000"/>
          <w:sz w:val="32"/>
          <w:szCs w:val="32"/>
        </w:rPr>
        <w:t>：指在基本支出之外为完成特定行政任务和事业发展目标所发生的支出。</w:t>
      </w:r>
    </w:p>
    <w:p>
      <w:pPr>
        <w:spacing w:after="2" w:line="336" w:lineRule="atLeast"/>
        <w:ind w:firstLine="643"/>
        <w:rPr>
          <w:rFonts w:ascii="Calibri" w:hAnsi="Calibri" w:cs="Calibri"/>
          <w:color w:val="000000"/>
          <w:szCs w:val="21"/>
        </w:rPr>
      </w:pPr>
      <w:r>
        <w:rPr>
          <w:rFonts w:hint="eastAsia" w:cs="Calibri"/>
          <w:b/>
          <w:bCs/>
          <w:color w:val="000000"/>
          <w:sz w:val="32"/>
          <w:szCs w:val="32"/>
        </w:rPr>
        <w:t>十三、</w:t>
      </w:r>
      <w:r>
        <w:rPr>
          <w:rFonts w:cs="Calibri"/>
          <w:b/>
          <w:bCs/>
          <w:color w:val="000000"/>
          <w:sz w:val="32"/>
          <w:szCs w:val="32"/>
        </w:rPr>
        <w:t>经营支出</w:t>
      </w:r>
      <w:r>
        <w:rPr>
          <w:rFonts w:cs="Calibri"/>
          <w:color w:val="000000"/>
          <w:sz w:val="32"/>
          <w:szCs w:val="32"/>
        </w:rPr>
        <w:t>：指事业单位在专业业务活动及其辅助活动之外开展非独立核算经营活动所发生的支出。</w:t>
      </w:r>
    </w:p>
    <w:p>
      <w:pPr>
        <w:spacing w:after="2" w:line="336" w:lineRule="atLeast"/>
        <w:ind w:firstLine="643"/>
        <w:rPr>
          <w:rFonts w:ascii="Calibri" w:hAnsi="Calibri" w:cs="Calibri"/>
          <w:color w:val="000000"/>
          <w:szCs w:val="21"/>
        </w:rPr>
      </w:pPr>
      <w:r>
        <w:rPr>
          <w:rFonts w:hint="eastAsia" w:cs="Calibri"/>
          <w:b/>
          <w:bCs/>
          <w:color w:val="000000"/>
          <w:sz w:val="32"/>
          <w:szCs w:val="32"/>
        </w:rPr>
        <w:t>十四、</w:t>
      </w:r>
      <w:r>
        <w:rPr>
          <w:rFonts w:cs="Calibri"/>
          <w:b/>
          <w:bCs/>
          <w:color w:val="000000"/>
          <w:sz w:val="32"/>
          <w:szCs w:val="32"/>
        </w:rPr>
        <w:t>“三公”经费</w:t>
      </w:r>
      <w:r>
        <w:rPr>
          <w:rFonts w:cs="Calibri"/>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after="2" w:line="336" w:lineRule="atLeast"/>
        <w:ind w:firstLine="643"/>
        <w:rPr>
          <w:rFonts w:ascii="Calibri" w:hAnsi="Calibri" w:cs="Calibri"/>
          <w:color w:val="000000"/>
          <w:szCs w:val="21"/>
        </w:rPr>
      </w:pPr>
      <w:r>
        <w:rPr>
          <w:rFonts w:hint="eastAsia" w:cs="Calibri"/>
          <w:b/>
          <w:bCs/>
          <w:color w:val="000000"/>
          <w:sz w:val="32"/>
          <w:szCs w:val="32"/>
        </w:rPr>
        <w:t>十五、</w:t>
      </w:r>
      <w:r>
        <w:rPr>
          <w:rFonts w:cs="Calibri"/>
          <w:b/>
          <w:bCs/>
          <w:color w:val="000000"/>
          <w:sz w:val="32"/>
          <w:szCs w:val="32"/>
        </w:rPr>
        <w:t>机关运行经费</w:t>
      </w:r>
      <w:r>
        <w:rPr>
          <w:rFonts w:cs="Calibri"/>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hint="eastAsia" w:ascii="黑体" w:eastAsia="黑体" w:cs="黑体"/>
          <w:color w:val="000000"/>
          <w:kern w:val="0"/>
          <w:sz w:val="70"/>
          <w:szCs w:val="70"/>
        </w:rPr>
      </w:pPr>
      <w:r>
        <w:rPr>
          <w:rFonts w:hint="eastAsia" w:ascii="黑体" w:eastAsia="黑体" w:cs="黑体"/>
          <w:color w:val="000000"/>
          <w:kern w:val="0"/>
          <w:sz w:val="70"/>
          <w:szCs w:val="70"/>
        </w:rPr>
        <w:t>附件</w:t>
      </w:r>
    </w:p>
    <w:p>
      <w:pPr>
        <w:jc w:val="center"/>
        <w:rPr>
          <w:rFonts w:hint="eastAsia" w:ascii="黑体" w:eastAsia="黑体" w:cs="黑体"/>
          <w:color w:val="000000"/>
          <w:kern w:val="0"/>
          <w:sz w:val="70"/>
          <w:szCs w:val="70"/>
        </w:rPr>
      </w:pPr>
    </w:p>
    <w:p>
      <w:pPr>
        <w:widowControl/>
        <w:ind w:left="2882" w:leftChars="344" w:hanging="2160" w:hangingChars="600"/>
        <w:jc w:val="left"/>
        <w:rPr>
          <w:rFonts w:ascii="黑体" w:eastAsia="黑体" w:cs="Times New Roman"/>
          <w:color w:val="000000"/>
          <w:kern w:val="0"/>
          <w:sz w:val="70"/>
          <w:szCs w:val="70"/>
        </w:rPr>
      </w:pPr>
      <w:r>
        <w:rPr>
          <w:rFonts w:hint="eastAsia" w:ascii="黑体" w:eastAsia="黑体" w:cs="黑体"/>
          <w:sz w:val="36"/>
          <w:szCs w:val="36"/>
        </w:rPr>
        <w:t>2021年度道县水利和库区移民事务中心整体支出绩效评价报告</w:t>
      </w:r>
    </w:p>
    <w:p>
      <w:pPr>
        <w:jc w:val="center"/>
        <w:rPr>
          <w:rFonts w:ascii="黑体" w:eastAsia="黑体" w:cs="Times New Roman"/>
          <w:sz w:val="36"/>
          <w:szCs w:val="36"/>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156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C0CD0"/>
    <w:rsid w:val="00FE16FA"/>
    <w:rsid w:val="00FE328A"/>
    <w:rsid w:val="00FE6269"/>
    <w:rsid w:val="00FF5CD6"/>
    <w:rsid w:val="086C5C4D"/>
    <w:rsid w:val="1D807E56"/>
    <w:rsid w:val="1FAE381E"/>
    <w:rsid w:val="23F13DFD"/>
    <w:rsid w:val="2ADA33D1"/>
    <w:rsid w:val="37CC469C"/>
    <w:rsid w:val="3F797DA0"/>
    <w:rsid w:val="526F3602"/>
    <w:rsid w:val="59987F3E"/>
    <w:rsid w:val="6567403A"/>
    <w:rsid w:val="67412A2C"/>
    <w:rsid w:val="67D62DE3"/>
    <w:rsid w:val="67E92E36"/>
    <w:rsid w:val="70F01061"/>
    <w:rsid w:val="73241D36"/>
    <w:rsid w:val="77B229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Lines="50" w:line="360" w:lineRule="auto"/>
      <w:outlineLvl w:val="2"/>
    </w:pPr>
    <w:rPr>
      <w:rFonts w:eastAsia="黑体"/>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szCs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paragraph" w:customStyle="1" w:styleId="14">
    <w:name w:val="cjk"/>
    <w:basedOn w:val="1"/>
    <w:qFormat/>
    <w:uiPriority w:val="0"/>
    <w:pPr>
      <w:widowControl/>
      <w:spacing w:before="100" w:beforeAutospacing="1" w:after="119"/>
    </w:pPr>
    <w:rPr>
      <w:rFonts w:ascii="宋体" w:hAnsi="宋体" w:cs="宋体"/>
      <w:color w:val="000000"/>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8714</Words>
  <Characters>11060</Characters>
  <Lines>115</Lines>
  <Paragraphs>32</Paragraphs>
  <TotalTime>1</TotalTime>
  <ScaleCrop>false</ScaleCrop>
  <LinksUpToDate>false</LinksUpToDate>
  <CharactersWithSpaces>11729</CharactersWithSpaces>
  <Application>WPS Office_11.1.0.12763_F1E327BC-269C-435d-A152-05C5408002CA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2023-09-07T07:45:00Z</dcterms:created>
  <dc:creator>李航 null</dc:creator>
  <cp:lastModifiedBy>Administrator</cp:lastModifiedBy>
  <cp:lastPrinted>2022-07-27T12:55:00Z</cp:lastPrinted>
  <dcterms:modified xsi:type="dcterms:W3CDTF">2023-09-28T06:00:53Z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79981F0983CB4E958C54A0C460E52218_13</vt:lpwstr>
  </property>
</Properties>
</file>