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rFonts w:hint="eastAsia"/>
          <w:sz w:val="84"/>
          <w:szCs w:val="84"/>
          <w:lang w:eastAsia="zh-CN"/>
        </w:rPr>
      </w:pPr>
      <w:r>
        <w:rPr>
          <w:rFonts w:hint="eastAsia"/>
          <w:sz w:val="84"/>
          <w:szCs w:val="84"/>
          <w:lang w:eastAsia="zh-CN"/>
        </w:rPr>
        <w:t>道县行政审批服务局</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both"/>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道县行政审批服务局</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hint="eastAsia" w:cs="仿宋_GB2312" w:asciiTheme="minorEastAsia" w:hAnsiTheme="minorEastAsia" w:eastAsiaTheme="minorEastAsia"/>
          <w:sz w:val="28"/>
          <w:szCs w:val="28"/>
          <w:lang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eastAsia="zh-CN"/>
        </w:rPr>
        <w:t>与决算单位构成</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lang w:eastAsia="zh-CN"/>
        </w:rPr>
        <w:t>道县行政审批服务局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asciiTheme="minorEastAsia" w:hAnsiTheme="minorEastAsia"/>
          <w:sz w:val="32"/>
          <w:szCs w:val="32"/>
        </w:rPr>
      </w:pPr>
      <w:r>
        <w:rPr>
          <w:rFonts w:hint="eastAsia" w:asciiTheme="minorEastAsia" w:hAnsiTheme="minorEastAsia"/>
          <w:sz w:val="32"/>
          <w:szCs w:val="32"/>
        </w:rPr>
        <w:t>（一）</w:t>
      </w:r>
      <w:r>
        <w:rPr>
          <w:rFonts w:hint="eastAsia" w:ascii="宋体" w:hAnsi="宋体" w:eastAsia="宋体" w:cs="宋体"/>
          <w:sz w:val="32"/>
          <w:szCs w:val="32"/>
        </w:rPr>
        <w:t>推进、指导、协调、监督全县政务公开(政府信息公开、办事公开)和政务服务体系建设。承担县政务公开政务服务领导 小组办公室的日常工作；拟订全县政务公开、政务服务工作发展 规划和年度计划，建立和完善相应工作机制。</w:t>
      </w:r>
    </w:p>
    <w:p>
      <w:pPr>
        <w:ind w:firstLine="640" w:firstLineChars="200"/>
        <w:rPr>
          <w:rFonts w:hint="eastAsia" w:ascii="宋体" w:hAnsi="宋体" w:eastAsia="宋体" w:cs="宋体"/>
          <w:sz w:val="32"/>
          <w:szCs w:val="32"/>
        </w:rPr>
      </w:pPr>
      <w:r>
        <w:rPr>
          <w:rFonts w:hint="eastAsia" w:asciiTheme="minorEastAsia" w:hAnsiTheme="minorEastAsia"/>
          <w:sz w:val="32"/>
          <w:szCs w:val="32"/>
        </w:rPr>
        <w:t>（二）</w:t>
      </w:r>
      <w:r>
        <w:rPr>
          <w:rFonts w:hint="eastAsia" w:ascii="宋体" w:hAnsi="宋体" w:eastAsia="宋体" w:cs="宋体"/>
          <w:sz w:val="32"/>
          <w:szCs w:val="32"/>
        </w:rPr>
        <w:t>指导、协调、推进全县行政审批制度改革工作。承担县行政审批制度改革领导小组办公室的日常工作；拟订行政审批服务有关规章制度及管理办法并组织监督实施；牵头负责县“放管服”改革工作。</w:t>
      </w:r>
    </w:p>
    <w:p>
      <w:pPr>
        <w:ind w:firstLine="640"/>
        <w:jc w:val="left"/>
        <w:rPr>
          <w:rFonts w:hint="eastAsia" w:ascii="宋体" w:hAnsi="宋体" w:eastAsia="宋体" w:cs="宋体"/>
          <w:sz w:val="32"/>
          <w:szCs w:val="32"/>
        </w:rPr>
      </w:pPr>
      <w:r>
        <w:rPr>
          <w:rFonts w:hint="eastAsia" w:asciiTheme="minorEastAsia" w:hAnsiTheme="minorEastAsia"/>
          <w:sz w:val="32"/>
          <w:szCs w:val="32"/>
          <w:lang w:val="en-US" w:eastAsia="zh-CN"/>
        </w:rPr>
        <w:t>（三）</w:t>
      </w:r>
      <w:r>
        <w:rPr>
          <w:rFonts w:hint="eastAsia" w:ascii="宋体" w:hAnsi="宋体" w:eastAsia="宋体" w:cs="宋体"/>
          <w:sz w:val="32"/>
          <w:szCs w:val="32"/>
        </w:rPr>
        <w:t>统筹协调、规划指导、监督评估全县电子政务等工作；统筹推进、协调监督全县“互联网+政务服务”工作。统筹规划、监督考核全县电子政务网络和政府系统网站。</w:t>
      </w:r>
    </w:p>
    <w:p>
      <w:pPr>
        <w:pStyle w:val="2"/>
        <w:ind w:firstLine="640"/>
        <w:rPr>
          <w:rFonts w:hint="eastAsia" w:ascii="宋体" w:hAnsi="宋体" w:eastAsia="宋体" w:cs="宋体"/>
          <w:kern w:val="2"/>
          <w:sz w:val="32"/>
          <w:szCs w:val="32"/>
          <w:lang w:val="en-US" w:eastAsia="zh-CN" w:bidi="ar-SA"/>
        </w:rPr>
      </w:pPr>
      <w:r>
        <w:rPr>
          <w:rFonts w:hint="eastAsia"/>
          <w:sz w:val="32"/>
          <w:szCs w:val="32"/>
          <w:lang w:val="en-US" w:eastAsia="zh-CN"/>
        </w:rPr>
        <w:t>（四）</w:t>
      </w:r>
      <w:r>
        <w:rPr>
          <w:rFonts w:hint="eastAsia" w:ascii="宋体" w:hAnsi="宋体" w:eastAsia="宋体" w:cs="宋体"/>
          <w:kern w:val="2"/>
          <w:sz w:val="32"/>
          <w:szCs w:val="32"/>
          <w:lang w:val="en-US" w:eastAsia="zh-CN" w:bidi="ar-SA"/>
        </w:rPr>
        <w:t>统筹协调、规划指导、监督评估全县政务信息化、大数据建设管理和应用等工作；组织协调推进政务数据资源共享和开放工作，统筹政务数据资源的采集、分类、管理、分析和应用工作。</w:t>
      </w:r>
    </w:p>
    <w:p>
      <w:pPr>
        <w:keepNext w:val="0"/>
        <w:keepLines w:val="0"/>
        <w:pageBreakBefore w:val="0"/>
        <w:kinsoku/>
        <w:wordWrap/>
        <w:overflowPunct/>
        <w:topLinePunct w:val="0"/>
        <w:autoSpaceDE/>
        <w:autoSpaceDN/>
        <w:bidi w:val="0"/>
        <w:spacing w:beforeAutospacing="0" w:line="520" w:lineRule="exact"/>
        <w:ind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（五）承担县优化营商环境联席会议办公室的日常工作。负责全县优化营商环境工作的组织实施和监督、检查、考核；维护营商政务、法制、信用等环境；协调推进全县行政效能工作。</w:t>
      </w:r>
    </w:p>
    <w:p>
      <w:pPr>
        <w:keepNext w:val="0"/>
        <w:keepLines w:val="0"/>
        <w:pageBreakBefore w:val="0"/>
        <w:kinsoku/>
        <w:wordWrap/>
        <w:overflowPunct/>
        <w:topLinePunct w:val="0"/>
        <w:autoSpaceDE/>
        <w:autoSpaceDN/>
        <w:bidi w:val="0"/>
        <w:spacing w:beforeAutospacing="0" w:line="520" w:lineRule="exact"/>
        <w:ind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（六）承担县社会诚信体系建设领导小组办公室的日常工作。组织协调、监督推进全县有关中央、省社会信用体系建设的法律 法规、决策部署的贯彻落实。拟订并组织实施全县社会信用体系 建设的总体规划和政策措施；统筹推进统一的信用信息平台建设，促进信用信息资源的整合与运用，协调社会信用体系建设的重大问题；拟订守信联合激励和失信联合惩戒制度，牵头组织对重点领域和严重失信行为实施联合惩戒。</w:t>
      </w:r>
    </w:p>
    <w:p>
      <w:pPr>
        <w:keepNext w:val="0"/>
        <w:keepLines w:val="0"/>
        <w:pageBreakBefore w:val="0"/>
        <w:kinsoku/>
        <w:wordWrap/>
        <w:overflowPunct/>
        <w:topLinePunct w:val="0"/>
        <w:autoSpaceDE/>
        <w:autoSpaceDN/>
        <w:bidi w:val="0"/>
        <w:spacing w:beforeAutospacing="0" w:line="520" w:lineRule="exact"/>
        <w:ind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（七）承担县政务联动处置领导小组办公室的日常工作。负责 拟订全县政务联动处置和城乡网格化建设管理工作规则；统筹规划、指挥协调、管理督导全县12345公共服务热线、政务联动处 置和城乡网格化建设管理。</w:t>
      </w:r>
    </w:p>
    <w:p>
      <w:pPr>
        <w:keepNext w:val="0"/>
        <w:keepLines w:val="0"/>
        <w:pageBreakBefore w:val="0"/>
        <w:kinsoku/>
        <w:wordWrap/>
        <w:overflowPunct/>
        <w:topLinePunct w:val="0"/>
        <w:autoSpaceDE/>
        <w:autoSpaceDN/>
        <w:bidi w:val="0"/>
        <w:spacing w:beforeAutospacing="0" w:line="520" w:lineRule="exact"/>
        <w:ind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（八）承办县委、县政府交办的其他事项，承办县人大建议、县政协提案等事宜。</w:t>
      </w:r>
    </w:p>
    <w:p>
      <w:pPr>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行政审批服务局</w:t>
      </w:r>
      <w:r>
        <w:rPr>
          <w:rFonts w:hint="eastAsia" w:asciiTheme="minorEastAsia" w:hAnsiTheme="minorEastAsia"/>
          <w:bCs/>
          <w:kern w:val="0"/>
          <w:sz w:val="32"/>
          <w:szCs w:val="32"/>
        </w:rPr>
        <w:t>单位内设机构包括：</w:t>
      </w:r>
      <w:r>
        <w:rPr>
          <w:rFonts w:hint="eastAsia" w:asciiTheme="minorEastAsia" w:hAnsiTheme="minorEastAsia"/>
          <w:bCs/>
          <w:kern w:val="0"/>
          <w:sz w:val="32"/>
          <w:szCs w:val="32"/>
          <w:lang w:eastAsia="zh-CN"/>
        </w:rPr>
        <w:t>综合办公室、政工财务股、政务联动处置股、政务公开和服务管理股（加挂县政务公开政务服务领导小组办公室牌子）、行政审批制度改革股、大数据建设管理股（电子政务室）、社会信用体系建设管理股、优化营商环境工作办公室（政策法规股）8个管理机构。</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道县行政审批服务局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道县行政审批局</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道县行政审批服务局</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696.46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651.20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371.58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371.58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1,068.04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1,068.04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1,068.04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1,068.04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单位没有国有资本经营预算财政拨款收入、上级补助收入、事业收入、经营收入、附属单位上缴收入、其他收入，也没有外交支出、国防支出、公共安全支出、教育支出、科学技术支出、文化旅游体育与传媒支出、节能环保支出、交通运输支出、资源勘探工业信息等支出、商业服务也等支出、金融支出等支出，故本表格无数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2094"/>
        <w:gridCol w:w="414"/>
        <w:gridCol w:w="1461"/>
        <w:gridCol w:w="1544"/>
        <w:gridCol w:w="1544"/>
        <w:gridCol w:w="1544"/>
        <w:gridCol w:w="1544"/>
        <w:gridCol w:w="1544"/>
        <w:gridCol w:w="1544"/>
        <w:gridCol w:w="2195"/>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0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5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道县行政审批服务局</w:t>
            </w:r>
          </w:p>
        </w:tc>
        <w:tc>
          <w:tcPr>
            <w:tcW w:w="14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5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6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1"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1,068.04</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1,068.04</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651.20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651.20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333.73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333.73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237.74</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237.74</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2010306</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政务公开审批</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32.43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32.43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63.56</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63.56</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20104</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发展与改革事务</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313.85</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313.85</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2010401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313.85</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313.85</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0.76</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0.76</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371.58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371.58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371.58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371.58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2120802</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371.58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371.58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2130399</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093" w:type="dxa"/>
        <w:tblInd w:w="93" w:type="dxa"/>
        <w:tblLayout w:type="fixed"/>
        <w:tblCellMar>
          <w:top w:w="0" w:type="dxa"/>
          <w:left w:w="108" w:type="dxa"/>
          <w:bottom w:w="0" w:type="dxa"/>
          <w:right w:w="108" w:type="dxa"/>
        </w:tblCellMar>
      </w:tblPr>
      <w:tblGrid>
        <w:gridCol w:w="986"/>
        <w:gridCol w:w="1660"/>
        <w:gridCol w:w="275"/>
        <w:gridCol w:w="1300"/>
        <w:gridCol w:w="1200"/>
        <w:gridCol w:w="1327"/>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26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2646"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道县行政审批服务局</w:t>
            </w:r>
          </w:p>
        </w:tc>
        <w:tc>
          <w:tcPr>
            <w:tcW w:w="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22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92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9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2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20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42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1,068.04</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666.46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401.58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651.20</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651.20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333.73</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237.74</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237.74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2010306</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政务公开审批</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32.43</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63.56</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发展与改革事务</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313.85</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2010401</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313.85</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11.63</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11.63</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10.88</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0.76</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3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371.58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371.58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2120802</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371.58</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2130399</w:t>
            </w:r>
          </w:p>
        </w:tc>
        <w:tc>
          <w:tcPr>
            <w:tcW w:w="323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32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1"/>
        <w:gridCol w:w="436"/>
        <w:gridCol w:w="1331"/>
        <w:gridCol w:w="259"/>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0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道县行政审批服务局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0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5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63"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696.46</w:t>
            </w: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651.20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651.20</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371.58</w:t>
            </w: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11.63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11.63</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3.63</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371.58</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371.58</w:t>
            </w: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30.00</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88"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3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1,068.04</w:t>
            </w: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1,068.04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696.46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371.58</w:t>
            </w: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3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0"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3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1,068.04</w:t>
            </w:r>
          </w:p>
        </w:tc>
        <w:tc>
          <w:tcPr>
            <w:tcW w:w="317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1,068.04</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696.46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371.58</w:t>
            </w: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单位没有国有资本经营财政拨款收入，也没有外交支出、国防支出、公共安全支出、教育支出、科学技术支出、文化旅游体育与传媒支出、节能环保支出、交通运输支出、资源勘探工业信息等支出、商业服务业等支出、金融支出、援助其他地区支出。故本表格无数据。</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道县行政审批服务局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983"/>
        <w:gridCol w:w="3307"/>
        <w:gridCol w:w="2833"/>
        <w:gridCol w:w="3286"/>
        <w:gridCol w:w="2824"/>
      </w:tblGrid>
      <w:tr>
        <w:tblPrEx>
          <w:tblCellMar>
            <w:top w:w="0" w:type="dxa"/>
            <w:left w:w="108" w:type="dxa"/>
            <w:bottom w:w="0" w:type="dxa"/>
            <w:right w:w="108" w:type="dxa"/>
          </w:tblCellMar>
        </w:tblPrEx>
        <w:trPr>
          <w:trHeight w:val="405" w:hRule="atLeast"/>
          <w:jc w:val="center"/>
        </w:trPr>
        <w:tc>
          <w:tcPr>
            <w:tcW w:w="527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696.46</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666.46</w:t>
            </w: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651.20</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651.20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333.73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333.73</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237.74</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237.74</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2010306</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政务公开审批</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32.43</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63.56</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63.56</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发展与改革事务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313.85</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313.85</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2010401</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313.85</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313.85</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11.63</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11.63</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10.88</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10.88</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0.76</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2130399</w:t>
            </w:r>
          </w:p>
        </w:tc>
        <w:tc>
          <w:tcPr>
            <w:tcW w:w="4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312"/>
        <w:gridCol w:w="3124"/>
        <w:gridCol w:w="900"/>
        <w:gridCol w:w="1209"/>
        <w:gridCol w:w="2186"/>
        <w:gridCol w:w="900"/>
        <w:gridCol w:w="1209"/>
        <w:gridCol w:w="3875"/>
        <w:gridCol w:w="899"/>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道县行政审批服务局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283.33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361.55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115.39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65.59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32.93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14.37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34.12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49.17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17.18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22.58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25.42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21.59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21.51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43.71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88.68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31.66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304.91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361.55</w:t>
            </w:r>
          </w:p>
        </w:tc>
      </w:tr>
      <w:tr>
        <w:tblPrEx>
          <w:tblCellMar>
            <w:top w:w="0" w:type="dxa"/>
            <w:left w:w="108" w:type="dxa"/>
            <w:bottom w:w="0" w:type="dxa"/>
            <w:right w:w="108" w:type="dxa"/>
          </w:tblCellMar>
        </w:tblPrEx>
        <w:trPr>
          <w:trHeight w:val="2334" w:hRule="exact"/>
        </w:trPr>
        <w:tc>
          <w:tcPr>
            <w:tcW w:w="0" w:type="auto"/>
            <w:gridSpan w:val="9"/>
            <w:tcBorders>
              <w:top w:val="nil"/>
              <w:left w:val="nil"/>
              <w:bottom w:val="nil"/>
              <w:right w:val="nil"/>
            </w:tcBorders>
            <w:shd w:val="clear" w:color="auto" w:fill="auto"/>
            <w:noWrap/>
            <w:vAlign w:val="center"/>
          </w:tcPr>
          <w:p>
            <w:pPr>
              <w:widowControl/>
              <w:jc w:val="left"/>
              <w:rPr>
                <w:rFonts w:hint="default" w:ascii="宋体" w:hAnsi="宋体" w:eastAsia="宋体" w:cs="宋体"/>
                <w:color w:val="000000"/>
                <w:kern w:val="0"/>
                <w:szCs w:val="24"/>
                <w:lang w:val="en-US" w:eastAsia="zh-CN"/>
              </w:rPr>
            </w:pPr>
            <w:r>
              <w:rPr>
                <w:rFonts w:hint="eastAsia" w:ascii="宋体" w:hAnsi="宋体" w:eastAsia="宋体" w:cs="宋体"/>
                <w:color w:val="000000"/>
                <w:kern w:val="0"/>
                <w:szCs w:val="24"/>
                <w:lang w:eastAsia="zh-CN"/>
              </w:rPr>
              <w:t>单位没有公务员医疗补助缴费、其他社会保险缴费、住房公积金、医疗费、其他工资福利支出、离休费、退休费、退役费、抚恤金、救济费、医疗费补助、助学金奖励金、个人农业生产补贴、代缴社会保险费、咨询费、取暖费、因公出国（境）费、专用材料费、被装购置费、专用燃料费、委托业务费、公务用车运行维护、税金及附加费用、债务利息及费用支出、国内债务付息、国外债务付息、资本性支出、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其他支出、赠与、国家赔偿费用支出、对民间非营利组织和群众性自治组织、其他支出的相关支出，故表中这些项目没有数据。</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280" w:hanging="14280" w:hangingChars="68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道县行政审批服务局</w:t>
      </w:r>
      <w:r>
        <w:rPr>
          <w:rFonts w:ascii="Times New Roman" w:hAnsi="Times New Roman" w:eastAsia="仿宋_GB2312" w:cs="Times New Roman"/>
          <w:color w:val="000000"/>
          <w:kern w:val="0"/>
          <w:szCs w:val="21"/>
        </w:rPr>
        <w:t xml:space="preserve">                                                                                                              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8.91</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8.91</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道县行政审批服务局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0"/>
        <w:gridCol w:w="1239"/>
        <w:gridCol w:w="1857"/>
        <w:gridCol w:w="1898"/>
        <w:gridCol w:w="1898"/>
        <w:gridCol w:w="1857"/>
        <w:gridCol w:w="1898"/>
        <w:gridCol w:w="18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5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53"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6"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7" w:type="dxa"/>
            <w:vMerge w:val="continue"/>
            <w:vAlign w:val="center"/>
          </w:tcPr>
          <w:p>
            <w:pPr>
              <w:widowControl/>
              <w:jc w:val="left"/>
              <w:rPr>
                <w:rFonts w:ascii="Times New Roman" w:hAnsi="Times New Roman" w:eastAsia="仿宋_GB2312" w:cs="Times New Roman"/>
                <w:b/>
                <w:kern w:val="0"/>
                <w:szCs w:val="21"/>
              </w:rPr>
            </w:pPr>
          </w:p>
        </w:tc>
        <w:tc>
          <w:tcPr>
            <w:tcW w:w="1898" w:type="dxa"/>
            <w:vMerge w:val="continue"/>
            <w:vAlign w:val="center"/>
          </w:tcPr>
          <w:p>
            <w:pPr>
              <w:widowControl/>
              <w:jc w:val="left"/>
              <w:rPr>
                <w:rFonts w:ascii="Times New Roman" w:hAnsi="Times New Roman" w:eastAsia="仿宋_GB2312" w:cs="Times New Roman"/>
                <w:b/>
                <w:kern w:val="0"/>
                <w:szCs w:val="21"/>
              </w:rPr>
            </w:pPr>
          </w:p>
        </w:tc>
        <w:tc>
          <w:tcPr>
            <w:tcW w:w="189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5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7"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6" w:type="dxa"/>
            <w:gridSpan w:val="2"/>
            <w:vMerge w:val="continue"/>
            <w:vAlign w:val="center"/>
          </w:tcPr>
          <w:p>
            <w:pPr>
              <w:widowControl/>
              <w:jc w:val="left"/>
              <w:rPr>
                <w:rFonts w:ascii="Times New Roman" w:hAnsi="Times New Roman" w:eastAsia="仿宋_GB2312" w:cs="Times New Roman"/>
                <w:kern w:val="0"/>
                <w:szCs w:val="21"/>
              </w:rPr>
            </w:pPr>
          </w:p>
        </w:tc>
        <w:tc>
          <w:tcPr>
            <w:tcW w:w="1239"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6" w:type="dxa"/>
            <w:gridSpan w:val="2"/>
            <w:vMerge w:val="continue"/>
            <w:vAlign w:val="center"/>
          </w:tcPr>
          <w:p>
            <w:pPr>
              <w:widowControl/>
              <w:jc w:val="left"/>
              <w:rPr>
                <w:rFonts w:ascii="Times New Roman" w:hAnsi="Times New Roman" w:eastAsia="仿宋_GB2312" w:cs="Times New Roman"/>
                <w:kern w:val="0"/>
                <w:szCs w:val="21"/>
              </w:rPr>
            </w:pPr>
          </w:p>
        </w:tc>
        <w:tc>
          <w:tcPr>
            <w:tcW w:w="1239"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c>
          <w:tcPr>
            <w:tcW w:w="1898" w:type="dxa"/>
            <w:vMerge w:val="continue"/>
            <w:vAlign w:val="center"/>
          </w:tcPr>
          <w:p>
            <w:pPr>
              <w:widowControl/>
              <w:jc w:val="left"/>
              <w:rPr>
                <w:rFonts w:ascii="Times New Roman" w:hAnsi="Times New Roman" w:eastAsia="仿宋_GB2312" w:cs="Times New Roman"/>
                <w:kern w:val="0"/>
                <w:szCs w:val="21"/>
              </w:rPr>
            </w:pPr>
          </w:p>
        </w:tc>
        <w:tc>
          <w:tcPr>
            <w:tcW w:w="1857"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5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8"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8"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5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8"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5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371.58</w:t>
            </w: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371.58</w:t>
            </w: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371.58</w:t>
            </w:r>
          </w:p>
        </w:tc>
        <w:tc>
          <w:tcPr>
            <w:tcW w:w="1857"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371.58</w:t>
            </w: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371.58</w:t>
            </w: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371.58</w:t>
            </w:r>
          </w:p>
        </w:tc>
        <w:tc>
          <w:tcPr>
            <w:tcW w:w="1857"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371.58</w:t>
            </w: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371.58</w:t>
            </w: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371.58</w:t>
            </w:r>
          </w:p>
        </w:tc>
        <w:tc>
          <w:tcPr>
            <w:tcW w:w="1857"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2120802</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371.58</w:t>
            </w: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371.58</w:t>
            </w:r>
          </w:p>
        </w:tc>
        <w:tc>
          <w:tcPr>
            <w:tcW w:w="1857" w:type="dxa"/>
            <w:shd w:val="clear" w:color="auto" w:fill="auto"/>
            <w:vAlign w:val="center"/>
          </w:tcPr>
          <w:p>
            <w:pPr>
              <w:jc w:val="right"/>
              <w:rPr>
                <w:rFonts w:ascii="Times New Roman" w:hAnsi="Times New Roman" w:eastAsia="仿宋_GB2312" w:cs="Times New Roman"/>
                <w:kern w:val="0"/>
                <w:szCs w:val="21"/>
              </w:rPr>
            </w:pPr>
          </w:p>
        </w:tc>
        <w:tc>
          <w:tcPr>
            <w:tcW w:w="189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371.58</w:t>
            </w:r>
          </w:p>
        </w:tc>
        <w:tc>
          <w:tcPr>
            <w:tcW w:w="1857"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2709"/>
        <w:gridCol w:w="537"/>
        <w:gridCol w:w="325"/>
        <w:gridCol w:w="1264"/>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3246"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5"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4"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3246"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道县行政审批服务局</w:t>
            </w:r>
          </w:p>
        </w:tc>
        <w:tc>
          <w:tcPr>
            <w:tcW w:w="325"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4"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5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5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5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5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5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571"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4"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单位没有国有资本经营预算财政拨款支出，故表中没有数据。</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hint="eastAsia" w:eastAsia="黑体" w:asciiTheme="minorEastAsia" w:hAnsi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1068.04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160.18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17.64</w:t>
      </w:r>
      <w:r>
        <w:rPr>
          <w:rFonts w:hint="eastAsia" w:ascii="仿宋_GB2312" w:hAnsi="宋体" w:eastAsia="仿宋_GB2312" w:cs="宋体"/>
          <w:color w:val="333333"/>
          <w:kern w:val="0"/>
          <w:sz w:val="32"/>
          <w:szCs w:val="32"/>
        </w:rPr>
        <w:t>%</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单位处于发展阶段，业务逐渐成熟，项目有所增加，财政拨款金额增加</w:t>
      </w:r>
      <w:r>
        <w:rPr>
          <w:rFonts w:hint="eastAsia" w:ascii="宋体" w:hAnsi="宋体" w:cs="宋体"/>
          <w:color w:val="333333"/>
          <w:kern w:val="0"/>
          <w:sz w:val="32"/>
          <w:szCs w:val="32"/>
          <w:lang w:eastAsia="zh-CN"/>
        </w:rPr>
        <w:t>。</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仿宋_GB2312" w:eastAsia="仿宋_GB2312"/>
          <w:sz w:val="30"/>
          <w:szCs w:val="30"/>
          <w:lang w:val="en-US" w:eastAsia="zh-CN"/>
        </w:rPr>
        <w:t>1068.04</w:t>
      </w:r>
      <w:r>
        <w:rPr>
          <w:rFonts w:hint="eastAsia" w:asciiTheme="minorEastAsia" w:hAnsiTheme="minorEastAsia" w:eastAsiaTheme="minorEastAsia"/>
          <w:sz w:val="32"/>
          <w:szCs w:val="32"/>
        </w:rPr>
        <w:t>万元，其中：财政拨款收入</w:t>
      </w:r>
      <w:r>
        <w:rPr>
          <w:rFonts w:hint="eastAsia" w:ascii="仿宋_GB2312" w:eastAsia="仿宋_GB2312"/>
          <w:sz w:val="30"/>
          <w:szCs w:val="30"/>
          <w:lang w:val="en-US" w:eastAsia="zh-CN"/>
        </w:rPr>
        <w:t>1068.04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仿宋_GB2312" w:eastAsia="仿宋_GB2312"/>
          <w:sz w:val="30"/>
          <w:szCs w:val="30"/>
          <w:lang w:val="en-US" w:eastAsia="zh-CN"/>
        </w:rPr>
        <w:t>1068.04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666.46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62.4</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401.58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四、财政拨款收入支出决算总体情况说明</w:t>
      </w:r>
    </w:p>
    <w:p>
      <w:pPr>
        <w:pStyle w:val="12"/>
        <w:rPr>
          <w:rFonts w:hint="eastAsia" w:eastAsia="黑体" w:asciiTheme="minorEastAsia" w:hAnsi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仿宋_GB2312" w:eastAsia="仿宋_GB2312"/>
          <w:sz w:val="30"/>
          <w:szCs w:val="30"/>
          <w:lang w:val="en-US" w:eastAsia="zh-CN"/>
        </w:rPr>
        <w:t>1068.04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160.18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17.64</w:t>
      </w:r>
      <w:r>
        <w:rPr>
          <w:rFonts w:hint="eastAsia" w:ascii="仿宋_GB2312" w:hAnsi="宋体" w:eastAsia="仿宋_GB2312" w:cs="宋体"/>
          <w:color w:val="333333"/>
          <w:kern w:val="0"/>
          <w:sz w:val="32"/>
          <w:szCs w:val="32"/>
        </w:rPr>
        <w:t>%</w:t>
      </w:r>
      <w:r>
        <w:rPr>
          <w:rFonts w:hint="eastAsia" w:asciiTheme="minorEastAsia" w:hAnsiTheme="minorEastAsia" w:eastAsiaTheme="minorEastAsia"/>
          <w:sz w:val="32"/>
          <w:szCs w:val="32"/>
        </w:rPr>
        <w:t>，主要是因为按政策增加人员支出</w:t>
      </w:r>
      <w:r>
        <w:rPr>
          <w:rFonts w:hint="eastAsia" w:ascii="宋体" w:hAnsi="宋体" w:cs="宋体"/>
          <w:color w:val="333333"/>
          <w:kern w:val="0"/>
          <w:sz w:val="32"/>
          <w:szCs w:val="32"/>
          <w:lang w:eastAsia="zh-CN"/>
        </w:rPr>
        <w:t>。</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1068.04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160.18</w:t>
      </w:r>
      <w:r>
        <w:rPr>
          <w:rFonts w:hint="eastAsia" w:asciiTheme="minorEastAsia" w:hAnsiTheme="minorEastAsia" w:eastAsiaTheme="minorEastAsia"/>
          <w:sz w:val="32"/>
          <w:szCs w:val="32"/>
        </w:rPr>
        <w:t>万元，增长</w:t>
      </w:r>
      <w:r>
        <w:rPr>
          <w:rFonts w:hint="eastAsia" w:ascii="仿宋_GB2312" w:hAnsi="宋体" w:eastAsia="仿宋_GB2312" w:cs="宋体"/>
          <w:color w:val="333333"/>
          <w:kern w:val="0"/>
          <w:sz w:val="32"/>
          <w:szCs w:val="32"/>
          <w:lang w:val="en-US" w:eastAsia="zh-CN"/>
        </w:rPr>
        <w:t>17.64</w:t>
      </w:r>
      <w:r>
        <w:rPr>
          <w:rFonts w:hint="eastAsia" w:ascii="仿宋_GB2312" w:hAnsi="宋体" w:eastAsia="仿宋_GB2312" w:cs="宋体"/>
          <w:color w:val="333333"/>
          <w:kern w:val="0"/>
          <w:sz w:val="32"/>
          <w:szCs w:val="32"/>
        </w:rPr>
        <w:t>%</w:t>
      </w:r>
      <w:r>
        <w:rPr>
          <w:rFonts w:hint="eastAsia" w:asciiTheme="minorEastAsia" w:hAnsiTheme="minorEastAsia" w:eastAsiaTheme="minorEastAsia"/>
          <w:sz w:val="32"/>
          <w:szCs w:val="32"/>
        </w:rPr>
        <w:t>，主要是因为按政策增加人员支出</w:t>
      </w:r>
      <w:r>
        <w:rPr>
          <w:rFonts w:hint="eastAsia" w:asciiTheme="minorEastAsia" w:hAnsiTheme="minorEastAsia" w:eastAsiaTheme="minorEastAsia"/>
          <w:sz w:val="32"/>
          <w:szCs w:val="32"/>
          <w:lang w:eastAsia="zh-CN"/>
        </w:rPr>
        <w:t>。</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1068.04</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696.46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65.2</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11.63万元，占1%；卫生健康支出3.63万元，占0.33%；城乡社区支出371.58万元，占33.4%；农林水支出30万元，占2.7%。</w:t>
      </w:r>
    </w:p>
    <w:p>
      <w:pPr>
        <w:pStyle w:val="12"/>
        <w:ind w:firstLine="640" w:firstLineChars="200"/>
        <w:rPr>
          <w:rFonts w:asciiTheme="minorEastAsia" w:hAnsiTheme="minorEastAsia" w:eastAsiaTheme="minorEastAsia"/>
          <w:sz w:val="32"/>
          <w:szCs w:val="32"/>
        </w:rPr>
      </w:pP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仿宋_GB2312" w:hAnsi="宋体" w:eastAsia="仿宋_GB2312" w:cs="宋体"/>
          <w:color w:val="333333"/>
          <w:kern w:val="0"/>
          <w:sz w:val="32"/>
          <w:szCs w:val="32"/>
          <w:lang w:val="en-US" w:eastAsia="zh-CN"/>
        </w:rPr>
        <w:t>1113.4</w:t>
      </w:r>
      <w:r>
        <w:rPr>
          <w:rFonts w:hint="eastAsia" w:asciiTheme="minorEastAsia" w:hAnsiTheme="minorEastAsia" w:eastAsiaTheme="minorEastAsia"/>
          <w:sz w:val="32"/>
          <w:szCs w:val="32"/>
        </w:rPr>
        <w:t>万元，支出决算数</w:t>
      </w:r>
      <w:r>
        <w:rPr>
          <w:rFonts w:hint="eastAsia" w:ascii="仿宋_GB2312" w:hAnsi="黑体" w:eastAsia="仿宋_GB2312"/>
          <w:sz w:val="32"/>
          <w:szCs w:val="32"/>
          <w:lang w:val="en-US" w:eastAsia="zh-CN"/>
        </w:rPr>
        <w:t>1068.04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%，其中：</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696.46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651.2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93.5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val="en-US" w:eastAsia="zh-CN"/>
        </w:rPr>
        <w:t>财政资金压缩支出。</w:t>
      </w:r>
    </w:p>
    <w:p>
      <w:pPr>
        <w:pStyle w:val="12"/>
        <w:rPr>
          <w:rFonts w:hAnsi="黑体"/>
          <w:b/>
          <w:sz w:val="32"/>
          <w:szCs w:val="32"/>
        </w:rPr>
      </w:pPr>
      <w:r>
        <w:rPr>
          <w:rFonts w:hint="eastAsia" w:hAnsi="黑体"/>
          <w:b/>
          <w:sz w:val="32"/>
          <w:szCs w:val="32"/>
        </w:rPr>
        <w:t>六、一般公共预算财政拨款基本支出决算情况说明</w:t>
      </w:r>
    </w:p>
    <w:p>
      <w:pPr>
        <w:pStyle w:val="16"/>
        <w:keepNext w:val="0"/>
        <w:keepLines w:val="0"/>
        <w:widowControl/>
        <w:suppressLineNumbers w:val="0"/>
        <w:spacing w:before="0" w:beforeAutospacing="0" w:after="2" w:afterAutospacing="0"/>
        <w:ind w:left="0" w:right="0" w:firstLine="420"/>
        <w:rPr>
          <w:rFonts w:hint="eastAsia" w:ascii="宋体" w:hAnsi="宋体" w:eastAsia="宋体" w:cs="宋体"/>
          <w:kern w:val="0"/>
          <w:sz w:val="27"/>
          <w:szCs w:val="27"/>
        </w:rPr>
      </w:pPr>
      <w:r>
        <w:rPr>
          <w:rFonts w:hint="eastAsia" w:asciiTheme="minorEastAsia" w:hAnsiTheme="minorEastAsia" w:eastAsiaTheme="minorEastAsia"/>
          <w:sz w:val="32"/>
          <w:szCs w:val="32"/>
        </w:rPr>
        <w:t>2021年度财政拨款基本支出万元，其中：人员经费</w:t>
      </w:r>
      <w:r>
        <w:rPr>
          <w:rFonts w:hint="eastAsia" w:asciiTheme="minorEastAsia" w:hAnsiTheme="minorEastAsia" w:eastAsiaTheme="minorEastAsia"/>
          <w:sz w:val="32"/>
          <w:szCs w:val="32"/>
          <w:lang w:val="en-US" w:eastAsia="zh-CN"/>
        </w:rPr>
        <w:t>304.9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28.5</w:t>
      </w:r>
      <w:r>
        <w:rPr>
          <w:rFonts w:hint="eastAsia" w:asciiTheme="minorEastAsia" w:hAnsiTheme="minorEastAsia" w:eastAsiaTheme="minorEastAsia"/>
          <w:sz w:val="32"/>
          <w:szCs w:val="32"/>
        </w:rPr>
        <w:t>%,主要包括</w:t>
      </w:r>
      <w:r>
        <w:rPr>
          <w:rFonts w:hint="eastAsia" w:ascii="宋体" w:hAnsi="宋体" w:eastAsia="宋体" w:cs="宋体"/>
          <w:color w:val="000000"/>
          <w:kern w:val="0"/>
          <w:sz w:val="32"/>
          <w:szCs w:val="32"/>
        </w:rPr>
        <w:t>基本工资、津贴补贴、奖金、绩效工资、机关事业单位基本养老保险缴费、职业年金缴费、职工基本医疗保险缴费、其他工资福利支出、生活补助</w:t>
      </w:r>
      <w:r>
        <w:rPr>
          <w:rFonts w:hint="eastAsia" w:asciiTheme="minorEastAsia" w:hAnsiTheme="minorEastAsia" w:eastAsiaTheme="minorEastAsia"/>
          <w:sz w:val="32"/>
          <w:szCs w:val="32"/>
        </w:rPr>
        <w:t>；公用经费万元</w:t>
      </w:r>
      <w:r>
        <w:rPr>
          <w:rFonts w:hint="eastAsia" w:asciiTheme="minorEastAsia" w:hAnsiTheme="minorEastAsia" w:eastAsiaTheme="minorEastAsia"/>
          <w:sz w:val="32"/>
          <w:szCs w:val="32"/>
          <w:lang w:val="en-US" w:eastAsia="zh-CN"/>
        </w:rPr>
        <w:t>361.5万元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33.8</w:t>
      </w:r>
      <w:r>
        <w:rPr>
          <w:rFonts w:hint="eastAsia" w:asciiTheme="minorEastAsia" w:hAnsiTheme="minorEastAsia" w:eastAsiaTheme="minorEastAsia"/>
          <w:sz w:val="32"/>
          <w:szCs w:val="32"/>
        </w:rPr>
        <w:t>%，主要包括</w:t>
      </w:r>
      <w:r>
        <w:rPr>
          <w:rFonts w:hint="eastAsia" w:ascii="宋体" w:hAnsi="宋体" w:eastAsia="宋体" w:cs="宋体"/>
          <w:color w:val="000000"/>
          <w:kern w:val="0"/>
          <w:sz w:val="32"/>
          <w:szCs w:val="32"/>
        </w:rPr>
        <w:t>办公设备购置、办公费、印刷费、咨询费、邮电费、差旅费、维修（护）费、会议费、培训费、公务接待费、劳务费、工会经费、福利费、其他交通费用。</w:t>
      </w:r>
      <w:r>
        <w:rPr>
          <w:rFonts w:hint="eastAsia" w:ascii="宋体" w:hAnsi="宋体" w:eastAsia="宋体" w:cs="宋体"/>
          <w:color w:val="000000"/>
          <w:kern w:val="0"/>
          <w:sz w:val="27"/>
          <w:szCs w:val="27"/>
        </w:rPr>
        <w:t xml:space="preserve"> </w:t>
      </w:r>
    </w:p>
    <w:p>
      <w:pPr>
        <w:pStyle w:val="12"/>
        <w:ind w:firstLine="640" w:firstLineChars="200"/>
        <w:rPr>
          <w:rFonts w:asciiTheme="minorEastAsia" w:hAnsiTheme="minorEastAsia" w:eastAsiaTheme="minorEastAsia"/>
          <w:i/>
          <w:color w:val="FF0000"/>
          <w:sz w:val="32"/>
          <w:szCs w:val="32"/>
        </w:rPr>
      </w:pP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8.91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%，其中：</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8.91</w:t>
      </w:r>
      <w:r>
        <w:rPr>
          <w:rFonts w:hint="eastAsia" w:asciiTheme="minorEastAsia" w:hAnsiTheme="minorEastAsia" w:eastAsiaTheme="minorEastAsia"/>
          <w:sz w:val="32"/>
          <w:szCs w:val="32"/>
        </w:rPr>
        <w:t>元，支出决算为</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决算数小于预算数，与上年一致</w:t>
      </w:r>
      <w:r>
        <w:rPr>
          <w:rFonts w:hint="eastAsia" w:asciiTheme="minorEastAsia" w:hAnsiTheme="minorEastAsia" w:eastAsiaTheme="minorEastAsia"/>
          <w:sz w:val="32"/>
          <w:szCs w:val="32"/>
          <w:lang w:val="en-US" w:eastAsia="zh-CN"/>
        </w:rPr>
        <w:t>，原因严格按预算执行，压减三公经费开支。</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，2021年度本单位无公务用车购置预算。</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，2021年度无公务用车维护费。</w:t>
      </w:r>
      <w:bookmarkStart w:id="3" w:name="_GoBack"/>
      <w:bookmarkEnd w:id="3"/>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8.91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b/>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8.91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150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接待市行政审批局的考察和周边县区的学习交流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w:t>
      </w:r>
      <w:r>
        <w:rPr>
          <w:rFonts w:hint="eastAsia" w:asciiTheme="minorEastAsia" w:hAnsiTheme="minorEastAsia"/>
          <w:sz w:val="32"/>
          <w:szCs w:val="32"/>
          <w:lang w:eastAsia="zh-CN"/>
        </w:rPr>
        <w:t>公务用车购置费</w:t>
      </w:r>
      <w:r>
        <w:rPr>
          <w:rFonts w:hint="eastAsia" w:asciiTheme="minorEastAsia" w:hAnsiTheme="minorEastAsia"/>
          <w:sz w:val="32"/>
          <w:szCs w:val="32"/>
          <w:lang w:val="en-US" w:eastAsia="zh-CN"/>
        </w:rPr>
        <w:t>0万元，</w:t>
      </w:r>
      <w:r>
        <w:rPr>
          <w:rFonts w:hint="eastAsia" w:asciiTheme="minorEastAsia" w:hAnsiTheme="minorEastAsia"/>
          <w:sz w:val="32"/>
          <w:szCs w:val="32"/>
        </w:rPr>
        <w:t>公务用车购置</w:t>
      </w:r>
      <w:r>
        <w:rPr>
          <w:rFonts w:hint="eastAsia" w:asciiTheme="minorEastAsia" w:hAnsiTheme="minorEastAsia"/>
          <w:sz w:val="32"/>
          <w:szCs w:val="32"/>
          <w:lang w:val="en-US" w:eastAsia="zh-CN"/>
        </w:rPr>
        <w:t>0辆</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2"/>
        <w:rPr>
          <w:rFonts w:hAnsi="黑体"/>
          <w:b/>
          <w:sz w:val="32"/>
          <w:szCs w:val="32"/>
        </w:rPr>
      </w:pPr>
      <w:r>
        <w:rPr>
          <w:rFonts w:hint="eastAsia" w:hAnsi="黑体"/>
          <w:b/>
          <w:sz w:val="32"/>
          <w:szCs w:val="32"/>
        </w:rPr>
        <w:t>八、政府性基金预算收入支出决算情况</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九、机关运行经费支出说明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361.55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，预算数与决算数一致，与上年也一致，原因是人员未变，机关运行经费支出基本一致。</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0.88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用于开展单位内部的工作会议和党课党史的学习等会议</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工作的安排和相关业务培训</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2.77万元</w:t>
      </w:r>
      <w:r>
        <w:rPr>
          <w:rFonts w:hint="eastAsia" w:asciiTheme="minorEastAsia" w:hAnsiTheme="minorEastAsia" w:eastAsiaTheme="minorEastAsia"/>
          <w:sz w:val="32"/>
          <w:szCs w:val="32"/>
        </w:rPr>
        <w:t>，用于开展</w:t>
      </w:r>
      <w:r>
        <w:rPr>
          <w:rFonts w:hint="eastAsia" w:asciiTheme="minorEastAsia" w:hAnsiTheme="minorEastAsia" w:eastAsiaTheme="minorEastAsia"/>
          <w:sz w:val="32"/>
          <w:szCs w:val="32"/>
          <w:lang w:eastAsia="zh-CN"/>
        </w:rPr>
        <w:t>优化营商环境、湘易办、政务中心等相关业务的</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eastAsia="zh-CN"/>
        </w:rPr>
        <w:t>五一、中秋、国庆</w:t>
      </w:r>
      <w:r>
        <w:rPr>
          <w:rFonts w:hint="eastAsia" w:asciiTheme="minorEastAsia" w:hAnsiTheme="minorEastAsia" w:eastAsiaTheme="minorEastAsia"/>
          <w:sz w:val="32"/>
          <w:szCs w:val="32"/>
        </w:rPr>
        <w:t>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。没有举行类似活动，没有开支。</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网租车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0套</w:t>
      </w:r>
      <w:r>
        <w:rPr>
          <w:rFonts w:hint="eastAsia" w:asciiTheme="minorEastAsia" w:hAnsiTheme="minorEastAsia" w:eastAsiaTheme="minorEastAsia"/>
          <w:sz w:val="32"/>
          <w:szCs w:val="32"/>
        </w:rPr>
        <w:t>；单位价值100万元以上专用设备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台</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年度政府性基金预算项目支出开展绩效自评，共涉及资金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一般公共服务、社会保障和就业、卫生健康、城乡社区、农林水支出</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5</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1068.4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一般公共服务、社会保障和就业、卫生健康、城乡社区、农林水支出</w:t>
      </w:r>
      <w:r>
        <w:rPr>
          <w:rFonts w:hint="eastAsia" w:cs="黑体" w:asciiTheme="minorEastAsia" w:hAnsiTheme="minorEastAsia"/>
          <w:color w:val="000000"/>
          <w:kern w:val="0"/>
          <w:sz w:val="32"/>
          <w:szCs w:val="32"/>
        </w:rPr>
        <w:t>等开展整体支出绩效评价，涉及一般公共预算支出</w:t>
      </w:r>
      <w:r>
        <w:rPr>
          <w:rFonts w:hint="eastAsia" w:cs="黑体" w:asciiTheme="minorEastAsia" w:hAnsiTheme="minorEastAsia"/>
          <w:color w:val="000000"/>
          <w:kern w:val="0"/>
          <w:sz w:val="32"/>
          <w:szCs w:val="32"/>
          <w:lang w:val="en-US" w:eastAsia="zh-CN"/>
        </w:rPr>
        <w:t>1068.4</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2021年年初预算1113.4万元，决算是1068.4万元，这是因为严格执行预算要求，压减开支导致的。</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ind w:firstLine="2160" w:firstLineChars="300"/>
        <w:jc w:val="both"/>
        <w:rPr>
          <w:rFonts w:hint="eastAsia"/>
          <w:sz w:val="72"/>
          <w:szCs w:val="72"/>
        </w:rPr>
      </w:pPr>
    </w:p>
    <w:p>
      <w:pPr>
        <w:pStyle w:val="12"/>
        <w:ind w:firstLine="2160" w:firstLineChars="300"/>
        <w:jc w:val="both"/>
        <w:rPr>
          <w:rFonts w:hint="eastAsia"/>
          <w:sz w:val="72"/>
          <w:szCs w:val="72"/>
        </w:rPr>
      </w:pPr>
    </w:p>
    <w:p>
      <w:pPr>
        <w:pStyle w:val="12"/>
        <w:ind w:firstLine="3600" w:firstLineChars="500"/>
        <w:jc w:val="both"/>
        <w:rPr>
          <w:rFonts w:hint="eastAsia"/>
          <w:sz w:val="72"/>
          <w:szCs w:val="72"/>
        </w:rPr>
      </w:pPr>
      <w:r>
        <w:rPr>
          <w:rFonts w:hint="eastAsia"/>
          <w:sz w:val="72"/>
          <w:szCs w:val="72"/>
        </w:rPr>
        <w:t>第四部分</w:t>
      </w:r>
    </w:p>
    <w:p>
      <w:pPr>
        <w:pStyle w:val="12"/>
        <w:jc w:val="center"/>
        <w:rPr>
          <w:rFonts w:hint="eastAsia"/>
          <w:sz w:val="72"/>
          <w:szCs w:val="72"/>
        </w:rPr>
      </w:pPr>
    </w:p>
    <w:p>
      <w:pPr>
        <w:pStyle w:val="12"/>
        <w:ind w:firstLine="3500" w:firstLineChars="500"/>
        <w:jc w:val="both"/>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宋体" w:hAnsi="宋体" w:cs="宋体"/>
          <w:color w:val="333333"/>
          <w:kern w:val="0"/>
          <w:sz w:val="32"/>
          <w:szCs w:val="32"/>
          <w:lang w:val="en-US" w:eastAsia="zh-CN"/>
        </w:rPr>
        <w:t>财政资金压缩支出：指单位本年度从同级财政部门取得的各类财政拨款。</w:t>
      </w:r>
    </w:p>
    <w:p>
      <w:pPr>
        <w:ind w:firstLine="640" w:firstLineChars="200"/>
        <w:jc w:val="left"/>
        <w:rPr>
          <w:rFonts w:hint="eastAsia"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二、上级补助收入</w:t>
      </w:r>
      <w:r>
        <w:rPr>
          <w:rFonts w:hint="eastAsia" w:cs="黑体" w:asciiTheme="minorEastAsia" w:hAnsiTheme="minorEastAsia"/>
          <w:color w:val="000000"/>
          <w:kern w:val="0"/>
          <w:sz w:val="32"/>
          <w:szCs w:val="32"/>
          <w:lang w:eastAsia="zh-CN"/>
        </w:rPr>
        <w:t>：指事业单位从主管部门和上级单位取得的非财政补助收入。</w:t>
      </w:r>
    </w:p>
    <w:p>
      <w:pPr>
        <w:widowControl/>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三、机关运行经费</w:t>
      </w:r>
      <w:r>
        <w:rPr>
          <w:rFonts w:hint="eastAsia" w:cs="黑体" w:asciiTheme="minorEastAsia" w:hAnsiTheme="minorEastAsia"/>
          <w:color w:val="000000"/>
          <w:kern w:val="0"/>
          <w:sz w:val="32"/>
          <w:szCs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widowControl/>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widowControl/>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五、基本支出：指为保障机构正常运转、完成日常工作任务而发生的支出，包括人员经费和公用经费。</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keepNext w:val="0"/>
        <w:keepLines w:val="0"/>
        <w:pageBreakBefore w:val="0"/>
        <w:kinsoku/>
        <w:wordWrap/>
        <w:overflowPunct/>
        <w:topLinePunct w:val="0"/>
        <w:autoSpaceDE/>
        <w:autoSpaceDN/>
        <w:bidi w:val="0"/>
        <w:adjustRightInd w:val="0"/>
        <w:snapToGrid w:val="0"/>
        <w:spacing w:beforeAutospacing="0" w:line="520" w:lineRule="exact"/>
        <w:ind w:firstLine="600" w:firstLineChars="200"/>
        <w:jc w:val="lef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val="0"/>
        <w:snapToGrid w:val="0"/>
        <w:spacing w:beforeAutospacing="0" w:line="5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pStyle w:val="6"/>
        <w:keepNext w:val="0"/>
        <w:keepLines w:val="0"/>
        <w:pageBreakBefore w:val="0"/>
        <w:widowControl/>
        <w:suppressLineNumbers w:val="0"/>
        <w:kinsoku/>
        <w:wordWrap/>
        <w:overflowPunct/>
        <w:topLinePunct w:val="0"/>
        <w:autoSpaceDE/>
        <w:autoSpaceDN/>
        <w:bidi w:val="0"/>
        <w:spacing w:beforeAutospacing="0" w:after="0" w:afterAutospacing="0" w:line="520" w:lineRule="exact"/>
        <w:ind w:firstLine="480" w:firstLineChars="200"/>
        <w:jc w:val="left"/>
        <w:textAlignment w:val="auto"/>
        <w:rPr>
          <w:rFonts w:hint="eastAsia" w:ascii="仿宋" w:hAnsi="仿宋" w:eastAsia="仿宋" w:cs="仿宋"/>
          <w:lang w:val="en-US" w:eastAsia="zh-CN"/>
        </w:rPr>
      </w:pPr>
    </w:p>
    <w:p>
      <w:pPr>
        <w:jc w:val="left"/>
        <w:rPr>
          <w:rFonts w:hint="eastAsia" w:cs="黑体" w:asciiTheme="minorEastAsia" w:hAnsiTheme="minorEastAsia" w:eastAsiaTheme="minorEastAsia"/>
          <w:color w:val="00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CE7CBC"/>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C17777"/>
    <w:rsid w:val="0F9F05B1"/>
    <w:rsid w:val="17830730"/>
    <w:rsid w:val="1970288B"/>
    <w:rsid w:val="197723E1"/>
    <w:rsid w:val="1BF92D97"/>
    <w:rsid w:val="1C063A19"/>
    <w:rsid w:val="240D10DB"/>
    <w:rsid w:val="2455194A"/>
    <w:rsid w:val="25C73F7C"/>
    <w:rsid w:val="282F3137"/>
    <w:rsid w:val="3E096CD5"/>
    <w:rsid w:val="435D63C2"/>
    <w:rsid w:val="443D1369"/>
    <w:rsid w:val="4D4F7E39"/>
    <w:rsid w:val="4F3413F9"/>
    <w:rsid w:val="5F5211D0"/>
    <w:rsid w:val="69AC1575"/>
    <w:rsid w:val="6C172D01"/>
    <w:rsid w:val="6D4B01D4"/>
    <w:rsid w:val="6E4E7759"/>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paragraph" w:customStyle="1" w:styleId="15">
    <w:name w:val="正文文本1"/>
    <w:basedOn w:val="1"/>
    <w:qFormat/>
    <w:uiPriority w:val="0"/>
    <w:pPr>
      <w:widowControl w:val="0"/>
      <w:shd w:val="clear" w:color="auto" w:fill="FFFFFF"/>
      <w:spacing w:line="463" w:lineRule="auto"/>
      <w:ind w:firstLine="400"/>
    </w:pPr>
    <w:rPr>
      <w:rFonts w:ascii="宋体" w:hAnsi="宋体" w:eastAsia="宋体" w:cs="宋体"/>
      <w:color w:val="1E1D22"/>
      <w:sz w:val="28"/>
      <w:szCs w:val="28"/>
      <w:u w:val="none"/>
      <w:lang w:val="zh-CN" w:eastAsia="zh-CN" w:bidi="zh-CN"/>
    </w:rPr>
  </w:style>
  <w:style w:type="paragraph" w:customStyle="1" w:styleId="1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8207</Words>
  <Characters>10184</Characters>
  <Lines>69</Lines>
  <Paragraphs>19</Paragraphs>
  <TotalTime>0</TotalTime>
  <ScaleCrop>false</ScaleCrop>
  <LinksUpToDate>false</LinksUpToDate>
  <CharactersWithSpaces>11195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2023-09-28T06:34:55Z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70F9F7F13B8543FF89C45EE2A00C33C9_13</vt:lpwstr>
  </property>
</Properties>
</file>