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陈树湘烈士纪念馆部门决算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第一部分陈树湘烈士纪念馆单位概况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陈树湘烈士纪念馆单位概况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560" w:firstLineChars="200"/>
        <w:rPr>
          <w:rFonts w:ascii="黑体" w:hAnsi="黑体" w:eastAsia="黑体"/>
          <w:bCs/>
          <w:kern w:val="0"/>
          <w:sz w:val="32"/>
          <w:szCs w:val="32"/>
        </w:rPr>
      </w:pPr>
      <w:r>
        <w:rPr>
          <w:rFonts w:hint="eastAsia" w:ascii="仿宋" w:hAnsi="仿宋" w:eastAsia="仿宋" w:cs="仿宋"/>
          <w:sz w:val="28"/>
          <w:szCs w:val="28"/>
        </w:rPr>
        <w:t>陈树湘烈士纪念馆是为纪念中国工农红军第五军团第三十四师师长陈树湘及红三十四师全体将士而建，为湖南省爱国主义教育基地、湖南省党性教育基地、湖南省华侨文化交流基地；陈树湘烈士墓为湖南省第十批省级文物保护单位。充分利用陈树湘烈士红色文化资源，打造成红色教育基地和红色文化景区，更多游人到景区接受红色教育。</w:t>
      </w:r>
      <w:r>
        <w:rPr>
          <w:rFonts w:hint="eastAsia" w:ascii="黑体" w:hAnsi="黑体" w:eastAsia="黑体"/>
          <w:bCs/>
          <w:kern w:val="0"/>
          <w:sz w:val="32"/>
          <w:szCs w:val="32"/>
        </w:rPr>
        <w:t>二、机构设置及决算单位构成</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内设机构设置。内设4个部门，综合部、史料展</w:t>
      </w:r>
      <w:r>
        <w:rPr>
          <w:rFonts w:hint="eastAsia" w:asciiTheme="minorEastAsia" w:hAnsiTheme="minorEastAsia"/>
          <w:bCs/>
          <w:kern w:val="0"/>
          <w:sz w:val="32"/>
          <w:szCs w:val="32"/>
          <w:lang w:eastAsia="zh-CN"/>
        </w:rPr>
        <w:t>陈</w:t>
      </w:r>
      <w:r>
        <w:rPr>
          <w:rFonts w:hint="eastAsia" w:asciiTheme="minorEastAsia" w:hAnsiTheme="minorEastAsia"/>
          <w:bCs/>
          <w:kern w:val="0"/>
          <w:sz w:val="32"/>
          <w:szCs w:val="32"/>
        </w:rPr>
        <w:t>部、宣传教育部、文保后勤部。</w:t>
      </w:r>
    </w:p>
    <w:p>
      <w:pPr>
        <w:widowControl/>
        <w:numPr>
          <w:ilvl w:val="0"/>
          <w:numId w:val="0"/>
        </w:numPr>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（二）决算单位构成。</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21年部门决算汇总公开单位构成包括：陈树湘烈士纪念馆单位本级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陈树湘烈士纪念馆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573.32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582.62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369" w:type="dxa"/>
        <w:tblInd w:w="0" w:type="dxa"/>
        <w:tblLayout w:type="fixed"/>
        <w:tblCellMar>
          <w:top w:w="0" w:type="dxa"/>
          <w:left w:w="0" w:type="dxa"/>
          <w:bottom w:w="0" w:type="dxa"/>
          <w:right w:w="0" w:type="dxa"/>
        </w:tblCellMar>
      </w:tblPr>
      <w:tblGrid>
        <w:gridCol w:w="1029"/>
        <w:gridCol w:w="73"/>
        <w:gridCol w:w="2510"/>
        <w:gridCol w:w="1028"/>
        <w:gridCol w:w="1671"/>
        <w:gridCol w:w="1671"/>
        <w:gridCol w:w="1671"/>
        <w:gridCol w:w="1671"/>
        <w:gridCol w:w="1671"/>
        <w:gridCol w:w="2374"/>
      </w:tblGrid>
      <w:tr>
        <w:tblPrEx>
          <w:tblCellMar>
            <w:top w:w="0" w:type="dxa"/>
            <w:left w:w="0" w:type="dxa"/>
            <w:bottom w:w="0" w:type="dxa"/>
            <w:right w:w="0" w:type="dxa"/>
          </w:tblCellMar>
        </w:tblPrEx>
        <w:trPr>
          <w:trHeight w:val="435" w:hRule="atLeast"/>
        </w:trPr>
        <w:tc>
          <w:tcPr>
            <w:tcW w:w="15369"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2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kern w:val="0"/>
                <w:sz w:val="24"/>
                <w:szCs w:val="24"/>
              </w:rPr>
              <w:t xml:space="preserve"> 陈树湘烈士纪念馆</w:t>
            </w:r>
          </w:p>
        </w:tc>
        <w:tc>
          <w:tcPr>
            <w:tcW w:w="251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02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1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02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1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1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02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1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02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61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582.62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582.62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573.32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573.32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573.32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2070105</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56"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9"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58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02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615" w:hRule="atLeast"/>
        </w:trPr>
        <w:tc>
          <w:tcPr>
            <w:tcW w:w="15369"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陈树湘烈士纪念馆</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582.62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163.62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573.32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154.32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陈树湘烈士纪念馆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573.32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573.32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b/>
                <w:bCs/>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582.62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陈树湘烈士纪念馆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975"/>
        <w:gridCol w:w="3290"/>
        <w:gridCol w:w="2838"/>
        <w:gridCol w:w="3292"/>
        <w:gridCol w:w="2838"/>
      </w:tblGrid>
      <w:tr>
        <w:tblPrEx>
          <w:tblCellMar>
            <w:top w:w="0" w:type="dxa"/>
            <w:left w:w="108" w:type="dxa"/>
            <w:bottom w:w="0" w:type="dxa"/>
            <w:right w:w="108" w:type="dxa"/>
          </w:tblCellMar>
        </w:tblPrEx>
        <w:trPr>
          <w:trHeight w:val="405" w:hRule="atLeast"/>
          <w:jc w:val="center"/>
        </w:trPr>
        <w:tc>
          <w:tcPr>
            <w:tcW w:w="525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83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2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838"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525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582.62</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163.62</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573.32</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154.32</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573.32</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154.32</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文化展示及纪念机构</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300.32</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154.32</w:t>
            </w: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273.00</w:t>
            </w:r>
          </w:p>
        </w:tc>
        <w:tc>
          <w:tcPr>
            <w:tcW w:w="3292"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273.00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265"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3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3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10"/>
        <w:gridCol w:w="3244"/>
        <w:gridCol w:w="886"/>
        <w:gridCol w:w="1229"/>
        <w:gridCol w:w="2241"/>
        <w:gridCol w:w="778"/>
        <w:gridCol w:w="1104"/>
        <w:gridCol w:w="4045"/>
        <w:gridCol w:w="77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陈树湘烈士纪念馆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117.32</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46.30</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49.30</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5.27</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28.19</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12.03</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6.20</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3.25</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18.50</w:t>
            </w: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3.54</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2.54</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13.70</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7.75</w:t>
            </w: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0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7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5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5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09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7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84" w:type="dxa"/>
            <w:gridSpan w:val="2"/>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5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117.32</w:t>
            </w:r>
          </w:p>
        </w:tc>
        <w:tc>
          <w:tcPr>
            <w:tcW w:w="9422" w:type="dxa"/>
            <w:gridSpan w:val="5"/>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公用经费合计</w:t>
            </w:r>
          </w:p>
        </w:tc>
        <w:tc>
          <w:tcPr>
            <w:tcW w:w="7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46.30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陈树湘烈士纪念馆</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13.70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kern w:val="0"/>
          <w:sz w:val="24"/>
          <w:szCs w:val="24"/>
        </w:rPr>
        <w:t xml:space="preserve"> 陈树湘烈士纪念馆</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宋体" w:hAnsi="宋体" w:eastAsia="宋体" w:cs="宋体"/>
          <w:kern w:val="0"/>
          <w:sz w:val="24"/>
          <w:szCs w:val="24"/>
        </w:rPr>
        <w:t xml:space="preserve"> </w:t>
      </w:r>
      <w:r>
        <w:rPr>
          <w:rFonts w:hint="eastAsia" w:ascii="Times New Roman" w:hAnsi="Times New Roman" w:eastAsia="仿宋_GB2312" w:cs="Times New Roman"/>
          <w:kern w:val="0"/>
          <w:szCs w:val="21"/>
        </w:rPr>
        <w:t>陈树湘烈士纪念馆没有政府性基金收入，也没有使用政府性基金安排的支出，故本表无数据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kern w:val="0"/>
                <w:sz w:val="24"/>
                <w:szCs w:val="24"/>
              </w:rPr>
              <w:t xml:space="preserve"> 陈树湘烈士纪念馆</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Times New Roman" w:hAnsi="Times New Roman" w:eastAsia="仿宋_GB2312" w:cs="Times New Roman"/>
                <w:kern w:val="0"/>
                <w:szCs w:val="21"/>
              </w:rPr>
              <w:t>陈树湘烈士纪念馆没有</w:t>
            </w:r>
            <w:r>
              <w:rPr>
                <w:rFonts w:hint="eastAsia" w:ascii="Times New Roman" w:hAnsi="Times New Roman" w:eastAsia="仿宋_GB2312" w:cs="Times New Roman"/>
                <w:kern w:val="0"/>
                <w:szCs w:val="21"/>
                <w:lang w:val="en-US" w:eastAsia="zh-CN"/>
              </w:rPr>
              <w:t>国有资本经营预算收入，也没有安排国有资本经营预算支出，故</w:t>
            </w:r>
            <w:r>
              <w:rPr>
                <w:rFonts w:hint="eastAsia" w:ascii="Times New Roman" w:hAnsi="Times New Roman" w:eastAsia="仿宋_GB2312" w:cs="Times New Roman"/>
                <w:kern w:val="0"/>
                <w:szCs w:val="21"/>
              </w:rPr>
              <w:t>本表无数据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2021年度收、支总计582.62万元。与上年相比，增加</w:t>
      </w:r>
      <w:r>
        <w:rPr>
          <w:rFonts w:hint="eastAsia" w:asciiTheme="minorEastAsia" w:hAnsiTheme="minorEastAsia" w:eastAsiaTheme="minorEastAsia"/>
          <w:sz w:val="32"/>
          <w:szCs w:val="32"/>
          <w:lang w:val="en-US" w:eastAsia="zh-CN"/>
        </w:rPr>
        <w:t>238.39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69.25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人员及业务活动增加。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2021年度收入合计582.62万元，其中：财政拨款收入582.62万元，占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582.62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163.62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28.08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419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81.92</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2021年度财政拨款收、支总计582.62万元。与上年相比，增加</w:t>
      </w:r>
      <w:r>
        <w:rPr>
          <w:rFonts w:hint="eastAsia" w:asciiTheme="minorEastAsia" w:hAnsiTheme="minorEastAsia" w:eastAsiaTheme="minorEastAsia"/>
          <w:sz w:val="32"/>
          <w:szCs w:val="32"/>
          <w:lang w:val="en-US" w:eastAsia="zh-CN"/>
        </w:rPr>
        <w:t>238.39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69.25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人员及业务活动增加。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582.62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238.39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69.25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人员及业务活动增加。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582.62</w:t>
      </w:r>
      <w:r>
        <w:rPr>
          <w:rFonts w:hint="eastAsia" w:asciiTheme="minorEastAsia" w:hAnsiTheme="minorEastAsia" w:eastAsiaTheme="minorEastAsia"/>
          <w:sz w:val="32"/>
          <w:szCs w:val="32"/>
        </w:rPr>
        <w:t>万元，主要用于以下方面：文化旅游体育与传媒支出文化旅游体育与传媒支出支出</w:t>
      </w:r>
      <w:r>
        <w:rPr>
          <w:rFonts w:hint="eastAsia" w:asciiTheme="minorEastAsia" w:hAnsiTheme="minorEastAsia" w:eastAsiaTheme="minorEastAsia"/>
          <w:sz w:val="32"/>
          <w:szCs w:val="32"/>
          <w:lang w:val="en-US" w:eastAsia="zh-CN"/>
        </w:rPr>
        <w:t>573.32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98.41</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0.53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335.61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582.62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173.6</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文化</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旅游</w:t>
      </w:r>
      <w:r>
        <w:rPr>
          <w:rFonts w:hint="eastAsia" w:asciiTheme="minorEastAsia" w:hAnsiTheme="minorEastAsia" w:eastAsiaTheme="minorEastAsia"/>
          <w:sz w:val="32"/>
          <w:szCs w:val="32"/>
          <w:lang w:eastAsia="zh-CN"/>
        </w:rPr>
        <w:t>（款）文化展示及纪念机构（项）</w:t>
      </w:r>
      <w:r>
        <w:rPr>
          <w:rFonts w:hint="eastAsia" w:asciiTheme="minorEastAsia" w:hAnsiTheme="minorEastAsia" w:eastAsiaTheme="minorEastAsia"/>
          <w:sz w:val="32"/>
          <w:szCs w:val="32"/>
        </w:rPr>
        <w:t>。</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159.43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300.32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188.37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。支出决算大于年初预算主要是由于项目支出增加。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文化</w:t>
      </w:r>
      <w:r>
        <w:rPr>
          <w:rFonts w:hint="eastAsia" w:asciiTheme="minorEastAsia" w:hAnsiTheme="minorEastAsia" w:eastAsiaTheme="minorEastAsia"/>
          <w:sz w:val="32"/>
          <w:szCs w:val="32"/>
          <w:lang w:eastAsia="zh-CN"/>
        </w:rPr>
        <w:t>和</w:t>
      </w:r>
      <w:r>
        <w:rPr>
          <w:rFonts w:hint="eastAsia" w:asciiTheme="minorEastAsia" w:hAnsiTheme="minorEastAsia" w:eastAsiaTheme="minorEastAsia"/>
          <w:sz w:val="32"/>
          <w:szCs w:val="32"/>
        </w:rPr>
        <w:t>旅游</w:t>
      </w:r>
      <w:r>
        <w:rPr>
          <w:rFonts w:hint="eastAsia" w:asciiTheme="minorEastAsia" w:hAnsiTheme="minorEastAsia" w:eastAsiaTheme="minorEastAsia"/>
          <w:sz w:val="32"/>
          <w:szCs w:val="32"/>
          <w:lang w:eastAsia="zh-CN"/>
        </w:rPr>
        <w:t>（款）其他文化和旅游支出（项）</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。支出决算大于年初预算主要是由于项目支出增加。</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eastAsia="zh-CN"/>
        </w:rPr>
        <w:t>（类）行政事业单位养老支出（款）机关事业单位基本养老保险缴费支出（项）</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17.26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35.92%。支出决算小于年初预算是基数调整。</w:t>
      </w:r>
    </w:p>
    <w:p>
      <w:pPr>
        <w:pStyle w:val="9"/>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（类）行政事业单位医疗（款）事业单位医疗（项）</w:t>
      </w:r>
    </w:p>
    <w:p>
      <w:pPr>
        <w:pStyle w:val="9"/>
        <w:numPr>
          <w:ilvl w:val="0"/>
          <w:numId w:val="0"/>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8.92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，完成年初预算的</w:t>
      </w:r>
      <w:r>
        <w:rPr>
          <w:rFonts w:hint="eastAsia" w:asciiTheme="minorEastAsia" w:hAnsiTheme="minorEastAsia" w:eastAsiaTheme="minorEastAsia"/>
          <w:sz w:val="32"/>
          <w:szCs w:val="32"/>
          <w:lang w:val="en-US" w:eastAsia="zh-CN"/>
        </w:rPr>
        <w:t>35.92%。支出决算小于年初预算是基数调整。</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163.62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117.32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71.7</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46.3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28.3</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bookmarkStart w:id="5" w:name="_GoBack"/>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bookmarkEnd w:id="5"/>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受疫情影响，</w:t>
      </w:r>
      <w:r>
        <w:rPr>
          <w:rFonts w:hint="eastAsia" w:asciiTheme="minorEastAsia" w:hAnsiTheme="minorEastAsia" w:eastAsiaTheme="minorEastAsia"/>
          <w:sz w:val="32"/>
          <w:szCs w:val="32"/>
          <w:lang w:val="en-US" w:eastAsia="zh-CN"/>
        </w:rPr>
        <w:t>2021年我单位未</w:t>
      </w:r>
      <w:r>
        <w:rPr>
          <w:rFonts w:hint="eastAsia" w:asciiTheme="minorEastAsia" w:hAnsiTheme="minorEastAsia" w:eastAsiaTheme="minorEastAsia"/>
          <w:sz w:val="32"/>
          <w:szCs w:val="32"/>
          <w:lang w:eastAsia="zh-CN"/>
        </w:rPr>
        <w:t>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活动。</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13.7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56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1096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红色旅游经验交流等</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2021年度政府性基金预算财政拨款收入0万元；年初结转和结余0万元；支出0万元，其中基本支出0万元，项目支出0万元；年末结转和结余0万元。具体情况如下：本单位无政府性基金收支。</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46.3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与去年持平。</w:t>
      </w:r>
      <w:r>
        <w:rPr>
          <w:rFonts w:hint="eastAsia" w:asciiTheme="minorEastAsia" w:hAnsiTheme="minorEastAsia" w:eastAsiaTheme="minorEastAsia"/>
          <w:sz w:val="32"/>
          <w:szCs w:val="32"/>
          <w:lang w:val="en-US" w:eastAsia="zh-CN"/>
        </w:rPr>
        <w:t xml:space="preserve">            </w:t>
      </w:r>
    </w:p>
    <w:p>
      <w:pPr>
        <w:pStyle w:val="9"/>
        <w:ind w:left="320" w:hanging="320" w:hangingChars="100"/>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3.54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人数</w:t>
      </w:r>
      <w:r>
        <w:rPr>
          <w:rFonts w:hint="eastAsia" w:asciiTheme="minorEastAsia" w:hAnsiTheme="minorEastAsia" w:eastAsiaTheme="minorEastAsia"/>
          <w:sz w:val="32"/>
          <w:szCs w:val="32"/>
          <w:lang w:val="en-US" w:eastAsia="zh-CN"/>
        </w:rPr>
        <w:t>65人，用于红色旅游宣传及经验交流。</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2.54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人数</w:t>
      </w:r>
      <w:r>
        <w:rPr>
          <w:rFonts w:hint="eastAsia" w:asciiTheme="minorEastAsia" w:hAnsiTheme="minorEastAsia" w:eastAsiaTheme="minorEastAsia"/>
          <w:sz w:val="32"/>
          <w:szCs w:val="32"/>
          <w:lang w:val="en-US" w:eastAsia="zh-CN"/>
        </w:rPr>
        <w:t>48人，用于讲解等业务培训</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pStyle w:val="9"/>
        <w:jc w:val="center"/>
        <w:rPr>
          <w:sz w:val="72"/>
          <w:szCs w:val="72"/>
        </w:rPr>
      </w:pPr>
      <w:r>
        <w:rPr>
          <w:rFonts w:hint="eastAsia" w:ascii="黑体" w:eastAsia="黑体" w:cs="黑体"/>
          <w:color w:val="000000"/>
          <w:kern w:val="0"/>
          <w:sz w:val="70"/>
          <w:szCs w:val="70"/>
        </w:rPr>
        <w:t>名词解释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pPr>
        <w:keepNext w:val="0"/>
        <w:keepLines w:val="0"/>
        <w:widowControl/>
        <w:suppressLineNumbers w:val="0"/>
        <w:bidi w:val="0"/>
        <w:jc w:val="left"/>
        <w:rPr>
          <w:rFonts w:hint="default" w:ascii="sans-serif" w:hAnsi="sans-serif" w:eastAsia="sans-serif" w:cs="sans-serif"/>
          <w:sz w:val="32"/>
          <w:szCs w:val="32"/>
        </w:rPr>
      </w:pPr>
      <w:bookmarkStart w:id="3" w:name="28"/>
      <w:bookmarkEnd w:id="3"/>
      <w:r>
        <w:rPr>
          <w:rFonts w:hint="default" w:ascii="sans-serif" w:hAnsi="sans-serif" w:eastAsia="sans-serif" w:cs="sans-serif"/>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4" w:name="29"/>
      <w:bookmarkEnd w:id="4"/>
    </w:p>
    <w:p>
      <w:pPr>
        <w:pStyle w:val="9"/>
        <w:jc w:val="both"/>
        <w:rPr>
          <w:sz w:val="72"/>
          <w:szCs w:val="72"/>
        </w:rPr>
      </w:pPr>
    </w:p>
    <w:p>
      <w:pPr>
        <w:ind w:firstLine="640" w:firstLineChars="200"/>
        <w:jc w:val="left"/>
        <w:rPr>
          <w:rFonts w:cs="黑体" w:asciiTheme="minorEastAsia" w:hAnsiTheme="minorEastAsia"/>
          <w:color w:val="000000"/>
          <w:kern w:val="0"/>
          <w:sz w:val="32"/>
          <w:szCs w:val="32"/>
        </w:rPr>
      </w:pPr>
    </w:p>
    <w:p>
      <w:pPr>
        <w:pStyle w:val="9"/>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9BD92BA"/>
    <w:multiLevelType w:val="singleLevel"/>
    <w:tmpl w:val="79BD92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07DB"/>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8206F8D"/>
    <w:rsid w:val="087D1CE6"/>
    <w:rsid w:val="16834396"/>
    <w:rsid w:val="1A9000A9"/>
    <w:rsid w:val="1BE40CA6"/>
    <w:rsid w:val="1D99667B"/>
    <w:rsid w:val="1EAF7992"/>
    <w:rsid w:val="20CC5B0E"/>
    <w:rsid w:val="221C27B9"/>
    <w:rsid w:val="238735C1"/>
    <w:rsid w:val="2BC22584"/>
    <w:rsid w:val="2C853F11"/>
    <w:rsid w:val="30CC0162"/>
    <w:rsid w:val="372907BF"/>
    <w:rsid w:val="3B3360B0"/>
    <w:rsid w:val="3BFA59F5"/>
    <w:rsid w:val="3C93043D"/>
    <w:rsid w:val="41AC4119"/>
    <w:rsid w:val="42997C24"/>
    <w:rsid w:val="459F0951"/>
    <w:rsid w:val="47585FA5"/>
    <w:rsid w:val="53300DE6"/>
    <w:rsid w:val="54B24092"/>
    <w:rsid w:val="5C17771A"/>
    <w:rsid w:val="5D9231A4"/>
    <w:rsid w:val="5E0A2849"/>
    <w:rsid w:val="61943210"/>
    <w:rsid w:val="6F991755"/>
    <w:rsid w:val="702C73BF"/>
    <w:rsid w:val="71246B35"/>
    <w:rsid w:val="73245237"/>
    <w:rsid w:val="7487654A"/>
    <w:rsid w:val="75227CD6"/>
    <w:rsid w:val="7A165705"/>
    <w:rsid w:val="7A225FF7"/>
    <w:rsid w:val="7BDA20EA"/>
    <w:rsid w:val="7DCA301C"/>
    <w:rsid w:val="7E7D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6786</Words>
  <Characters>8157</Characters>
  <Lines>69</Lines>
  <Paragraphs>19</Paragraphs>
  <TotalTime>0</TotalTime>
  <ScaleCrop>false</ScaleCrop>
  <LinksUpToDate>false</LinksUpToDate>
  <CharactersWithSpaces>9193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2023-09-08T11:01:00Z</cp:lastPrinted>
  <dcterms:modified xsi:type="dcterms:W3CDTF">2023-09-28T05:09:05Z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9B5E5D9355B8425F927BBF0C849EE4FF_13</vt:lpwstr>
  </property>
</Properties>
</file>