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方正小标宋_GBK" w:cs="Times New Roman"/>
          <w:sz w:val="48"/>
          <w:szCs w:val="48"/>
        </w:rPr>
      </w:pPr>
      <w:bookmarkStart w:id="0" w:name="_GoBack"/>
      <w:bookmarkEnd w:id="0"/>
      <w:r>
        <w:rPr>
          <w:rFonts w:hint="eastAsia" w:eastAsia="方正小标宋_GBK" w:cs="Times New Roman"/>
          <w:sz w:val="48"/>
          <w:szCs w:val="48"/>
          <w:lang w:val="en-US" w:eastAsia="zh-CN"/>
        </w:rPr>
        <w:t>2021</w:t>
      </w:r>
      <w:r>
        <w:rPr>
          <w:rFonts w:ascii="Calibri" w:hAnsi="Calibri" w:eastAsia="方正小标宋_GBK" w:cs="Times New Roman"/>
          <w:sz w:val="48"/>
          <w:szCs w:val="48"/>
        </w:rPr>
        <w:t>年度</w:t>
      </w:r>
      <w:r>
        <w:rPr>
          <w:rFonts w:hint="eastAsia" w:eastAsia="方正小标宋_GBK" w:cs="Times New Roman"/>
          <w:sz w:val="48"/>
          <w:szCs w:val="48"/>
          <w:lang w:val="en-US" w:eastAsia="zh-CN"/>
        </w:rPr>
        <w:t>道县濂溪街道办事处</w:t>
      </w:r>
      <w:r>
        <w:rPr>
          <w:rFonts w:ascii="Calibri" w:hAnsi="Calibri" w:eastAsia="方正小标宋_GBK" w:cs="Times New Roman"/>
          <w:sz w:val="48"/>
          <w:szCs w:val="48"/>
        </w:rPr>
        <w:t>整体支出</w:t>
      </w:r>
    </w:p>
    <w:p>
      <w:pPr>
        <w:jc w:val="center"/>
        <w:rPr>
          <w:rFonts w:ascii="Calibri" w:hAnsi="Calibri" w:eastAsia="方正小标宋_GBK" w:cs="Times New Roman"/>
          <w:sz w:val="48"/>
          <w:szCs w:val="48"/>
        </w:rPr>
      </w:pPr>
      <w:r>
        <w:rPr>
          <w:rFonts w:ascii="Calibri" w:hAnsi="Calibri" w:eastAsia="方正小标宋_GBK" w:cs="Times New Roman"/>
          <w:sz w:val="48"/>
          <w:szCs w:val="48"/>
        </w:rPr>
        <w:t>绩效自评报告</w:t>
      </w:r>
    </w:p>
    <w:p>
      <w:pPr>
        <w:jc w:val="center"/>
        <w:rPr>
          <w:rFonts w:ascii="Calibri" w:hAnsi="Calibri" w:eastAsia="楷体_GB2312" w:cs="Times New Roman"/>
          <w:b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ind w:firstLine="880" w:firstLineChars="200"/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ind w:firstLine="880" w:firstLineChars="200"/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ind w:firstLine="880" w:firstLineChars="200"/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ind w:firstLine="720" w:firstLineChars="200"/>
        <w:jc w:val="center"/>
        <w:rPr>
          <w:rFonts w:hint="default" w:ascii="Calibri" w:hAnsi="Calibri" w:eastAsia="黑体" w:cs="Times New Roman"/>
          <w:sz w:val="36"/>
          <w:szCs w:val="36"/>
          <w:lang w:val="en-US" w:eastAsia="zh-CN"/>
        </w:rPr>
      </w:pPr>
      <w:r>
        <w:rPr>
          <w:rFonts w:ascii="Calibri" w:hAnsi="Calibri" w:eastAsia="黑体" w:cs="Times New Roman"/>
          <w:sz w:val="36"/>
          <w:szCs w:val="36"/>
        </w:rPr>
        <w:t>单位名称（盖章）：</w:t>
      </w:r>
      <w:r>
        <w:rPr>
          <w:rFonts w:hint="eastAsia" w:eastAsia="黑体" w:cs="Times New Roman"/>
          <w:sz w:val="36"/>
          <w:szCs w:val="36"/>
          <w:lang w:val="en-US" w:eastAsia="zh-CN"/>
        </w:rPr>
        <w:t>道县濂溪街道办事处</w:t>
      </w:r>
    </w:p>
    <w:p>
      <w:pPr>
        <w:jc w:val="center"/>
        <w:rPr>
          <w:rFonts w:ascii="Calibri" w:hAnsi="Calibri" w:eastAsia="黑体" w:cs="Times New Roman"/>
          <w:sz w:val="36"/>
          <w:szCs w:val="36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jc w:val="both"/>
        <w:rPr>
          <w:rFonts w:ascii="Calibri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Calibri" w:hAnsi="Calibri" w:eastAsia="黑体" w:cs="Times New Roman"/>
          <w:sz w:val="32"/>
          <w:szCs w:val="32"/>
        </w:rPr>
      </w:pPr>
      <w:r>
        <w:rPr>
          <w:rFonts w:ascii="Calibri" w:hAnsi="Calibri" w:eastAsia="黑体" w:cs="Times New Roman"/>
          <w:sz w:val="32"/>
          <w:szCs w:val="32"/>
        </w:rPr>
        <w:t>一、基本情况</w:t>
      </w:r>
    </w:p>
    <w:p>
      <w:pPr>
        <w:spacing w:line="600" w:lineRule="exact"/>
        <w:ind w:firstLine="643" w:firstLineChars="200"/>
        <w:rPr>
          <w:rFonts w:ascii="Calibri" w:hAnsi="Calibri" w:eastAsia="楷体_GB2312" w:cs="Times New Roman"/>
          <w:b/>
          <w:sz w:val="32"/>
          <w:szCs w:val="32"/>
        </w:rPr>
      </w:pPr>
      <w:r>
        <w:rPr>
          <w:rFonts w:ascii="Calibri" w:hAnsi="Calibri" w:eastAsia="楷体_GB2312" w:cs="Times New Roman"/>
          <w:b/>
          <w:sz w:val="32"/>
          <w:szCs w:val="32"/>
        </w:rPr>
        <w:t>（一）部门（单位）基本情况</w:t>
      </w:r>
    </w:p>
    <w:p>
      <w:pPr>
        <w:widowControl/>
        <w:spacing w:line="520" w:lineRule="exact"/>
        <w:rPr>
          <w:rFonts w:hint="eastAsia" w:ascii="仿宋" w:hAnsi="仿宋" w:eastAsia="仿宋"/>
          <w:sz w:val="32"/>
          <w:szCs w:val="20"/>
        </w:rPr>
      </w:pPr>
      <w:r>
        <w:rPr>
          <w:rFonts w:hint="eastAsia" w:ascii="仿宋" w:hAnsi="仿宋" w:eastAsia="仿宋"/>
          <w:sz w:val="32"/>
          <w:szCs w:val="20"/>
        </w:rPr>
        <w:t>1．主要职能。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根据《中华人民共和国宪法》规定，本单位主要工作职责是：执行本级人民代表大会的决议和上级国家行政机关的决定和命令，管理本行政区域内的行政工作。</w:t>
      </w:r>
    </w:p>
    <w:p>
      <w:pPr>
        <w:widowControl/>
        <w:rPr>
          <w:rFonts w:hint="eastAsia" w:ascii="仿宋" w:hAnsi="仿宋" w:eastAsia="仿宋"/>
          <w:sz w:val="32"/>
          <w:szCs w:val="20"/>
          <w:lang w:eastAsia="zh-CN"/>
        </w:rPr>
      </w:pPr>
      <w:r>
        <w:rPr>
          <w:rFonts w:hint="eastAsia" w:ascii="仿宋" w:hAnsi="仿宋" w:eastAsia="仿宋"/>
          <w:sz w:val="32"/>
          <w:szCs w:val="20"/>
        </w:rPr>
        <w:t>2．机构情况</w:t>
      </w:r>
      <w:r>
        <w:rPr>
          <w:rFonts w:hint="eastAsia" w:ascii="仿宋" w:hAnsi="仿宋" w:eastAsia="仿宋"/>
          <w:sz w:val="32"/>
          <w:szCs w:val="20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濂溪街道办事处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为正科级全额拨款行政单位，内设党政办公室、农业综合技术推广事务中心、文教体广电事务中心、社会保障和社会救助事务中心、人口和计划生育事务中心、建设和公共安全事务中心、林业水利事务中心、财政所等8个职能部室。行政编制22人，事业编制46人，工勤人员0人。现实有在编人数行政22人，事业46人，工勤人员0人，配有小车1辆。</w:t>
      </w:r>
    </w:p>
    <w:p>
      <w:pPr>
        <w:widowControl/>
        <w:spacing w:line="520" w:lineRule="exact"/>
        <w:ind w:firstLine="640"/>
        <w:rPr>
          <w:rFonts w:hint="default" w:ascii="Times New Roman" w:hAnsi="Times New Roman" w:eastAsia="Times New Roman"/>
          <w:sz w:val="32"/>
          <w:szCs w:val="20"/>
        </w:rPr>
      </w:pPr>
    </w:p>
    <w:p>
      <w:pPr>
        <w:widowControl/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20"/>
        </w:rPr>
      </w:pPr>
      <w:r>
        <w:rPr>
          <w:rFonts w:hint="eastAsia" w:ascii="仿宋" w:hAnsi="仿宋" w:eastAsia="仿宋"/>
          <w:sz w:val="32"/>
          <w:szCs w:val="20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20"/>
        </w:rPr>
        <w:t>人员情况。</w:t>
      </w:r>
    </w:p>
    <w:p>
      <w:pPr>
        <w:widowControl/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20"/>
          <w:lang w:val="en-US" w:eastAsia="zh-CN"/>
        </w:rPr>
      </w:pPr>
      <w:r>
        <w:rPr>
          <w:rFonts w:hint="eastAsia" w:ascii="仿宋" w:hAnsi="仿宋" w:eastAsia="仿宋"/>
          <w:sz w:val="32"/>
          <w:szCs w:val="20"/>
          <w:lang w:val="en-US" w:eastAsia="zh-CN"/>
        </w:rPr>
        <w:t>2021年我镇</w:t>
      </w:r>
      <w:r>
        <w:rPr>
          <w:rFonts w:hint="eastAsia" w:ascii="仿宋" w:hAnsi="仿宋" w:eastAsia="仿宋"/>
          <w:sz w:val="32"/>
          <w:szCs w:val="20"/>
        </w:rPr>
        <w:t>人员编制和领导职数根据乡镇机构改革的要求，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濂溪街道</w:t>
      </w:r>
      <w:r>
        <w:rPr>
          <w:rFonts w:hint="eastAsia" w:ascii="仿宋" w:hAnsi="仿宋" w:eastAsia="仿宋"/>
          <w:sz w:val="32"/>
          <w:szCs w:val="20"/>
        </w:rPr>
        <w:t>机关核定行政编制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68</w:t>
      </w:r>
      <w:r>
        <w:rPr>
          <w:rFonts w:hint="eastAsia" w:ascii="仿宋" w:hAnsi="仿宋" w:eastAsia="仿宋"/>
          <w:sz w:val="32"/>
          <w:szCs w:val="20"/>
        </w:rPr>
        <w:t>名。配领导职数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20"/>
        </w:rPr>
        <w:t>名，其中:党委书记1名，副书记1名，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街道办主任</w:t>
      </w:r>
      <w:r>
        <w:rPr>
          <w:rFonts w:hint="eastAsia" w:ascii="仿宋" w:hAnsi="仿宋" w:eastAsia="仿宋"/>
          <w:sz w:val="32"/>
          <w:szCs w:val="20"/>
        </w:rPr>
        <w:t>1名，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副主任2名，</w:t>
      </w:r>
      <w:r>
        <w:rPr>
          <w:rFonts w:hint="eastAsia" w:ascii="仿宋" w:hAnsi="仿宋" w:eastAsia="仿宋"/>
          <w:sz w:val="32"/>
          <w:szCs w:val="20"/>
        </w:rPr>
        <w:t>人大主席1名，纪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工</w:t>
      </w:r>
      <w:r>
        <w:rPr>
          <w:rFonts w:hint="eastAsia" w:ascii="仿宋" w:hAnsi="仿宋" w:eastAsia="仿宋"/>
          <w:sz w:val="32"/>
          <w:szCs w:val="20"/>
        </w:rPr>
        <w:t>委书记1名，武装部长1名，政法委员、党政办主任1名</w:t>
      </w:r>
      <w:r>
        <w:rPr>
          <w:rFonts w:hint="eastAsia" w:ascii="仿宋" w:hAnsi="仿宋" w:eastAsia="仿宋"/>
          <w:sz w:val="32"/>
          <w:szCs w:val="20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Calibri" w:hAnsi="Calibri" w:eastAsia="楷体_GB2312" w:cs="Times New Roman"/>
          <w:b/>
          <w:sz w:val="32"/>
          <w:szCs w:val="32"/>
        </w:rPr>
      </w:pPr>
    </w:p>
    <w:p>
      <w:pPr>
        <w:pStyle w:val="4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4"/>
        <w:spacing w:line="60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pStyle w:val="4"/>
        <w:spacing w:line="60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仿宋" w:hAnsi="仿宋" w:eastAsia="仿宋"/>
          <w:sz w:val="32"/>
          <w:lang w:val="en-US"/>
        </w:rPr>
        <w:t>一般公共预算财政拨款收入完成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1099.75</w:t>
      </w:r>
      <w:r>
        <w:rPr>
          <w:rFonts w:hint="eastAsia" w:ascii="仿宋" w:hAnsi="仿宋" w:eastAsia="仿宋"/>
          <w:sz w:val="32"/>
          <w:lang w:val="en-US"/>
        </w:rPr>
        <w:t>万元，比上年</w:t>
      </w:r>
      <w:r>
        <w:rPr>
          <w:rFonts w:hint="eastAsia" w:ascii="仿宋" w:hAnsi="仿宋" w:eastAsia="仿宋"/>
          <w:sz w:val="28"/>
          <w:lang w:val="en-US" w:eastAsia="zh-CN"/>
        </w:rPr>
        <w:t>减少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3</w:t>
      </w:r>
      <w:r>
        <w:rPr>
          <w:rFonts w:ascii="宋体" w:hAnsi="宋体" w:cs="宋体"/>
          <w:color w:val="333333"/>
          <w:kern w:val="0"/>
          <w:sz w:val="32"/>
          <w:szCs w:val="32"/>
        </w:rPr>
        <w:t>31.17</w:t>
      </w:r>
      <w:r>
        <w:rPr>
          <w:rFonts w:hint="eastAsia" w:ascii="仿宋" w:hAnsi="仿宋" w:eastAsia="仿宋"/>
          <w:sz w:val="32"/>
          <w:lang w:val="en-US"/>
        </w:rPr>
        <w:t>万元，</w:t>
      </w:r>
      <w:r>
        <w:rPr>
          <w:rFonts w:hint="eastAsia" w:ascii="仿宋" w:hAnsi="仿宋" w:eastAsia="仿宋"/>
          <w:sz w:val="32"/>
          <w:lang w:val="en-US" w:eastAsia="zh-CN"/>
        </w:rPr>
        <w:t>增加</w:t>
      </w:r>
      <w:r>
        <w:rPr>
          <w:rFonts w:hint="eastAsia" w:ascii="仿宋" w:hAnsi="仿宋" w:eastAsia="仿宋"/>
          <w:sz w:val="28"/>
          <w:lang w:val="en-US" w:eastAsia="zh-CN"/>
        </w:rPr>
        <w:t>23.17</w:t>
      </w:r>
      <w:r>
        <w:rPr>
          <w:rFonts w:hint="eastAsia" w:ascii="仿宋" w:hAnsi="仿宋" w:eastAsia="仿宋"/>
          <w:sz w:val="32"/>
          <w:lang w:val="zh-CN"/>
        </w:rPr>
        <w:t>%，变化的主要原因是：项目资金</w:t>
      </w:r>
      <w:r>
        <w:rPr>
          <w:rFonts w:hint="eastAsia" w:ascii="仿宋" w:hAnsi="仿宋" w:eastAsia="仿宋"/>
          <w:sz w:val="32"/>
          <w:lang w:val="en-US" w:eastAsia="zh-CN"/>
        </w:rPr>
        <w:t>财政拨款减少。</w:t>
      </w:r>
      <w:r>
        <w:rPr>
          <w:rFonts w:hint="eastAsia" w:ascii="仿宋" w:hAnsi="仿宋" w:eastAsia="仿宋"/>
          <w:sz w:val="32"/>
          <w:lang w:val="en-US"/>
        </w:rPr>
        <w:t>基本支出完成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906.51</w:t>
      </w:r>
      <w:r>
        <w:rPr>
          <w:rFonts w:hint="eastAsia" w:ascii="仿宋" w:hAnsi="仿宋" w:eastAsia="仿宋"/>
          <w:sz w:val="32"/>
          <w:lang w:val="en-US"/>
        </w:rPr>
        <w:t>万元，比上年减</w:t>
      </w:r>
      <w:r>
        <w:rPr>
          <w:rFonts w:hint="eastAsia" w:ascii="仿宋" w:hAnsi="仿宋" w:eastAsia="仿宋"/>
          <w:sz w:val="28"/>
          <w:lang w:val="en-US" w:eastAsia="zh-CN"/>
        </w:rPr>
        <w:t>少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159.86</w:t>
      </w:r>
      <w:r>
        <w:rPr>
          <w:rFonts w:hint="eastAsia" w:ascii="仿宋" w:hAnsi="仿宋" w:eastAsia="仿宋"/>
          <w:color w:val="auto"/>
          <w:sz w:val="32"/>
          <w:lang w:val="en-US"/>
        </w:rPr>
        <w:t>万元，下降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lang w:val="en-US"/>
        </w:rPr>
        <w:t>%，</w:t>
      </w:r>
      <w:r>
        <w:rPr>
          <w:rFonts w:hint="eastAsia" w:ascii="仿宋" w:hAnsi="仿宋" w:eastAsia="仿宋"/>
          <w:color w:val="auto"/>
          <w:sz w:val="32"/>
          <w:lang w:val="zh-CN"/>
        </w:rPr>
        <w:t>变化的主要原因：本年度预算经费减</w:t>
      </w:r>
      <w:r>
        <w:rPr>
          <w:rFonts w:hint="eastAsia" w:ascii="仿宋" w:hAnsi="仿宋" w:eastAsia="仿宋"/>
          <w:sz w:val="32"/>
          <w:lang w:val="zh-CN"/>
        </w:rPr>
        <w:t>少,导致支出减少</w:t>
      </w:r>
      <w:r>
        <w:rPr>
          <w:rFonts w:hint="eastAsia" w:ascii="仿宋" w:hAnsi="仿宋" w:eastAsia="仿宋"/>
          <w:sz w:val="32"/>
          <w:lang w:val="en-US"/>
        </w:rPr>
        <w:t>。</w:t>
      </w:r>
    </w:p>
    <w:p>
      <w:pPr>
        <w:pStyle w:val="4"/>
        <w:numPr>
          <w:ilvl w:val="0"/>
          <w:numId w:val="1"/>
        </w:numPr>
        <w:spacing w:line="60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项目支出情况</w:t>
      </w:r>
    </w:p>
    <w:p>
      <w:pPr>
        <w:pStyle w:val="4"/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仿宋" w:hAnsi="仿宋" w:eastAsia="仿宋"/>
          <w:sz w:val="32"/>
          <w:lang w:val="en-US"/>
        </w:rPr>
        <w:t>项目支出</w:t>
      </w:r>
      <w:r>
        <w:rPr>
          <w:rFonts w:hint="eastAsia" w:ascii="仿宋" w:hAnsi="仿宋" w:eastAsia="仿宋"/>
          <w:sz w:val="28"/>
          <w:lang w:val="en-US" w:eastAsia="zh-CN"/>
        </w:rPr>
        <w:t>193.24</w:t>
      </w:r>
      <w:r>
        <w:rPr>
          <w:rFonts w:hint="eastAsia" w:ascii="仿宋" w:hAnsi="仿宋" w:eastAsia="仿宋"/>
          <w:sz w:val="32"/>
          <w:lang w:val="en-US"/>
        </w:rPr>
        <w:t>万元，比上</w:t>
      </w:r>
      <w:r>
        <w:rPr>
          <w:rFonts w:hint="eastAsia" w:ascii="仿宋" w:hAnsi="仿宋" w:eastAsia="仿宋"/>
          <w:sz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lang w:val="en-US"/>
        </w:rPr>
        <w:t>减</w:t>
      </w:r>
      <w:r>
        <w:rPr>
          <w:rFonts w:hint="eastAsia" w:ascii="仿宋" w:hAnsi="仿宋" w:eastAsia="仿宋"/>
          <w:sz w:val="32"/>
          <w:lang w:val="en-US" w:eastAsia="zh-CN"/>
        </w:rPr>
        <w:t>少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137.15</w:t>
      </w:r>
      <w:r>
        <w:rPr>
          <w:rFonts w:hint="eastAsia" w:ascii="仿宋" w:hAnsi="仿宋" w:eastAsia="仿宋"/>
          <w:color w:val="auto"/>
          <w:sz w:val="32"/>
          <w:lang w:val="en-US"/>
        </w:rPr>
        <w:t>万</w:t>
      </w:r>
      <w:r>
        <w:rPr>
          <w:rFonts w:hint="eastAsia" w:ascii="仿宋" w:hAnsi="仿宋" w:eastAsia="仿宋"/>
          <w:sz w:val="32"/>
          <w:lang w:val="en-US"/>
        </w:rPr>
        <w:t>元，下降</w:t>
      </w:r>
      <w:r>
        <w:rPr>
          <w:rFonts w:hint="eastAsia" w:ascii="仿宋" w:hAnsi="仿宋" w:eastAsia="仿宋"/>
          <w:sz w:val="28"/>
          <w:lang w:val="en-US" w:eastAsia="zh-CN"/>
        </w:rPr>
        <w:t>41.5</w:t>
      </w:r>
      <w:r>
        <w:rPr>
          <w:rFonts w:hint="eastAsia" w:ascii="仿宋" w:hAnsi="仿宋" w:eastAsia="仿宋"/>
          <w:sz w:val="28"/>
          <w:lang w:val="en-US"/>
        </w:rPr>
        <w:t>%</w:t>
      </w:r>
      <w:r>
        <w:rPr>
          <w:rFonts w:hint="eastAsia" w:ascii="仿宋" w:hAnsi="仿宋" w:eastAsia="仿宋"/>
          <w:sz w:val="32"/>
          <w:lang w:val="en-US"/>
        </w:rPr>
        <w:t>；</w:t>
      </w:r>
      <w:r>
        <w:rPr>
          <w:rFonts w:hint="eastAsia" w:ascii="仿宋" w:hAnsi="仿宋" w:eastAsia="仿宋"/>
          <w:sz w:val="32"/>
          <w:lang w:val="zh-CN"/>
        </w:rPr>
        <w:t>变化的主要原因：本年度预算经费减少,导致支出减少。</w:t>
      </w:r>
    </w:p>
    <w:p>
      <w:pPr>
        <w:pStyle w:val="4"/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4"/>
        <w:numPr>
          <w:ilvl w:val="0"/>
          <w:numId w:val="0"/>
        </w:num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lang w:val="en-US"/>
        </w:rPr>
        <w:t>政府性基金财政拨款收入完成</w:t>
      </w:r>
      <w:r>
        <w:rPr>
          <w:rFonts w:hint="eastAsia" w:ascii="仿宋" w:hAnsi="仿宋" w:eastAsia="仿宋"/>
          <w:sz w:val="28"/>
          <w:lang w:val="en-US"/>
        </w:rPr>
        <w:t>0</w:t>
      </w:r>
      <w:r>
        <w:rPr>
          <w:rFonts w:hint="eastAsia" w:ascii="仿宋" w:hAnsi="仿宋" w:eastAsia="仿宋"/>
          <w:sz w:val="32"/>
          <w:lang w:val="en-US"/>
        </w:rPr>
        <w:t>万元，比上年</w:t>
      </w:r>
      <w:r>
        <w:rPr>
          <w:rFonts w:hint="eastAsia" w:ascii="仿宋" w:hAnsi="仿宋" w:eastAsia="仿宋"/>
          <w:sz w:val="32"/>
          <w:lang w:val="en-US" w:eastAsia="zh-CN"/>
        </w:rPr>
        <w:t>增长</w:t>
      </w:r>
      <w:r>
        <w:rPr>
          <w:rFonts w:hint="eastAsia" w:ascii="仿宋" w:hAnsi="仿宋" w:eastAsia="仿宋"/>
          <w:sz w:val="28"/>
          <w:lang w:val="en-US"/>
        </w:rPr>
        <w:t>0</w:t>
      </w:r>
      <w:r>
        <w:rPr>
          <w:rFonts w:hint="eastAsia" w:ascii="仿宋" w:hAnsi="仿宋" w:eastAsia="仿宋"/>
          <w:sz w:val="32"/>
          <w:lang w:val="en-US"/>
        </w:rPr>
        <w:t>万元，增长</w:t>
      </w:r>
      <w:r>
        <w:rPr>
          <w:rFonts w:hint="eastAsia" w:ascii="仿宋" w:hAnsi="仿宋" w:eastAsia="仿宋"/>
          <w:sz w:val="28"/>
          <w:lang w:val="en-US"/>
        </w:rPr>
        <w:t>0</w:t>
      </w:r>
      <w:r>
        <w:rPr>
          <w:rFonts w:hint="eastAsia" w:ascii="仿宋" w:hAnsi="仿宋" w:eastAsia="仿宋"/>
          <w:sz w:val="32"/>
          <w:lang w:val="zh-CN"/>
        </w:rPr>
        <w:t>%。</w:t>
      </w:r>
    </w:p>
    <w:p>
      <w:pPr>
        <w:pStyle w:val="4"/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4"/>
        <w:numPr>
          <w:ilvl w:val="0"/>
          <w:numId w:val="0"/>
        </w:num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国有资本</w:t>
      </w:r>
      <w:r>
        <w:rPr>
          <w:rFonts w:hint="eastAsia" w:ascii="仿宋" w:hAnsi="仿宋" w:eastAsia="仿宋"/>
          <w:sz w:val="32"/>
          <w:lang w:val="en-US"/>
        </w:rPr>
        <w:t>经营收入完成</w:t>
      </w:r>
      <w:r>
        <w:rPr>
          <w:rFonts w:hint="eastAsia" w:ascii="仿宋" w:hAnsi="仿宋" w:eastAsia="仿宋"/>
          <w:sz w:val="28"/>
          <w:lang w:val="en-US"/>
        </w:rPr>
        <w:t>0</w:t>
      </w:r>
      <w:r>
        <w:rPr>
          <w:rFonts w:hint="eastAsia" w:ascii="仿宋" w:hAnsi="仿宋" w:eastAsia="仿宋"/>
          <w:sz w:val="32"/>
          <w:lang w:val="en-US"/>
        </w:rPr>
        <w:t>万元，比上年</w:t>
      </w:r>
      <w:r>
        <w:rPr>
          <w:rFonts w:hint="eastAsia" w:ascii="仿宋" w:hAnsi="仿宋" w:eastAsia="仿宋"/>
          <w:sz w:val="32"/>
          <w:lang w:val="en-US" w:eastAsia="zh-CN"/>
        </w:rPr>
        <w:t>增长</w:t>
      </w:r>
      <w:r>
        <w:rPr>
          <w:rFonts w:hint="eastAsia" w:ascii="仿宋" w:hAnsi="仿宋" w:eastAsia="仿宋"/>
          <w:sz w:val="28"/>
          <w:lang w:val="en-US"/>
        </w:rPr>
        <w:t>0</w:t>
      </w:r>
      <w:r>
        <w:rPr>
          <w:rFonts w:hint="eastAsia" w:ascii="仿宋" w:hAnsi="仿宋" w:eastAsia="仿宋"/>
          <w:sz w:val="32"/>
          <w:lang w:val="en-US"/>
        </w:rPr>
        <w:t>万元</w:t>
      </w:r>
      <w:r>
        <w:rPr>
          <w:rFonts w:hint="default" w:eastAsia="Times New Roman"/>
          <w:sz w:val="32"/>
          <w:lang w:val="en-US"/>
        </w:rPr>
        <w:t>,</w:t>
      </w:r>
      <w:r>
        <w:rPr>
          <w:rFonts w:hint="eastAsia" w:ascii="仿宋" w:hAnsi="仿宋" w:eastAsia="仿宋"/>
          <w:sz w:val="32"/>
          <w:lang w:val="en-US"/>
        </w:rPr>
        <w:t>增长</w:t>
      </w:r>
      <w:r>
        <w:rPr>
          <w:rFonts w:hint="eastAsia" w:ascii="仿宋" w:hAnsi="仿宋" w:eastAsia="仿宋"/>
          <w:sz w:val="28"/>
          <w:lang w:val="en-US"/>
        </w:rPr>
        <w:t>0</w:t>
      </w:r>
      <w:r>
        <w:rPr>
          <w:rFonts w:hint="eastAsia" w:ascii="仿宋" w:hAnsi="仿宋" w:eastAsia="仿宋"/>
          <w:sz w:val="32"/>
          <w:lang w:val="zh-CN"/>
        </w:rPr>
        <w:t>%。</w:t>
      </w:r>
    </w:p>
    <w:p>
      <w:pPr>
        <w:pStyle w:val="4"/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4"/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lang w:val="zh-CN"/>
        </w:rPr>
        <w:t>人员经费</w:t>
      </w:r>
      <w:r>
        <w:rPr>
          <w:rFonts w:hint="eastAsia" w:ascii="仿宋" w:hAnsi="仿宋" w:eastAsia="仿宋"/>
          <w:sz w:val="32"/>
          <w:lang w:val="en-US"/>
        </w:rPr>
        <w:t>完成</w:t>
      </w:r>
      <w:r>
        <w:rPr>
          <w:rFonts w:hint="eastAsia" w:ascii="仿宋" w:hAnsi="仿宋" w:eastAsia="仿宋"/>
          <w:sz w:val="28"/>
          <w:lang w:val="en-US" w:eastAsia="zh-CN"/>
        </w:rPr>
        <w:t>714.54</w:t>
      </w:r>
      <w:r>
        <w:rPr>
          <w:rFonts w:hint="eastAsia" w:ascii="仿宋" w:hAnsi="仿宋" w:eastAsia="仿宋"/>
          <w:sz w:val="28"/>
          <w:lang w:val="en-US"/>
        </w:rPr>
        <w:t>万</w:t>
      </w:r>
      <w:r>
        <w:rPr>
          <w:rFonts w:hint="eastAsia" w:ascii="仿宋" w:hAnsi="仿宋" w:eastAsia="仿宋"/>
          <w:sz w:val="32"/>
          <w:lang w:val="en-US"/>
        </w:rPr>
        <w:t>元，比上年</w:t>
      </w:r>
      <w:r>
        <w:rPr>
          <w:rFonts w:hint="eastAsia" w:ascii="仿宋" w:hAnsi="仿宋" w:eastAsia="仿宋"/>
          <w:sz w:val="32"/>
          <w:lang w:val="en-US" w:eastAsia="zh-CN"/>
        </w:rPr>
        <w:t>减少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113.42</w:t>
      </w:r>
      <w:r>
        <w:rPr>
          <w:rFonts w:hint="eastAsia" w:ascii="仿宋" w:hAnsi="仿宋" w:eastAsia="仿宋"/>
          <w:color w:val="auto"/>
          <w:sz w:val="32"/>
          <w:lang w:val="en-US"/>
        </w:rPr>
        <w:t>万元，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减少13.6</w:t>
      </w:r>
      <w:r>
        <w:rPr>
          <w:rFonts w:hint="eastAsia" w:ascii="仿宋" w:hAnsi="仿宋" w:eastAsia="仿宋"/>
          <w:color w:val="auto"/>
          <w:sz w:val="28"/>
          <w:lang w:val="en-US"/>
        </w:rPr>
        <w:t>%，</w:t>
      </w:r>
      <w:r>
        <w:rPr>
          <w:rFonts w:hint="eastAsia" w:ascii="仿宋" w:hAnsi="仿宋" w:eastAsia="仿宋"/>
          <w:color w:val="auto"/>
          <w:sz w:val="32"/>
          <w:lang w:val="zh-CN"/>
        </w:rPr>
        <w:t>变化的主要原因：核实无误，本年度人</w:t>
      </w:r>
      <w:r>
        <w:rPr>
          <w:rFonts w:hint="eastAsia" w:ascii="仿宋" w:hAnsi="仿宋" w:eastAsia="仿宋"/>
          <w:sz w:val="32"/>
          <w:lang w:val="zh-CN"/>
        </w:rPr>
        <w:t>员经费</w:t>
      </w:r>
      <w:r>
        <w:rPr>
          <w:rFonts w:hint="eastAsia" w:ascii="仿宋" w:hAnsi="仿宋" w:eastAsia="仿宋"/>
          <w:sz w:val="32"/>
          <w:lang w:val="en-US" w:eastAsia="zh-CN"/>
        </w:rPr>
        <w:t>减少</w:t>
      </w:r>
      <w:r>
        <w:rPr>
          <w:rFonts w:hint="eastAsia" w:ascii="仿宋" w:hAnsi="仿宋" w:eastAsia="仿宋"/>
          <w:sz w:val="32"/>
          <w:lang w:val="en-US"/>
        </w:rPr>
        <w:t>；</w:t>
      </w:r>
    </w:p>
    <w:p>
      <w:pPr>
        <w:spacing w:line="600" w:lineRule="exact"/>
        <w:ind w:firstLine="640" w:firstLineChars="200"/>
        <w:rPr>
          <w:rFonts w:ascii="Calibri" w:hAnsi="Calibri" w:eastAsia="黑体" w:cs="Times New Roman"/>
          <w:sz w:val="32"/>
          <w:szCs w:val="32"/>
        </w:rPr>
      </w:pPr>
      <w:r>
        <w:rPr>
          <w:rFonts w:ascii="Calibri" w:hAnsi="Calibri" w:eastAsia="黑体" w:cs="Times New Roman"/>
          <w:sz w:val="32"/>
          <w:szCs w:val="32"/>
        </w:rPr>
        <w:t>六、部门整体支出绩效情况</w:t>
      </w:r>
    </w:p>
    <w:p>
      <w:pPr>
        <w:rPr>
          <w:rFonts w:hint="eastAsia" w:ascii="仿宋" w:hAnsi="仿宋" w:eastAsia="仿宋" w:cs="仿宋"/>
          <w:spacing w:val="7"/>
          <w:position w:val="25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一是基础设施全面完善。道县濂溪街道荷叶塘社区路面空坪建设项目全面实现绩效管理。严格执行村级财务管理制度，专款专用，规范资金核算和管理，加大监督检查力度，确保民生工程的有效实施和资金的合理安全使用。该项目保障了辖区内12个居民小组，共15000余人的生活。道县濂溪街道良田社区公共设施建设项目全面实现绩效管理。严格执行村级财务管理制度，专款专用，规范资金核算和管理，加大监督检查力度，确保民生工程的有效实施和资金的合理安全使用。该项目保障了辖区内10个居民小组，共20000余人的精神生活。</w:t>
      </w:r>
    </w:p>
    <w:p>
      <w:pPr>
        <w:pStyle w:val="4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七、存在的问题及原因分析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1、预算编制工作有待细化。预算编制不够明确和细化，预算编制的合理性需要提高，预算执行力度还要进一步加强。</w:t>
      </w:r>
    </w:p>
    <w:p>
      <w:pPr>
        <w:spacing w:line="600" w:lineRule="exact"/>
        <w:ind w:firstLine="640" w:firstLineChars="200"/>
        <w:rPr>
          <w:rFonts w:hint="eastAsia" w:ascii="Calibri" w:hAnsi="Calibri" w:eastAsia="仿宋_GB2312" w:cs="Times New Roman"/>
          <w:color w:val="000000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、公用经费控制有一定难度，基本为刚性支出。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Calibri" w:hAnsi="Calibri" w:eastAsia="黑体" w:cs="Times New Roman"/>
          <w:sz w:val="32"/>
          <w:szCs w:val="32"/>
          <w:lang w:eastAsia="zh-CN"/>
        </w:rPr>
      </w:pPr>
      <w:r>
        <w:rPr>
          <w:rFonts w:ascii="Calibri" w:hAnsi="Calibri" w:eastAsia="黑体" w:cs="Times New Roman"/>
          <w:sz w:val="32"/>
          <w:szCs w:val="32"/>
        </w:rPr>
        <w:t>下一步改进措施</w:t>
      </w:r>
    </w:p>
    <w:p>
      <w:pPr>
        <w:spacing w:line="600" w:lineRule="exact"/>
        <w:ind w:firstLine="640" w:firstLineChars="200"/>
        <w:rPr>
          <w:rFonts w:hint="eastAsia" w:ascii="Calibri" w:hAnsi="Calibri" w:eastAsia="仿宋_GB2312" w:cs="Times New Roman"/>
          <w:color w:val="000000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1.加强财务管理，严格财务审核。在费用报账支付时，按照预算规定的费用项目和用途进行资金使用审核、列报支付、财务核算，杜绝超支现象的发生。</w:t>
      </w:r>
    </w:p>
    <w:p>
      <w:pPr>
        <w:spacing w:line="600" w:lineRule="exact"/>
        <w:ind w:firstLine="640" w:firstLineChars="200"/>
        <w:rPr>
          <w:rFonts w:hint="eastAsia" w:ascii="Calibri" w:hAnsi="Calibri" w:eastAsia="仿宋_GB2312" w:cs="Times New Roman"/>
          <w:color w:val="000000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2.加强项目开展进度的跟踪，开展项目绩效评价，确保项目绩效目标的完成。</w:t>
      </w:r>
    </w:p>
    <w:p>
      <w:pPr>
        <w:spacing w:line="600" w:lineRule="exact"/>
        <w:ind w:firstLine="640" w:firstLineChars="200"/>
        <w:rPr>
          <w:rFonts w:hint="eastAsia" w:ascii="Calibri" w:hAnsi="Calibri" w:eastAsia="仿宋_GB2312" w:cs="Times New Roman"/>
          <w:color w:val="000000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3.强化财务人员业务知识培训，进一步严控财务管理，提高部门预算收支管理水平。</w:t>
      </w:r>
    </w:p>
    <w:p>
      <w:pPr>
        <w:numPr>
          <w:ilvl w:val="0"/>
          <w:numId w:val="3"/>
        </w:numPr>
        <w:spacing w:line="600" w:lineRule="exact"/>
        <w:ind w:left="0" w:leftChars="0" w:firstLine="640" w:firstLineChars="200"/>
        <w:rPr>
          <w:rFonts w:ascii="Calibri" w:hAnsi="Calibri" w:eastAsia="黑体" w:cs="Times New Roman"/>
          <w:sz w:val="32"/>
          <w:szCs w:val="32"/>
        </w:rPr>
      </w:pPr>
      <w:r>
        <w:rPr>
          <w:rFonts w:ascii="Calibri" w:hAnsi="Calibri" w:eastAsia="黑体" w:cs="Times New Roman"/>
          <w:sz w:val="32"/>
          <w:szCs w:val="32"/>
        </w:rPr>
        <w:t>绩效自评结果拟应用和公开情况</w:t>
      </w:r>
    </w:p>
    <w:p>
      <w:pPr>
        <w:spacing w:before="228" w:line="391" w:lineRule="auto"/>
        <w:ind w:left="195" w:right="316" w:firstLine="560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9"/>
          <w:sz w:val="28"/>
          <w:szCs w:val="28"/>
        </w:rPr>
        <w:t>强化评价结果运用。积极探索建立与预算编制相结合，及时做好资金使用的公开和监管，使评价结果得到有效运用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已公开。</w:t>
      </w:r>
    </w:p>
    <w:p>
      <w:pPr>
        <w:spacing w:before="228" w:line="391" w:lineRule="auto"/>
        <w:ind w:left="195" w:right="316" w:firstLine="560"/>
        <w:rPr>
          <w:rFonts w:ascii="Calibri" w:hAnsi="Calibri" w:eastAsia="黑体" w:cs="Times New Roman"/>
          <w:sz w:val="32"/>
          <w:szCs w:val="32"/>
        </w:rPr>
      </w:pPr>
      <w:r>
        <w:rPr>
          <w:rFonts w:ascii="Calibri" w:hAnsi="Calibri" w:eastAsia="黑体" w:cs="Times New Roman"/>
          <w:sz w:val="32"/>
          <w:szCs w:val="32"/>
        </w:rPr>
        <w:t>其他需要说明的情况</w:t>
      </w:r>
    </w:p>
    <w:p>
      <w:pPr>
        <w:spacing w:line="600" w:lineRule="exact"/>
        <w:ind w:firstLine="596" w:firstLineChars="200"/>
        <w:rPr>
          <w:rFonts w:ascii="Calibri" w:hAnsi="Calibri" w:eastAsia="方正小标宋_GBK" w:cs="Times New Roman"/>
          <w:kern w:val="0"/>
          <w:sz w:val="36"/>
          <w:szCs w:val="36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 xml:space="preserve">无 </w:t>
      </w:r>
    </w:p>
    <w:p>
      <w:pPr>
        <w:widowControl/>
        <w:rPr>
          <w:rFonts w:ascii="Calibri" w:hAnsi="Calibri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8B832"/>
    <w:multiLevelType w:val="singleLevel"/>
    <w:tmpl w:val="9EE8B8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455969"/>
    <w:multiLevelType w:val="singleLevel"/>
    <w:tmpl w:val="AA45596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E88CB7F"/>
    <w:multiLevelType w:val="singleLevel"/>
    <w:tmpl w:val="5E88CB7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B1861"/>
    <w:rsid w:val="114123A5"/>
    <w:rsid w:val="18CC7EC9"/>
    <w:rsid w:val="1D8E3F1F"/>
    <w:rsid w:val="2FFA78A3"/>
    <w:rsid w:val="38A62A3D"/>
    <w:rsid w:val="46D40B30"/>
    <w:rsid w:val="4861335D"/>
    <w:rsid w:val="491078EC"/>
    <w:rsid w:val="495B2013"/>
    <w:rsid w:val="534D2A57"/>
    <w:rsid w:val="60644A86"/>
    <w:rsid w:val="62333B8F"/>
    <w:rsid w:val="6A173D4C"/>
    <w:rsid w:val="6BFB160C"/>
    <w:rsid w:val="707478B6"/>
    <w:rsid w:val="7935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1289</Words>
  <Characters>1372</Characters>
  <Lines>0</Lines>
  <Paragraphs>0</Paragraphs>
  <TotalTime>44</TotalTime>
  <ScaleCrop>false</ScaleCrop>
  <LinksUpToDate>false</LinksUpToDate>
  <CharactersWithSpaces>1373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2022-05-11T09:21:00Z</dcterms:created>
  <dc:creator>Administrator</dc:creator>
  <cp:lastModifiedBy>霍格沃茨优秀在校生</cp:lastModifiedBy>
  <dcterms:modified xsi:type="dcterms:W3CDTF">2023-09-25T07:39:59Z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90DB7A33F4C44F47B2B67CDCEC0BBBC0_13</vt:lpwstr>
  </property>
</Properties>
</file>