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rFonts w:hint="eastAsia"/>
          <w:sz w:val="84"/>
          <w:szCs w:val="84"/>
          <w:lang w:eastAsia="zh-CN"/>
        </w:rPr>
      </w:pPr>
      <w:r>
        <w:rPr>
          <w:rFonts w:hint="eastAsia"/>
          <w:sz w:val="84"/>
          <w:szCs w:val="84"/>
          <w:lang w:eastAsia="zh-CN"/>
        </w:rPr>
        <w:t>道县道路运输服务中心</w:t>
      </w:r>
    </w:p>
    <w:p>
      <w:pPr>
        <w:pStyle w:val="13"/>
        <w:jc w:val="center"/>
        <w:rPr>
          <w:sz w:val="84"/>
          <w:szCs w:val="84"/>
        </w:rPr>
      </w:pP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第一部分XX单位概况</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一、部门职责</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二、机构设置</w:t>
      </w:r>
    </w:p>
    <w:p>
      <w:pPr>
        <w:pStyle w:val="13"/>
        <w:spacing w:line="500" w:lineRule="exact"/>
        <w:rPr>
          <w:rFonts w:ascii="仿宋_GB2312" w:hAnsi="仿宋_GB2312" w:cs="仿宋_GB2312"/>
          <w:b/>
          <w:sz w:val="28"/>
          <w:szCs w:val="28"/>
        </w:rPr>
      </w:pPr>
      <w:r>
        <w:rPr>
          <w:rFonts w:hint="eastAsia"/>
          <w:b/>
          <w:sz w:val="28"/>
          <w:szCs w:val="28"/>
        </w:rPr>
        <w:t>第二部分</w:t>
      </w:r>
      <w:r>
        <w:rPr>
          <w:b/>
          <w:sz w:val="28"/>
          <w:szCs w:val="28"/>
        </w:rPr>
        <w:t>20</w:t>
      </w:r>
      <w:r>
        <w:rPr>
          <w:rFonts w:hint="eastAsia"/>
          <w:b/>
          <w:sz w:val="28"/>
          <w:szCs w:val="28"/>
        </w:rPr>
        <w:t>21年度部门决算表</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一、收入支出决算总表</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二、收入决算表</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三、支出决算表</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四、财政拨款收入支出决算总表</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五、一般公共预算财政拨款支出决算表</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六、一般公共预算财政拨款基本支出决算</w:t>
      </w:r>
      <w:r>
        <w:rPr>
          <w:rFonts w:hint="eastAsia" w:ascii="宋体" w:eastAsia="宋体" w:cs="仿宋_GB2312"/>
          <w:sz w:val="28"/>
          <w:szCs w:val="28"/>
        </w:rPr>
        <w:t>明细</w:t>
      </w:r>
      <w:r>
        <w:rPr>
          <w:rFonts w:ascii="宋体" w:eastAsia="宋体" w:cs="仿宋_GB2312"/>
          <w:sz w:val="28"/>
          <w:szCs w:val="28"/>
        </w:rPr>
        <w:t>表</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七、一般公共预算财政拨款“三公”经费支出决算表</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八、政府性基金预算财政拨款收入支出决算表</w:t>
      </w:r>
    </w:p>
    <w:p>
      <w:pPr>
        <w:pStyle w:val="13"/>
        <w:spacing w:line="500" w:lineRule="exact"/>
        <w:ind w:firstLine="700" w:firstLineChars="250"/>
        <w:rPr>
          <w:rFonts w:ascii="宋体" w:eastAsia="宋体" w:cs="仿宋_GB2312"/>
          <w:sz w:val="28"/>
          <w:szCs w:val="28"/>
        </w:rPr>
      </w:pPr>
      <w:r>
        <w:rPr>
          <w:rFonts w:hint="eastAsia" w:ascii="宋体" w:eastAsia="宋体" w:cs="仿宋_GB2312"/>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b/>
          <w:sz w:val="28"/>
          <w:szCs w:val="28"/>
        </w:rPr>
        <w:t>第三部分</w:t>
      </w:r>
      <w:r>
        <w:rPr>
          <w:b/>
          <w:sz w:val="28"/>
          <w:szCs w:val="28"/>
        </w:rPr>
        <w:t>20</w:t>
      </w:r>
      <w:r>
        <w:rPr>
          <w:rFonts w:hint="eastAsia"/>
          <w:b/>
          <w:sz w:val="28"/>
          <w:szCs w:val="28"/>
        </w:rPr>
        <w:t>21年度部门决算情况说明</w:t>
      </w:r>
    </w:p>
    <w:p>
      <w:pPr>
        <w:pStyle w:val="13"/>
        <w:spacing w:line="500" w:lineRule="exact"/>
        <w:ind w:firstLine="700" w:firstLineChars="250"/>
        <w:rPr>
          <w:rFonts w:ascii="宋体" w:eastAsia="宋体" w:cs="仿宋_GB2312"/>
          <w:sz w:val="28"/>
          <w:szCs w:val="28"/>
        </w:rPr>
      </w:pPr>
      <w:r>
        <w:rPr>
          <w:rFonts w:asci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3"/>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eastAsia="黑体" w:cs="黑体"/>
          <w:b/>
          <w:color w:val="000000"/>
          <w:kern w:val="0"/>
          <w:sz w:val="28"/>
          <w:szCs w:val="28"/>
        </w:rPr>
      </w:pPr>
      <w:r>
        <w:rPr>
          <w:rFonts w:ascii="黑体" w:eastAsia="黑体" w:cs="黑体"/>
          <w:b/>
          <w:color w:val="000000"/>
          <w:kern w:val="0"/>
          <w:sz w:val="28"/>
          <w:szCs w:val="28"/>
        </w:rPr>
        <w:t>第四部分名词解释</w:t>
      </w:r>
    </w:p>
    <w:p>
      <w:pPr>
        <w:autoSpaceDE w:val="0"/>
        <w:autoSpaceDN w:val="0"/>
        <w:adjustRightInd w:val="0"/>
        <w:spacing w:line="500" w:lineRule="exact"/>
        <w:jc w:val="left"/>
        <w:rPr>
          <w:rFonts w:ascii="黑体" w:eastAsia="黑体" w:cs="仿宋_GB2312"/>
          <w:b/>
          <w:color w:val="000000"/>
          <w:kern w:val="0"/>
          <w:sz w:val="28"/>
          <w:szCs w:val="28"/>
        </w:rPr>
      </w:pPr>
      <w:r>
        <w:rPr>
          <w:rFonts w:hint="eastAsia" w:asci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lang w:eastAsia="zh-CN"/>
        </w:rPr>
      </w:pPr>
      <w:r>
        <w:rPr>
          <w:rFonts w:hint="eastAsia"/>
          <w:sz w:val="84"/>
          <w:szCs w:val="84"/>
          <w:lang w:eastAsia="zh-CN"/>
        </w:rPr>
        <w:t>道县道路运输管理所</w:t>
      </w:r>
    </w:p>
    <w:p>
      <w:pPr>
        <w:pStyle w:val="13"/>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pStyle w:val="14"/>
        <w:ind w:firstLine="0" w:firstLineChars="0"/>
        <w:jc w:val="left"/>
        <w:rPr>
          <w:rFonts w:ascii="黑体" w:eastAsia="黑体"/>
          <w:sz w:val="32"/>
          <w:szCs w:val="32"/>
        </w:rPr>
      </w:pPr>
    </w:p>
    <w:p>
      <w:pPr>
        <w:pStyle w:val="14"/>
        <w:ind w:firstLine="0" w:firstLineChars="0"/>
        <w:jc w:val="left"/>
        <w:rPr>
          <w:rFonts w:ascii="黑体" w:eastAsia="黑体"/>
          <w:sz w:val="32"/>
          <w:szCs w:val="32"/>
        </w:rPr>
      </w:pPr>
    </w:p>
    <w:p>
      <w:pPr>
        <w:pStyle w:val="14"/>
        <w:numPr>
          <w:ilvl w:val="0"/>
          <w:numId w:val="1"/>
        </w:numPr>
        <w:ind w:firstLineChars="0"/>
        <w:jc w:val="left"/>
        <w:rPr>
          <w:rFonts w:ascii="黑体" w:eastAsia="黑体"/>
          <w:sz w:val="32"/>
          <w:szCs w:val="32"/>
        </w:rPr>
      </w:pPr>
      <w:r>
        <w:rPr>
          <w:rFonts w:ascii="黑体" w:eastAsia="黑体"/>
          <w:sz w:val="32"/>
          <w:szCs w:val="32"/>
        </w:rPr>
        <w:t>部门职责</w:t>
      </w:r>
    </w:p>
    <w:p>
      <w:pPr>
        <w:keepNext w:val="0"/>
        <w:keepLines w:val="0"/>
        <w:pageBreakBefore w:val="0"/>
        <w:widowControl w:val="0"/>
        <w:kinsoku/>
        <w:wordWrap/>
        <w:overflowPunct/>
        <w:topLinePunct w:val="0"/>
        <w:snapToGrid w:val="0"/>
        <w:spacing w:line="620" w:lineRule="exact"/>
        <w:ind w:firstLine="640" w:firstLineChars="200"/>
        <w:rPr>
          <w:rFonts w:ascii="宋体" w:cs="Times New Roman"/>
          <w:bCs/>
          <w:kern w:val="0"/>
          <w:sz w:val="32"/>
          <w:szCs w:val="32"/>
        </w:rPr>
      </w:pPr>
      <w:r>
        <w:rPr>
          <w:rFonts w:hint="eastAsia" w:ascii="宋体"/>
          <w:bCs/>
          <w:kern w:val="0"/>
          <w:sz w:val="32"/>
          <w:szCs w:val="32"/>
        </w:rPr>
        <w:t>（一）</w:t>
      </w:r>
      <w:r>
        <w:rPr>
          <w:rFonts w:ascii="宋体" w:cs="Times New Roman"/>
          <w:bCs/>
          <w:kern w:val="0"/>
          <w:sz w:val="32"/>
          <w:szCs w:val="32"/>
        </w:rPr>
        <w:t>负责宣传贯彻落实《中华人民共和国道路运输条例》、《湖南省道路运输条例》等国家有关道路运输的方针、政策、法规、规章。 </w:t>
      </w:r>
    </w:p>
    <w:p>
      <w:pPr>
        <w:ind w:left="0" w:firstLine="640" w:firstLineChars="200"/>
        <w:jc w:val="left"/>
        <w:rPr>
          <w:rFonts w:ascii="宋体" w:cs="Times New Roman"/>
          <w:bCs/>
          <w:kern w:val="0"/>
          <w:sz w:val="32"/>
          <w:szCs w:val="32"/>
        </w:rPr>
      </w:pPr>
      <w:r>
        <w:rPr>
          <w:rFonts w:hint="eastAsia" w:ascii="宋体"/>
          <w:bCs/>
          <w:kern w:val="0"/>
          <w:sz w:val="32"/>
          <w:szCs w:val="32"/>
        </w:rPr>
        <w:t>（二）</w:t>
      </w:r>
      <w:r>
        <w:rPr>
          <w:rFonts w:ascii="宋体" w:cs="Times New Roman"/>
          <w:bCs/>
          <w:kern w:val="0"/>
          <w:sz w:val="32"/>
          <w:szCs w:val="32"/>
        </w:rPr>
        <w:t>负责对旅客、货物流量、流向的调查研究和预测，为上级交通主管部门制订行业发展规划提供依据。</w:t>
      </w:r>
    </w:p>
    <w:p>
      <w:pPr>
        <w:ind w:left="0" w:firstLine="640" w:firstLineChars="200"/>
        <w:jc w:val="left"/>
        <w:rPr>
          <w:rFonts w:ascii="宋体" w:cs="Times New Roman"/>
          <w:bCs/>
          <w:kern w:val="0"/>
          <w:sz w:val="32"/>
          <w:szCs w:val="32"/>
        </w:rPr>
      </w:pPr>
      <w:r>
        <w:rPr>
          <w:rFonts w:hint="eastAsia" w:ascii="宋体"/>
          <w:bCs/>
          <w:kern w:val="0"/>
          <w:sz w:val="32"/>
          <w:szCs w:val="32"/>
        </w:rPr>
        <w:t>（</w:t>
      </w:r>
      <w:r>
        <w:rPr>
          <w:rFonts w:ascii="宋体"/>
          <w:bCs/>
          <w:kern w:val="0"/>
          <w:sz w:val="32"/>
          <w:szCs w:val="32"/>
        </w:rPr>
        <w:t>三</w:t>
      </w:r>
      <w:r>
        <w:rPr>
          <w:rFonts w:hint="eastAsia" w:ascii="宋体"/>
          <w:bCs/>
          <w:kern w:val="0"/>
          <w:sz w:val="32"/>
          <w:szCs w:val="32"/>
        </w:rPr>
        <w:t>）</w:t>
      </w:r>
      <w:r>
        <w:rPr>
          <w:rFonts w:ascii="宋体" w:cs="Times New Roman"/>
          <w:bCs/>
          <w:kern w:val="0"/>
          <w:sz w:val="32"/>
          <w:szCs w:val="32"/>
        </w:rPr>
        <w:t>负责本辖区道路旅客运输、货物运输、机动车维修、驾驶员培训和客（货）运站场的行业管理；根据管理权限，核发从事客运经营、货物运输经营、机动车驾驶员培训经营、汽车客（货）运站场经营的经营证照。</w:t>
      </w:r>
    </w:p>
    <w:p>
      <w:pPr>
        <w:ind w:left="0" w:firstLine="640" w:firstLineChars="200"/>
        <w:jc w:val="left"/>
        <w:rPr>
          <w:rFonts w:ascii="宋体" w:cs="Times New Roman"/>
          <w:bCs/>
          <w:kern w:val="0"/>
          <w:sz w:val="32"/>
          <w:szCs w:val="32"/>
        </w:rPr>
      </w:pPr>
      <w:r>
        <w:rPr>
          <w:rFonts w:hint="eastAsia" w:ascii="宋体"/>
          <w:bCs/>
          <w:kern w:val="0"/>
          <w:sz w:val="32"/>
          <w:szCs w:val="32"/>
        </w:rPr>
        <w:t>（</w:t>
      </w:r>
      <w:r>
        <w:rPr>
          <w:rFonts w:ascii="宋体"/>
          <w:bCs/>
          <w:kern w:val="0"/>
          <w:sz w:val="32"/>
          <w:szCs w:val="32"/>
        </w:rPr>
        <w:t>四</w:t>
      </w:r>
      <w:r>
        <w:rPr>
          <w:rFonts w:hint="eastAsia" w:ascii="宋体"/>
          <w:bCs/>
          <w:kern w:val="0"/>
          <w:sz w:val="32"/>
          <w:szCs w:val="32"/>
        </w:rPr>
        <w:t>）</w:t>
      </w:r>
      <w:r>
        <w:rPr>
          <w:rFonts w:ascii="宋体" w:cs="Times New Roman"/>
          <w:bCs/>
          <w:kern w:val="0"/>
          <w:sz w:val="32"/>
          <w:szCs w:val="32"/>
        </w:rPr>
        <w:t>负责组织协调重点物资、大宗物资、重点站（场）集散物资的运输工作，做好战备、救灾、抢险等指令性紧急物资的运输组织工作。 </w:t>
      </w:r>
    </w:p>
    <w:p>
      <w:pPr>
        <w:keepNext w:val="0"/>
        <w:keepLines w:val="0"/>
        <w:pageBreakBefore w:val="0"/>
        <w:widowControl w:val="0"/>
        <w:kinsoku/>
        <w:wordWrap/>
        <w:overflowPunct/>
        <w:topLinePunct w:val="0"/>
        <w:snapToGrid w:val="0"/>
        <w:spacing w:line="620" w:lineRule="exact"/>
        <w:ind w:firstLine="640" w:firstLineChars="200"/>
        <w:rPr>
          <w:rFonts w:ascii="宋体" w:cs="Times New Roman"/>
          <w:bCs/>
          <w:kern w:val="0"/>
          <w:sz w:val="32"/>
          <w:szCs w:val="32"/>
        </w:rPr>
      </w:pPr>
      <w:r>
        <w:rPr>
          <w:rFonts w:hint="eastAsia" w:ascii="宋体"/>
          <w:bCs/>
          <w:kern w:val="0"/>
          <w:sz w:val="32"/>
          <w:szCs w:val="32"/>
        </w:rPr>
        <w:t>（</w:t>
      </w:r>
      <w:r>
        <w:rPr>
          <w:rFonts w:ascii="宋体"/>
          <w:bCs/>
          <w:kern w:val="0"/>
          <w:sz w:val="32"/>
          <w:szCs w:val="32"/>
        </w:rPr>
        <w:t>五</w:t>
      </w:r>
      <w:r>
        <w:rPr>
          <w:rFonts w:hint="eastAsia" w:ascii="宋体"/>
          <w:bCs/>
          <w:kern w:val="0"/>
          <w:sz w:val="32"/>
          <w:szCs w:val="32"/>
        </w:rPr>
        <w:t>）</w:t>
      </w:r>
      <w:r>
        <w:rPr>
          <w:rFonts w:ascii="宋体" w:cs="Times New Roman"/>
          <w:bCs/>
          <w:kern w:val="0"/>
          <w:sz w:val="32"/>
          <w:szCs w:val="32"/>
        </w:rPr>
        <w:t>负责本辖区道路运输行业和主要经济、技术指标的统计汇总及上报，掌握本辖区道路运输经济情况，为上级宏观决策提供依据。对本辖区道路旅客运输、货物运输、机动车维修、驾驶员培训和客（货）运站场的进行日常巡查。</w:t>
      </w:r>
    </w:p>
    <w:p>
      <w:pPr>
        <w:widowControl/>
        <w:spacing w:line="600" w:lineRule="exact"/>
        <w:rPr>
          <w:rFonts w:ascii="黑体" w:eastAsia="黑体"/>
          <w:bCs/>
          <w:kern w:val="0"/>
          <w:sz w:val="32"/>
          <w:szCs w:val="32"/>
        </w:rPr>
      </w:pPr>
      <w:r>
        <w:rPr>
          <w:rFonts w:hint="eastAsia" w:ascii="黑体" w:eastAsia="黑体"/>
          <w:bCs/>
          <w:kern w:val="0"/>
          <w:sz w:val="32"/>
          <w:szCs w:val="32"/>
        </w:rPr>
        <w:t>二、机构设置及决算单位构成</w:t>
      </w:r>
    </w:p>
    <w:p>
      <w:pPr>
        <w:keepNext w:val="0"/>
        <w:keepLines w:val="0"/>
        <w:pageBreakBefore w:val="0"/>
        <w:widowControl/>
        <w:kinsoku/>
        <w:wordWrap/>
        <w:overflowPunct/>
        <w:topLinePunct w:val="0"/>
        <w:bidi w:val="0"/>
        <w:spacing w:line="600" w:lineRule="exact"/>
        <w:rPr>
          <w:rFonts w:ascii="宋体"/>
          <w:bCs/>
          <w:sz w:val="32"/>
          <w:szCs w:val="32"/>
        </w:rPr>
      </w:pPr>
      <w:r>
        <w:rPr>
          <w:rFonts w:hint="eastAsia" w:ascii="宋体"/>
          <w:bCs/>
          <w:kern w:val="0"/>
          <w:sz w:val="32"/>
          <w:szCs w:val="32"/>
        </w:rPr>
        <w:t>（一）内设机构设置。</w:t>
      </w:r>
      <w:r>
        <w:rPr>
          <w:rFonts w:ascii="宋体"/>
          <w:bCs/>
          <w:kern w:val="0"/>
          <w:sz w:val="32"/>
          <w:szCs w:val="32"/>
        </w:rPr>
        <w:t>道县道路运输管理所</w:t>
      </w:r>
      <w:r>
        <w:rPr>
          <w:rFonts w:hint="eastAsia" w:ascii="宋体"/>
          <w:bCs/>
          <w:kern w:val="0"/>
          <w:sz w:val="32"/>
          <w:szCs w:val="32"/>
        </w:rPr>
        <w:t>内设机构包括：</w:t>
      </w:r>
      <w:r>
        <w:rPr>
          <w:rFonts w:ascii="宋体"/>
          <w:bCs/>
          <w:sz w:val="32"/>
          <w:szCs w:val="32"/>
          <w:lang w:val="en-US" w:eastAsia="zh-CN"/>
        </w:rPr>
        <w:t>办公室、财务统计室、道路客运事务室、道路货运事务室、驾培事务室、机动车维修事务室、政务服务大厅、工会</w:t>
      </w:r>
      <w:r>
        <w:rPr>
          <w:rFonts w:ascii="宋体"/>
          <w:bCs/>
          <w:sz w:val="32"/>
          <w:szCs w:val="32"/>
        </w:rPr>
        <w:t>。</w:t>
      </w:r>
    </w:p>
    <w:p>
      <w:pPr>
        <w:widowControl/>
        <w:spacing w:line="600" w:lineRule="exact"/>
        <w:rPr>
          <w:rFonts w:ascii="宋体"/>
          <w:bCs/>
          <w:kern w:val="0"/>
          <w:sz w:val="32"/>
          <w:szCs w:val="32"/>
        </w:rPr>
      </w:pPr>
      <w:r>
        <w:rPr>
          <w:rFonts w:hint="eastAsia" w:ascii="宋体"/>
          <w:bCs/>
          <w:kern w:val="0"/>
          <w:sz w:val="32"/>
          <w:szCs w:val="32"/>
        </w:rPr>
        <w:t>（二）决算单位构成。</w:t>
      </w:r>
      <w:r>
        <w:rPr>
          <w:rFonts w:ascii="宋体"/>
          <w:bCs/>
          <w:kern w:val="0"/>
          <w:sz w:val="32"/>
          <w:szCs w:val="32"/>
        </w:rPr>
        <w:t>道县道路运输管理所20</w:t>
      </w:r>
      <w:r>
        <w:rPr>
          <w:rFonts w:hint="eastAsia" w:ascii="宋体"/>
          <w:bCs/>
          <w:kern w:val="0"/>
          <w:sz w:val="32"/>
          <w:szCs w:val="32"/>
        </w:rPr>
        <w:t>21年部门决算汇总公开单位构成包括：</w:t>
      </w:r>
      <w:r>
        <w:rPr>
          <w:rFonts w:ascii="宋体"/>
          <w:bCs/>
          <w:kern w:val="0"/>
          <w:sz w:val="32"/>
          <w:szCs w:val="32"/>
        </w:rPr>
        <w:t>道县道路运输管理所</w:t>
      </w:r>
      <w:r>
        <w:rPr>
          <w:rFonts w:hint="eastAsia" w:ascii="宋体"/>
          <w:bCs/>
          <w:kern w:val="0"/>
          <w:sz w:val="32"/>
          <w:szCs w:val="32"/>
        </w:rPr>
        <w:t>本级</w:t>
      </w:r>
      <w:r>
        <w:rPr>
          <w:rFonts w:ascii="宋体"/>
          <w:bCs/>
          <w:kern w:val="0"/>
          <w:sz w:val="32"/>
          <w:szCs w:val="32"/>
        </w:rPr>
        <w:t>。</w:t>
      </w:r>
    </w:p>
    <w:p>
      <w:pPr>
        <w:jc w:val="left"/>
        <w:rPr>
          <w:rFonts w:ascii="仿宋_GB2312" w:eastAsia="仿宋_GB2312"/>
          <w:sz w:val="28"/>
          <w:szCs w:val="32"/>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sz w:val="32"/>
          <w:szCs w:val="32"/>
        </w:rPr>
        <w:sectPr>
          <w:pgSz w:w="11906" w:h="16838"/>
          <w:pgMar w:top="720" w:right="720" w:bottom="720" w:left="720" w:header="851" w:footer="992" w:gutter="0"/>
          <w:cols w:space="720" w:num="1"/>
          <w:docGrid w:type="lines" w:linePitch="312" w:charSpace="0"/>
        </w:sectPr>
      </w:pPr>
    </w:p>
    <w:tbl>
      <w:tblPr>
        <w:tblStyle w:val="11"/>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 xml:space="preserve"> 道县道路运输服务中心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612.19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0"/>
                <w:szCs w:val="20"/>
                <w:u w:val="none"/>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0"/>
                <w:szCs w:val="20"/>
                <w:u w:val="none"/>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0"/>
                <w:szCs w:val="20"/>
              </w:rPr>
            </w:pPr>
            <w:r>
              <w:rPr>
                <w:rFonts w:hint="eastAsia" w:ascii="宋体" w:eastAsia="宋体" w:cs="宋体"/>
                <w:b/>
                <w:bCs/>
                <w:i w:val="0"/>
                <w:iCs w:val="0"/>
                <w:color w:val="000000"/>
                <w:kern w:val="0"/>
                <w:sz w:val="22"/>
                <w:szCs w:val="22"/>
                <w:u w:val="none"/>
                <w:lang w:val="en-US" w:eastAsia="zh-CN"/>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0"/>
                <w:szCs w:val="20"/>
              </w:rPr>
            </w:pPr>
            <w:r>
              <w:rPr>
                <w:rFonts w:hint="eastAsia" w:ascii="宋体" w:eastAsia="宋体" w:cs="宋体"/>
                <w:b/>
                <w:bCs/>
                <w:i w:val="0"/>
                <w:iCs w:val="0"/>
                <w:color w:val="000000"/>
                <w:kern w:val="0"/>
                <w:sz w:val="22"/>
                <w:szCs w:val="22"/>
                <w:u w:val="none"/>
                <w:lang w:val="en-US" w:eastAsia="zh-CN"/>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b/>
                <w:bCs/>
                <w:kern w:val="0"/>
                <w:sz w:val="22"/>
              </w:rPr>
            </w:pPr>
            <w:r>
              <w:rPr>
                <w:rFonts w:hint="eastAsia" w:ascii="宋体" w:eastAsia="宋体" w:cs="宋体"/>
                <w:i w:val="0"/>
                <w:iCs w:val="0"/>
                <w:color w:val="000000"/>
                <w:kern w:val="0"/>
                <w:sz w:val="22"/>
                <w:szCs w:val="22"/>
                <w:u w:val="none"/>
                <w:lang w:val="en-US" w:eastAsia="zh-CN"/>
              </w:rPr>
              <w:t>683.22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b/>
                <w:bCs/>
                <w:kern w:val="0"/>
                <w:sz w:val="22"/>
              </w:rPr>
            </w:pPr>
            <w:r>
              <w:rPr>
                <w:rFonts w:hint="eastAsia" w:ascii="宋体" w:eastAsia="宋体" w:cs="宋体"/>
                <w:i w:val="0"/>
                <w:iCs w:val="0"/>
                <w:color w:val="000000"/>
                <w:kern w:val="0"/>
                <w:sz w:val="22"/>
                <w:szCs w:val="22"/>
                <w:u w:val="none"/>
                <w:lang w:val="en-US" w:eastAsia="zh-CN"/>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b/>
                <w:bCs/>
                <w:kern w:val="0"/>
                <w:sz w:val="22"/>
              </w:rPr>
            </w:pPr>
            <w:r>
              <w:rPr>
                <w:rFonts w:hint="eastAsia" w:ascii="宋体" w:eastAsia="宋体" w:cs="宋体"/>
                <w:i w:val="0"/>
                <w:iCs w:val="0"/>
                <w:color w:val="000000"/>
                <w:kern w:val="0"/>
                <w:sz w:val="22"/>
                <w:szCs w:val="22"/>
                <w:u w:val="none"/>
                <w:lang w:val="en-US" w:eastAsia="zh-CN"/>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b/>
                <w:bCs/>
                <w:kern w:val="0"/>
                <w:sz w:val="22"/>
              </w:rPr>
            </w:pPr>
            <w:r>
              <w:rPr>
                <w:rFonts w:hint="eastAsia" w:ascii="宋体" w:eastAsia="宋体" w:cs="宋体"/>
                <w:i w:val="0"/>
                <w:iCs w:val="0"/>
                <w:color w:val="000000"/>
                <w:kern w:val="0"/>
                <w:sz w:val="22"/>
                <w:szCs w:val="22"/>
                <w:u w:val="none"/>
                <w:lang w:val="en-US" w:eastAsia="zh-CN"/>
              </w:rPr>
              <w:t>683.22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注：1.本表反映部门本年度的总收支和年末结转结余情况。</w:t>
            </w:r>
            <w:r>
              <w:rPr>
                <w:rFonts w:hint="eastAsia" w:ascii="宋体" w:eastAsia="宋体" w:cs="宋体"/>
                <w:kern w:val="0"/>
                <w:sz w:val="24"/>
                <w:szCs w:val="24"/>
              </w:rPr>
              <w:br w:type="textWrapping"/>
            </w:r>
            <w:r>
              <w:rPr>
                <w:rFonts w:hint="eastAsia" w:ascii="宋体" w:eastAsia="宋体" w:cs="宋体"/>
                <w:kern w:val="0"/>
                <w:sz w:val="24"/>
                <w:szCs w:val="24"/>
              </w:rPr>
              <w:t xml:space="preserve"> 2.本套报表金额单位转换时可能存在尾数误差。</w:t>
            </w:r>
          </w:p>
        </w:tc>
      </w:tr>
    </w:tbl>
    <w:p>
      <w:pPr>
        <w:jc w:val="center"/>
        <w:rPr>
          <w:rFonts w:asci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11"/>
        <w:tblW w:w="15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3"/>
        <w:gridCol w:w="236"/>
        <w:gridCol w:w="1853"/>
        <w:gridCol w:w="1659"/>
        <w:gridCol w:w="1659"/>
        <w:gridCol w:w="1659"/>
        <w:gridCol w:w="1659"/>
        <w:gridCol w:w="1659"/>
        <w:gridCol w:w="1660"/>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right w:w="15" w:type="dxa"/>
            </w:tcMar>
            <w:vAlign w:val="center"/>
          </w:tcPr>
          <w:p>
            <w:pPr>
              <w:jc w:val="center"/>
              <w:rPr>
                <w:rFonts w:ascii="华文中宋" w:eastAsia="华文中宋" w:cs="宋体"/>
                <w:color w:val="000000"/>
                <w:sz w:val="32"/>
                <w:szCs w:val="32"/>
              </w:rPr>
            </w:pPr>
            <w:r>
              <w:rPr>
                <w:rFonts w:hint="eastAsia" w:asci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19"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237"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846"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235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256" w:type="dxa"/>
            <w:gridSpan w:val="2"/>
            <w:tcBorders>
              <w:top w:val="nil"/>
              <w:left w:val="nil"/>
              <w:bottom w:val="nil"/>
              <w:right w:val="nil"/>
            </w:tcBorders>
            <w:shd w:val="clear" w:color="000000" w:fill="FFFFFF"/>
            <w:noWrap/>
            <w:tcMar>
              <w:top w:w="15" w:type="dxa"/>
              <w:left w:w="15" w:type="dxa"/>
              <w:right w:w="15" w:type="dxa"/>
            </w:tcMar>
            <w:vAlign w:val="center"/>
          </w:tcPr>
          <w:p>
            <w:pPr>
              <w:rPr>
                <w:rFonts w:ascii="宋体" w:eastAsia="宋体" w:cs="宋体"/>
                <w:color w:val="000000"/>
                <w:sz w:val="20"/>
                <w:szCs w:val="20"/>
              </w:rPr>
            </w:pPr>
            <w:r>
              <w:rPr>
                <w:rFonts w:hint="eastAsia"/>
                <w:color w:val="000000"/>
                <w:sz w:val="20"/>
                <w:szCs w:val="20"/>
              </w:rPr>
              <w:t>部门：</w:t>
            </w:r>
            <w:r>
              <w:rPr>
                <w:color w:val="000000"/>
                <w:sz w:val="20"/>
                <w:szCs w:val="20"/>
              </w:rPr>
              <w:t>道县道</w:t>
            </w:r>
          </w:p>
        </w:tc>
        <w:tc>
          <w:tcPr>
            <w:tcW w:w="1846" w:type="dxa"/>
            <w:tcBorders>
              <w:top w:val="nil"/>
              <w:left w:val="nil"/>
              <w:bottom w:val="nil"/>
              <w:right w:val="nil"/>
            </w:tcBorders>
            <w:shd w:val="clear" w:color="000000" w:fill="FFFFFF"/>
            <w:noWrap/>
            <w:tcMar>
              <w:top w:w="15" w:type="dxa"/>
              <w:left w:w="15" w:type="dxa"/>
              <w:right w:w="15" w:type="dxa"/>
            </w:tcMar>
            <w:vAlign w:val="center"/>
          </w:tcPr>
          <w:p>
            <w:pPr>
              <w:rPr>
                <w:rFonts w:ascii="宋体" w:eastAsia="宋体" w:cs="宋体"/>
                <w:sz w:val="24"/>
                <w:szCs w:val="24"/>
              </w:rPr>
            </w:pPr>
            <w:r>
              <w:t>路运输服务中心</w:t>
            </w: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center"/>
              <w:rPr>
                <w:rFonts w:ascii="宋体" w:eastAsia="宋体" w:cs="宋体"/>
                <w:color w:val="000000"/>
                <w:sz w:val="20"/>
                <w:szCs w:val="20"/>
              </w:rPr>
            </w:pPr>
            <w:r>
              <w:rPr>
                <w:rFonts w:hint="eastAsia"/>
                <w:color w:val="000000"/>
                <w:sz w:val="20"/>
                <w:szCs w:val="20"/>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1653"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sz w:val="24"/>
                <w:szCs w:val="24"/>
              </w:rPr>
            </w:pPr>
            <w:r>
              <w:rPr>
                <w:rFonts w:hint="eastAsia"/>
              </w:rPr>
              <w:t>　</w:t>
            </w:r>
          </w:p>
        </w:tc>
        <w:tc>
          <w:tcPr>
            <w:tcW w:w="2351" w:type="dxa"/>
            <w:tcBorders>
              <w:top w:val="nil"/>
              <w:left w:val="nil"/>
              <w:bottom w:val="nil"/>
              <w:right w:val="nil"/>
            </w:tcBorders>
            <w:shd w:val="clear" w:color="000000" w:fill="FFFFFF"/>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科目名称</w:t>
            </w: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2351"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256"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846" w:type="dxa"/>
            <w:vMerge w:val="continue"/>
            <w:tcBorders>
              <w:top w:val="nil"/>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1653" w:type="dxa"/>
            <w:vMerge w:val="continue"/>
            <w:tcBorders>
              <w:top w:val="single" w:color="auto" w:sz="4" w:space="0"/>
              <w:left w:val="single" w:color="auto" w:sz="4" w:space="0"/>
              <w:bottom w:val="single" w:color="auto" w:sz="4" w:space="0"/>
              <w:right w:val="single" w:color="auto" w:sz="4" w:space="0"/>
            </w:tcBorders>
            <w:noWrap/>
            <w:vAlign w:val="center"/>
          </w:tcPr>
          <w:p/>
        </w:tc>
        <w:tc>
          <w:tcPr>
            <w:tcW w:w="2351"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10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栏次</w:t>
            </w:r>
          </w:p>
        </w:tc>
        <w:tc>
          <w:tcPr>
            <w:tcW w:w="1653"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1</w:t>
            </w:r>
          </w:p>
        </w:tc>
        <w:tc>
          <w:tcPr>
            <w:tcW w:w="1653"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2</w:t>
            </w:r>
          </w:p>
        </w:tc>
        <w:tc>
          <w:tcPr>
            <w:tcW w:w="1653"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3</w:t>
            </w:r>
          </w:p>
        </w:tc>
        <w:tc>
          <w:tcPr>
            <w:tcW w:w="1653"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4</w:t>
            </w:r>
          </w:p>
        </w:tc>
        <w:tc>
          <w:tcPr>
            <w:tcW w:w="1653"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5</w:t>
            </w:r>
          </w:p>
        </w:tc>
        <w:tc>
          <w:tcPr>
            <w:tcW w:w="1653"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6</w:t>
            </w:r>
          </w:p>
        </w:tc>
        <w:tc>
          <w:tcPr>
            <w:tcW w:w="2351" w:type="dxa"/>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jc w:val="center"/>
              <w:rPr>
                <w:rFonts w:ascii="宋体" w:eastAsia="宋体" w:cs="宋体"/>
                <w:sz w:val="24"/>
                <w:szCs w:val="24"/>
              </w:rPr>
            </w:pPr>
            <w:r>
              <w:rPr>
                <w:rFonts w:hint="eastAsi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b/>
                <w:bCs/>
                <w:i w:val="0"/>
                <w:iCs w:val="0"/>
                <w:color w:val="000000"/>
                <w:kern w:val="0"/>
                <w:sz w:val="22"/>
                <w:szCs w:val="22"/>
                <w:u w:val="none"/>
                <w:lang w:val="en-US" w:eastAsia="zh-CN"/>
              </w:rPr>
              <w:t>683.22</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b/>
                <w:bCs/>
                <w:i w:val="0"/>
                <w:iCs w:val="0"/>
                <w:color w:val="000000"/>
                <w:kern w:val="0"/>
                <w:sz w:val="22"/>
                <w:szCs w:val="22"/>
                <w:u w:val="none"/>
                <w:lang w:val="en-US" w:eastAsia="zh-CN"/>
              </w:rPr>
              <w:t>683.22</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47.03</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47.03</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华文中宋" w:eastAsia="华文中宋" w:cs="宋体"/>
                <w:sz w:val="24"/>
                <w:szCs w:val="24"/>
              </w:rPr>
            </w:pPr>
            <w:r>
              <w:rPr>
                <w:rFonts w:hint="eastAsia" w:ascii="宋体" w:eastAsia="宋体" w:cs="宋体"/>
                <w:i w:val="0"/>
                <w:iCs w:val="0"/>
                <w:color w:val="000000"/>
                <w:kern w:val="0"/>
                <w:sz w:val="22"/>
                <w:szCs w:val="22"/>
                <w:u w:val="none"/>
                <w:lang w:val="en-US" w:eastAsia="zh-CN"/>
              </w:rPr>
              <w:t>47.03</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47.03</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47.03</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47.03</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24.00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24.00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21011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24.00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eastAsia="宋体" w:cs="宋体"/>
                <w:sz w:val="24"/>
                <w:szCs w:val="24"/>
              </w:rPr>
            </w:pPr>
            <w:r>
              <w:rPr>
                <w:rFonts w:hint="eastAsia" w:ascii="宋体" w:eastAsia="宋体" w:cs="宋体"/>
                <w:i w:val="0"/>
                <w:iCs w:val="0"/>
                <w:color w:val="000000"/>
                <w:kern w:val="0"/>
                <w:sz w:val="22"/>
                <w:szCs w:val="22"/>
                <w:u w:val="none"/>
                <w:lang w:val="en-US" w:eastAsia="zh-CN"/>
              </w:rPr>
              <w:t>24.00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2101102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24.00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24.00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214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交通运输支出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612.19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612.19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21401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公路水路运输</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559.00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559.00</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2140101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345.14</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345.14</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2140112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公路运输管理</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213.86</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213.86</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21499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其他交通运输支出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53.19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53.19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2149999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eastAsia="宋体" w:cs="宋体"/>
                <w:i w:val="0"/>
                <w:iCs w:val="0"/>
                <w:color w:val="000000"/>
                <w:kern w:val="0"/>
                <w:sz w:val="22"/>
                <w:szCs w:val="22"/>
                <w:u w:val="none"/>
                <w:lang w:val="en-US" w:eastAsia="zh-CN"/>
              </w:rPr>
              <w:t xml:space="preserve">  其他交通运输支出</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53.19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rPr>
            </w:pPr>
            <w:r>
              <w:rPr>
                <w:rFonts w:hint="eastAsia" w:ascii="宋体" w:eastAsia="宋体" w:cs="宋体"/>
                <w:i w:val="0"/>
                <w:iCs w:val="0"/>
                <w:color w:val="000000"/>
                <w:kern w:val="0"/>
                <w:sz w:val="22"/>
                <w:szCs w:val="22"/>
                <w:u w:val="none"/>
                <w:lang w:val="en-US" w:eastAsia="zh-CN"/>
              </w:rPr>
              <w:t>53.19</w:t>
            </w: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noWrap/>
            <w:tcMar>
              <w:top w:w="15" w:type="dxa"/>
              <w:left w:w="15" w:type="dxa"/>
              <w:right w:w="15" w:type="dxa"/>
            </w:tcMar>
            <w:vAlign w:val="center"/>
          </w:tcPr>
          <w:p>
            <w:pPr>
              <w:rPr>
                <w:rFonts w:ascii="宋体" w:eastAsia="宋体" w:cs="宋体"/>
                <w:sz w:val="24"/>
                <w:szCs w:val="24"/>
              </w:rPr>
            </w:pPr>
            <w:r>
              <w:rPr>
                <w:rFonts w:hint="eastAsia"/>
              </w:rPr>
              <w:t>注：本表反映部门本年度取得的各项收入情况。</w:t>
            </w:r>
          </w:p>
        </w:tc>
      </w:tr>
    </w:tbl>
    <w:p>
      <w:pPr>
        <w:widowControl/>
        <w:rPr>
          <w:rFonts w:ascii="Times New Roman" w:hAnsi="Times New Roman" w:eastAsia="方正小标宋_GBK" w:cs="Times New Roman"/>
          <w:color w:val="000000"/>
          <w:kern w:val="0"/>
          <w:sz w:val="22"/>
          <w:szCs w:val="36"/>
        </w:rPr>
      </w:pPr>
    </w:p>
    <w:tbl>
      <w:tblPr>
        <w:tblStyle w:val="11"/>
        <w:tblW w:w="140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道县道路运输服务中心</w:t>
            </w:r>
          </w:p>
        </w:tc>
        <w:tc>
          <w:tcPr>
            <w:tcW w:w="222"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eastAsia="宋体" w:cs="宋体"/>
                <w:color w:val="000000"/>
                <w:kern w:val="0"/>
                <w:sz w:val="20"/>
                <w:szCs w:val="20"/>
              </w:rPr>
            </w:pPr>
            <w:r>
              <w:rPr>
                <w:rFonts w:hint="eastAsia" w:asci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1411" w:type="dxa"/>
            <w:vMerge w:val="continue"/>
            <w:tcBorders>
              <w:top w:val="nil"/>
              <w:left w:val="single" w:color="auto" w:sz="4" w:space="0"/>
              <w:bottom w:val="single" w:color="auto" w:sz="4" w:space="0"/>
              <w:right w:val="single" w:color="auto" w:sz="4" w:space="0"/>
            </w:tcBorders>
            <w:noWrap/>
            <w:vAlign w:val="center"/>
          </w:tcPr>
          <w:p/>
        </w:tc>
        <w:tc>
          <w:tcPr>
            <w:tcW w:w="1646"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1679" w:type="dxa"/>
            <w:vMerge w:val="continue"/>
            <w:tcBorders>
              <w:top w:val="single" w:color="auto" w:sz="4" w:space="0"/>
              <w:left w:val="single" w:color="auto" w:sz="4" w:space="0"/>
              <w:bottom w:val="single" w:color="auto" w:sz="4" w:space="0"/>
              <w:right w:val="single" w:color="auto" w:sz="4" w:space="0"/>
            </w:tcBorders>
            <w:noWrap/>
            <w:vAlign w:val="center"/>
          </w:tcPr>
          <w:p/>
        </w:tc>
        <w:tc>
          <w:tcPr>
            <w:tcW w:w="2308"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b/>
                <w:bCs/>
                <w:i w:val="0"/>
                <w:iCs w:val="0"/>
                <w:color w:val="000000"/>
                <w:kern w:val="0"/>
                <w:sz w:val="22"/>
                <w:szCs w:val="22"/>
                <w:u w:val="none"/>
                <w:lang w:val="en-US" w:eastAsia="zh-CN"/>
              </w:rPr>
              <w:t>683.22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b/>
                <w:bCs/>
                <w:i w:val="0"/>
                <w:iCs w:val="0"/>
                <w:color w:val="000000"/>
                <w:kern w:val="0"/>
                <w:sz w:val="22"/>
                <w:szCs w:val="22"/>
                <w:u w:val="none"/>
                <w:lang w:val="en-US" w:eastAsia="zh-CN"/>
              </w:rPr>
              <w:t>683.22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47.03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47.03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47.03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47.03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47.03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47.03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24.00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2101102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交通运输支出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612.19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612.19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21401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公路水路运输</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559.00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559.00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2140101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345.14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345.14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2140112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公路运输管理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213.86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213.86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21499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其他交通运输支出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53.19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53.19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2149999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 xml:space="preserve">  其他交通运输支出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53.19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4"/>
                <w:szCs w:val="24"/>
              </w:rPr>
            </w:pPr>
            <w:r>
              <w:rPr>
                <w:rFonts w:hint="eastAsia" w:ascii="宋体" w:eastAsia="宋体" w:cs="宋体"/>
                <w:i w:val="0"/>
                <w:iCs w:val="0"/>
                <w:color w:val="000000"/>
                <w:kern w:val="0"/>
                <w:sz w:val="22"/>
                <w:szCs w:val="22"/>
                <w:u w:val="none"/>
                <w:lang w:val="en-US" w:eastAsia="zh-CN"/>
              </w:rPr>
              <w:t>53.19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注：本表反映部门本年度各项支出情况。</w:t>
            </w:r>
          </w:p>
        </w:tc>
      </w:tr>
    </w:tbl>
    <w:p>
      <w:pPr>
        <w:widowControl/>
        <w:ind w:firstLine="0"/>
        <w:rPr>
          <w:rFonts w:ascii="Times New Roman" w:hAnsi="Times New Roman" w:eastAsia="方正小标宋_GBK" w:cs="Times New Roman"/>
          <w:color w:val="000000"/>
          <w:kern w:val="0"/>
          <w:sz w:val="36"/>
          <w:szCs w:val="21"/>
        </w:rPr>
      </w:pPr>
    </w:p>
    <w:tbl>
      <w:tblPr>
        <w:tblStyle w:val="11"/>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 w:val="32"/>
                <w:szCs w:val="32"/>
              </w:rPr>
            </w:pPr>
            <w:r>
              <w:rPr>
                <w:rFonts w:hint="eastAsia" w:ascii="华文中宋" w:eastAsia="华文中宋" w:cs="宋体"/>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道县道路运输服务中心</w:t>
            </w:r>
          </w:p>
        </w:tc>
        <w:tc>
          <w:tcPr>
            <w:tcW w:w="436"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4"/>
                <w:szCs w:val="24"/>
              </w:rPr>
            </w:pPr>
            <w:r>
              <w:rPr>
                <w:rFonts w:hint="eastAsia" w:ascii="宋体" w:eastAsia="宋体" w:cs="宋体"/>
                <w:i w:val="0"/>
                <w:iCs w:val="0"/>
                <w:color w:val="000000"/>
                <w:kern w:val="0"/>
                <w:sz w:val="22"/>
                <w:szCs w:val="22"/>
                <w:u w:val="none"/>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47.03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47.03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24.00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24.00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612.19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612.19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kern w:val="0"/>
                <w:sz w:val="22"/>
              </w:rPr>
            </w:pPr>
            <w:r>
              <w:rPr>
                <w:rFonts w:hint="eastAsia" w:ascii="宋体" w:eastAsia="宋体" w:cs="宋体"/>
                <w:i w:val="0"/>
                <w:iCs w:val="0"/>
                <w:color w:val="000000"/>
                <w:kern w:val="0"/>
                <w:sz w:val="22"/>
                <w:szCs w:val="22"/>
                <w:u w:val="none"/>
                <w:lang w:val="en-US" w:eastAsia="zh-CN"/>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b/>
                <w:bCs/>
                <w:kern w:val="0"/>
                <w:sz w:val="22"/>
              </w:rPr>
            </w:pPr>
            <w:r>
              <w:rPr>
                <w:rFonts w:hint="eastAsia" w:ascii="宋体" w:eastAsia="宋体" w:cs="宋体"/>
                <w:b/>
                <w:bCs/>
                <w:i w:val="0"/>
                <w:iCs w:val="0"/>
                <w:color w:val="000000"/>
                <w:kern w:val="0"/>
                <w:sz w:val="22"/>
                <w:szCs w:val="22"/>
                <w:u w:val="none"/>
                <w:lang w:val="en-US" w:eastAsia="zh-CN"/>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eastAsia="宋体" w:cs="宋体"/>
                <w:kern w:val="0"/>
                <w:sz w:val="22"/>
              </w:rPr>
            </w:pPr>
            <w:r>
              <w:rPr>
                <w:rFonts w:hint="eastAsia" w:ascii="宋体" w:eastAsia="宋体" w:cs="宋体"/>
                <w:i w:val="0"/>
                <w:iCs w:val="0"/>
                <w:color w:val="000000"/>
                <w:kern w:val="0"/>
                <w:sz w:val="22"/>
                <w:szCs w:val="22"/>
                <w:u w:val="none"/>
                <w:lang w:val="en-US" w:eastAsia="zh-CN"/>
              </w:rPr>
              <w:t>683.22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ascii="宋体" w:eastAsia="宋体" w:cs="宋体"/>
          <w:color w:val="000000"/>
          <w:kern w:val="0"/>
          <w:sz w:val="20"/>
          <w:szCs w:val="20"/>
        </w:rPr>
        <w:t>道县道路运输服务中心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6"/>
        <w:gridCol w:w="979"/>
        <w:gridCol w:w="3299"/>
        <w:gridCol w:w="2844"/>
        <w:gridCol w:w="3300"/>
        <w:gridCol w:w="2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64" w:type="dxa"/>
            <w:gridSpan w:val="3"/>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5"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65" w:type="dxa"/>
            <w:gridSpan w:val="2"/>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1" w:type="dxa"/>
            <w:vMerge w:val="restart"/>
            <w:tcBorders>
              <w:top w:val="nil"/>
              <w:left w:val="single" w:color="auto" w:sz="4" w:space="0"/>
              <w:bottom w:val="single" w:color="000000" w:sz="4"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noWrap/>
            <w:vAlign w:val="center"/>
          </w:tcPr>
          <w:p/>
        </w:tc>
        <w:tc>
          <w:tcPr>
            <w:tcW w:w="3299" w:type="dxa"/>
            <w:vMerge w:val="continue"/>
            <w:tcBorders>
              <w:top w:val="nil"/>
              <w:left w:val="single" w:color="auto" w:sz="4" w:space="0"/>
              <w:bottom w:val="single" w:color="auto" w:sz="4" w:space="0"/>
              <w:right w:val="single" w:color="auto" w:sz="4" w:space="0"/>
            </w:tcBorders>
            <w:noWrap/>
            <w:vAlign w:val="center"/>
          </w:tcPr>
          <w:p/>
        </w:tc>
        <w:tc>
          <w:tcPr>
            <w:tcW w:w="2844" w:type="dxa"/>
            <w:vMerge w:val="continue"/>
            <w:tcBorders>
              <w:top w:val="nil"/>
              <w:left w:val="single" w:color="auto" w:sz="4" w:space="0"/>
              <w:bottom w:val="single" w:color="000000" w:sz="4" w:space="0"/>
              <w:right w:val="single" w:color="auto" w:sz="4" w:space="0"/>
            </w:tcBorders>
            <w:noWrap/>
            <w:vAlign w:val="center"/>
          </w:tcPr>
          <w:p/>
        </w:tc>
        <w:tc>
          <w:tcPr>
            <w:tcW w:w="3300" w:type="dxa"/>
            <w:vMerge w:val="continue"/>
            <w:tcBorders>
              <w:top w:val="nil"/>
              <w:left w:val="single" w:color="auto" w:sz="4" w:space="0"/>
              <w:bottom w:val="single" w:color="000000" w:sz="4" w:space="0"/>
              <w:right w:val="single" w:color="auto" w:sz="4" w:space="0"/>
            </w:tcBorders>
            <w:noWrap/>
            <w:vAlign w:val="center"/>
          </w:tcPr>
          <w:p/>
        </w:tc>
        <w:tc>
          <w:tcPr>
            <w:tcW w:w="2811" w:type="dxa"/>
            <w:vMerge w:val="continue"/>
            <w:tcBorders>
              <w:top w:val="nil"/>
              <w:left w:val="single" w:color="auto" w:sz="4" w:space="0"/>
              <w:bottom w:val="single" w:color="000000" w:sz="4" w:space="0"/>
              <w:right w:val="single" w:color="auto" w:sz="8"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noWrap/>
            <w:vAlign w:val="center"/>
          </w:tcPr>
          <w:p/>
        </w:tc>
        <w:tc>
          <w:tcPr>
            <w:tcW w:w="3299" w:type="dxa"/>
            <w:vMerge w:val="continue"/>
            <w:tcBorders>
              <w:top w:val="nil"/>
              <w:left w:val="single" w:color="auto" w:sz="4" w:space="0"/>
              <w:bottom w:val="single" w:color="auto" w:sz="4" w:space="0"/>
              <w:right w:val="single" w:color="auto" w:sz="4" w:space="0"/>
            </w:tcBorders>
            <w:noWrap/>
            <w:vAlign w:val="center"/>
          </w:tcPr>
          <w:p/>
        </w:tc>
        <w:tc>
          <w:tcPr>
            <w:tcW w:w="2844" w:type="dxa"/>
            <w:vMerge w:val="continue"/>
            <w:tcBorders>
              <w:top w:val="nil"/>
              <w:left w:val="single" w:color="auto" w:sz="4" w:space="0"/>
              <w:bottom w:val="single" w:color="000000" w:sz="4" w:space="0"/>
              <w:right w:val="single" w:color="auto" w:sz="4" w:space="0"/>
            </w:tcBorders>
            <w:noWrap/>
            <w:vAlign w:val="center"/>
          </w:tcPr>
          <w:p/>
        </w:tc>
        <w:tc>
          <w:tcPr>
            <w:tcW w:w="3300" w:type="dxa"/>
            <w:vMerge w:val="continue"/>
            <w:tcBorders>
              <w:top w:val="nil"/>
              <w:left w:val="single" w:color="auto" w:sz="4" w:space="0"/>
              <w:bottom w:val="single" w:color="000000" w:sz="4" w:space="0"/>
              <w:right w:val="single" w:color="auto" w:sz="4" w:space="0"/>
            </w:tcBorders>
            <w:noWrap/>
            <w:vAlign w:val="center"/>
          </w:tcPr>
          <w:p/>
        </w:tc>
        <w:tc>
          <w:tcPr>
            <w:tcW w:w="2811" w:type="dxa"/>
            <w:vMerge w:val="continue"/>
            <w:tcBorders>
              <w:top w:val="nil"/>
              <w:left w:val="single" w:color="auto" w:sz="4" w:space="0"/>
              <w:bottom w:val="single" w:color="000000" w:sz="4" w:space="0"/>
              <w:right w:val="single" w:color="auto" w:sz="8"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合计</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b/>
                <w:bCs/>
                <w:i w:val="0"/>
                <w:iCs w:val="0"/>
                <w:color w:val="000000"/>
                <w:kern w:val="0"/>
                <w:sz w:val="22"/>
                <w:szCs w:val="22"/>
                <w:u w:val="none"/>
                <w:lang w:val="en-US" w:eastAsia="zh-CN"/>
              </w:rPr>
              <w:t>683.22</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b/>
                <w:bCs/>
                <w:i w:val="0"/>
                <w:iCs w:val="0"/>
                <w:color w:val="000000"/>
                <w:kern w:val="0"/>
                <w:sz w:val="22"/>
                <w:szCs w:val="22"/>
                <w:u w:val="none"/>
                <w:lang w:val="en-US" w:eastAsia="zh-CN"/>
              </w:rPr>
              <w:t>683.22</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208</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社会保障和就业支出</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47.03</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47.03</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20805</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行政事业单位养老支出</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47.03</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47.03</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2080505</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机关事业单位基本养老保险缴费支出</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47.03</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47.03</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210</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卫生健康支出</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24.00</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24.00</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21011</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行政事业单位医疗</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24.00</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24.00</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2101102</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事业单位医疗</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24.00</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24.00</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214</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交通运输支出</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612.19</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612.19</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21401</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公路水路运输</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559.00</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559.00</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2140101</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行政运行</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345.14</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345.14</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2140112</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公路运输管理</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213.86</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213.86</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21499</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其他交通运输支出</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53.19</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53.19</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2149999</w:t>
            </w:r>
          </w:p>
        </w:tc>
        <w:tc>
          <w:tcPr>
            <w:tcW w:w="42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 xml:space="preserve">  其他交通运输支出</w:t>
            </w:r>
          </w:p>
        </w:tc>
        <w:tc>
          <w:tcPr>
            <w:tcW w:w="28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53.19</w:t>
            </w:r>
          </w:p>
        </w:tc>
        <w:tc>
          <w:tcPr>
            <w:tcW w:w="33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53.19</w:t>
            </w:r>
          </w:p>
        </w:tc>
        <w:tc>
          <w:tcPr>
            <w:tcW w:w="2811" w:type="dxa"/>
            <w:tcBorders>
              <w:top w:val="nil"/>
              <w:left w:val="nil"/>
              <w:bottom w:val="single" w:color="auto" w:sz="4" w:space="0"/>
              <w:right w:val="single" w:color="auto" w:sz="8" w:space="0"/>
            </w:tcBorders>
            <w:shd w:val="clear" w:color="auto" w:fill="auto"/>
            <w:noWrap/>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2"/>
        <w:gridCol w:w="2957"/>
        <w:gridCol w:w="791"/>
        <w:gridCol w:w="1679"/>
        <w:gridCol w:w="2044"/>
        <w:gridCol w:w="791"/>
        <w:gridCol w:w="1679"/>
        <w:gridCol w:w="3690"/>
        <w:gridCol w:w="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7556" w:type="dxa"/>
            <w:gridSpan w:val="9"/>
            <w:tcBorders>
              <w:top w:val="nil"/>
              <w:left w:val="nil"/>
              <w:bottom w:val="nil"/>
              <w:right w:val="nil"/>
            </w:tcBorders>
            <w:shd w:val="clear" w:color="auto" w:fill="auto"/>
            <w:noWrap/>
            <w:vAlign w:val="center"/>
          </w:tcPr>
          <w:p>
            <w:pPr>
              <w:widowControl/>
              <w:jc w:val="center"/>
              <w:rPr>
                <w:rFonts w:ascii="华文中宋" w:eastAsia="华文中宋" w:cs="宋体"/>
                <w:color w:val="000000"/>
                <w:kern w:val="0"/>
                <w:szCs w:val="32"/>
              </w:rPr>
            </w:pPr>
            <w:bookmarkStart w:id="2" w:name="RANGE!A1:I34"/>
            <w:r>
              <w:rPr>
                <w:rFonts w:hint="eastAsia" w:asci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ascii="宋体" w:eastAsia="宋体" w:cs="宋体"/>
                <w:color w:val="000000"/>
                <w:kern w:val="0"/>
                <w:sz w:val="20"/>
                <w:szCs w:val="20"/>
              </w:rPr>
              <w:t>道县道路运输服务中心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c>
          <w:tcPr>
            <w:tcW w:w="18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经济分类科目编码</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c>
          <w:tcPr>
            <w:tcW w:w="18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经济分类科目编码</w:t>
            </w:r>
          </w:p>
        </w:tc>
        <w:tc>
          <w:tcPr>
            <w:tcW w:w="42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科目名称</w:t>
            </w:r>
          </w:p>
        </w:tc>
        <w:tc>
          <w:tcPr>
            <w:tcW w:w="84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eastAsia="宋体" w:cs="宋体"/>
                <w:color w:val="000000"/>
                <w:kern w:val="0"/>
                <w:szCs w:val="20"/>
              </w:rPr>
            </w:pPr>
            <w:r>
              <w:rPr>
                <w:rFonts w:hint="eastAsia" w:ascii="宋体" w:eastAsia="宋体" w:cs="宋体"/>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449.36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164.86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173.55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83.37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9.00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37.01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47.03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24.00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6.00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53.19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69.00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5.00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1.12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8.00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9.00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14.00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33.00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4.60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36.00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13.00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30.14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518.36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eastAsia="宋体" w:cs="宋体"/>
                <w:color w:val="000000"/>
                <w:kern w:val="0"/>
                <w:szCs w:val="20"/>
              </w:rPr>
            </w:pPr>
            <w:r>
              <w:rPr>
                <w:rFonts w:hint="eastAsia" w:ascii="宋体" w:eastAsia="宋体" w:cs="宋体"/>
                <w:i w:val="0"/>
                <w:iCs w:val="0"/>
                <w:color w:val="000000"/>
                <w:kern w:val="0"/>
                <w:sz w:val="22"/>
                <w:szCs w:val="22"/>
                <w:u w:val="none"/>
                <w:lang w:val="en-US" w:eastAsia="zh-CN"/>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eastAsia="宋体" w:cs="宋体"/>
                <w:color w:val="000000"/>
                <w:kern w:val="0"/>
                <w:szCs w:val="18"/>
              </w:rPr>
            </w:pPr>
            <w:r>
              <w:rPr>
                <w:rFonts w:hint="eastAsia" w:ascii="宋体" w:eastAsia="宋体" w:cs="宋体"/>
                <w:i w:val="0"/>
                <w:iCs w:val="0"/>
                <w:color w:val="000000"/>
                <w:kern w:val="0"/>
                <w:sz w:val="22"/>
                <w:szCs w:val="22"/>
                <w:u w:val="none"/>
                <w:lang w:val="en-US" w:eastAsia="zh-CN"/>
              </w:rPr>
              <w:t>164.86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7556" w:type="dxa"/>
            <w:gridSpan w:val="9"/>
            <w:tcBorders>
              <w:top w:val="nil"/>
              <w:left w:val="nil"/>
              <w:bottom w:val="nil"/>
              <w:right w:val="nil"/>
            </w:tcBorders>
            <w:shd w:val="clear" w:color="auto" w:fill="auto"/>
            <w:noWrap/>
            <w:vAlign w:val="center"/>
          </w:tcPr>
          <w:p>
            <w:pPr>
              <w:widowControl/>
              <w:jc w:val="left"/>
              <w:rPr>
                <w:rFonts w:ascii="宋体" w:eastAsia="宋体" w:cs="宋体"/>
                <w:color w:val="000000"/>
                <w:kern w:val="0"/>
                <w:szCs w:val="24"/>
              </w:rPr>
            </w:pPr>
            <w:r>
              <w:rPr>
                <w:rFonts w:hint="eastAsia" w:asci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ascii="宋体" w:eastAsia="宋体" w:cs="宋体"/>
          <w:color w:val="000000"/>
          <w:kern w:val="0"/>
          <w:sz w:val="20"/>
          <w:szCs w:val="20"/>
        </w:rPr>
        <w:t>道县道路运输服务中心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1"/>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noWrap/>
            <w:vAlign w:val="center"/>
          </w:tcPr>
          <w:p/>
        </w:tc>
        <w:tc>
          <w:tcPr>
            <w:tcW w:w="1220" w:type="dxa"/>
            <w:vMerge w:val="continue"/>
            <w:tcBorders>
              <w:top w:val="nil"/>
              <w:left w:val="single" w:color="auto" w:sz="4" w:space="0"/>
              <w:bottom w:val="single" w:color="000000" w:sz="4" w:space="0"/>
              <w:right w:val="single" w:color="auto" w:sz="4" w:space="0"/>
            </w:tcBorders>
            <w:noWrap/>
            <w:vAlign w:val="center"/>
          </w:tcP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noWrap/>
            <w:vAlign w:val="center"/>
          </w:tcPr>
          <w:p/>
        </w:tc>
        <w:tc>
          <w:tcPr>
            <w:tcW w:w="1220" w:type="dxa"/>
            <w:vMerge w:val="continue"/>
            <w:tcBorders>
              <w:top w:val="nil"/>
              <w:left w:val="nil"/>
              <w:bottom w:val="single" w:color="000000" w:sz="4" w:space="0"/>
              <w:right w:val="single" w:color="auto" w:sz="4" w:space="0"/>
            </w:tcBorders>
            <w:noWrap/>
            <w:vAlign w:val="center"/>
          </w:tcPr>
          <w:p/>
        </w:tc>
        <w:tc>
          <w:tcPr>
            <w:tcW w:w="1220" w:type="dxa"/>
            <w:vMerge w:val="continue"/>
            <w:tcBorders>
              <w:top w:val="nil"/>
              <w:left w:val="single" w:color="auto" w:sz="4" w:space="0"/>
              <w:bottom w:val="single" w:color="000000" w:sz="4" w:space="0"/>
              <w:right w:val="single" w:color="auto" w:sz="4" w:space="0"/>
            </w:tcBorders>
            <w:noWrap/>
            <w:vAlign w:val="center"/>
          </w:tcP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18.40</w:t>
            </w: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8.80</w:t>
            </w: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8.80</w:t>
            </w:r>
          </w:p>
        </w:tc>
        <w:tc>
          <w:tcPr>
            <w:tcW w:w="122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9.60</w:t>
            </w:r>
          </w:p>
        </w:tc>
        <w:tc>
          <w:tcPr>
            <w:tcW w:w="122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5.72</w:t>
            </w: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4.60</w:t>
            </w:r>
          </w:p>
        </w:tc>
        <w:tc>
          <w:tcPr>
            <w:tcW w:w="1220" w:type="dxa"/>
            <w:tcBorders>
              <w:top w:val="nil"/>
              <w:left w:val="nil"/>
              <w:bottom w:val="single" w:color="auto" w:sz="8" w:space="0"/>
              <w:right w:val="single" w:color="auto" w:sz="4" w:space="0"/>
            </w:tcBorders>
            <w:shd w:val="clear" w:color="auto" w:fill="auto"/>
            <w:noWrap/>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4.60</w:t>
            </w:r>
          </w:p>
        </w:tc>
        <w:tc>
          <w:tcPr>
            <w:tcW w:w="1220" w:type="dxa"/>
            <w:tcBorders>
              <w:top w:val="nil"/>
              <w:left w:val="single" w:color="auto" w:sz="4" w:space="0"/>
              <w:bottom w:val="single" w:color="auto" w:sz="8" w:space="0"/>
              <w:right w:val="single" w:color="auto" w:sz="8" w:space="0"/>
            </w:tcBorders>
            <w:shd w:val="clear" w:color="auto" w:fill="auto"/>
            <w:noWrap/>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eastAsia="宋体" w:cs="宋体"/>
                <w:i w:val="0"/>
                <w:iCs w:val="0"/>
                <w:color w:val="000000"/>
                <w:kern w:val="0"/>
                <w:sz w:val="22"/>
                <w:szCs w:val="22"/>
                <w:u w:val="none"/>
                <w:lang w:val="en-US" w:eastAsia="zh-CN"/>
              </w:rPr>
              <w:t>1.12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ascii="宋体" w:eastAsia="宋体" w:cs="宋体"/>
          <w:color w:val="000000"/>
          <w:kern w:val="0"/>
          <w:sz w:val="20"/>
          <w:szCs w:val="20"/>
        </w:rPr>
        <w:t>道县道路运输服务中心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1"/>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tcBorders>
              <w:top w:val="single" w:color="auto" w:sz="8" w:space="0"/>
              <w:left w:val="single" w:color="auto" w:sz="8" w:space="0"/>
              <w:bottom w:val="single" w:color="auto" w:sz="8" w:space="0"/>
              <w:right w:val="single" w:color="auto" w:sz="8" w:space="0"/>
            </w:tcBorders>
            <w:noWrap/>
            <w:vAlign w:val="center"/>
          </w:tcPr>
          <w:p/>
        </w:tc>
        <w:tc>
          <w:tcPr>
            <w:tcW w:w="132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tcBorders>
              <w:top w:val="single" w:color="auto" w:sz="8" w:space="0"/>
              <w:left w:val="single" w:color="auto" w:sz="8" w:space="0"/>
              <w:bottom w:val="single" w:color="auto" w:sz="8" w:space="0"/>
              <w:right w:val="single" w:color="auto" w:sz="8" w:space="0"/>
            </w:tcBorders>
            <w:noWrap/>
            <w:vAlign w:val="center"/>
          </w:tcPr>
          <w:p/>
        </w:tc>
        <w:tc>
          <w:tcPr>
            <w:tcW w:w="132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c>
          <w:tcPr>
            <w:tcW w:w="2000" w:type="dxa"/>
            <w:vMerge w:val="continue"/>
            <w:tcBorders>
              <w:top w:val="single" w:color="auto" w:sz="8" w:space="0"/>
              <w:left w:val="single" w:color="auto" w:sz="8" w:space="0"/>
              <w:bottom w:val="single" w:color="auto" w:sz="8" w:space="0"/>
              <w:right w:val="single" w:color="auto" w:sz="8" w:space="0"/>
            </w:tcBorders>
            <w:noWrap/>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(说明：本</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eastAsia="黑体"/>
          <w:szCs w:val="21"/>
        </w:rPr>
      </w:pPr>
      <w:r>
        <w:rPr>
          <w:rFonts w:ascii="黑体" w:eastAsia="黑体"/>
          <w:szCs w:val="21"/>
        </w:rPr>
        <w:br w:type="page"/>
      </w:r>
    </w:p>
    <w:tbl>
      <w:tblPr>
        <w:tblStyle w:val="11"/>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noWrap/>
            <w:vAlign w:val="center"/>
          </w:tcPr>
          <w:p>
            <w:pPr>
              <w:widowControl/>
              <w:jc w:val="center"/>
              <w:rPr>
                <w:rFonts w:ascii="华文中宋" w:eastAsia="华文中宋" w:cs="宋体"/>
                <w:kern w:val="0"/>
                <w:sz w:val="32"/>
                <w:szCs w:val="32"/>
              </w:rPr>
            </w:pPr>
            <w:r>
              <w:rPr>
                <w:rFonts w:hint="eastAsia" w:ascii="华文中宋" w:eastAsia="华文中宋" w:cs="宋体"/>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560" w:type="dxa"/>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3215" w:type="dxa"/>
            <w:gridSpan w:val="2"/>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1225" w:type="dxa"/>
            <w:tcBorders>
              <w:top w:val="nil"/>
              <w:left w:val="nil"/>
              <w:bottom w:val="nil"/>
              <w:right w:val="nil"/>
            </w:tcBorders>
            <w:shd w:val="clear" w:color="000000" w:fill="FFFFFF"/>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2620" w:type="dxa"/>
            <w:gridSpan w:val="2"/>
            <w:tcBorders>
              <w:top w:val="nil"/>
              <w:left w:val="nil"/>
              <w:bottom w:val="nil"/>
              <w:right w:val="nil"/>
            </w:tcBorders>
            <w:shd w:val="clear" w:color="000000" w:fill="FFFFFF"/>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eastAsia="宋体" w:cs="宋体"/>
                <w:color w:val="000000"/>
                <w:kern w:val="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道县道路运输服务中心</w:t>
            </w:r>
          </w:p>
        </w:tc>
        <w:tc>
          <w:tcPr>
            <w:tcW w:w="560" w:type="dxa"/>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3215" w:type="dxa"/>
            <w:gridSpan w:val="2"/>
            <w:tcBorders>
              <w:top w:val="nil"/>
              <w:left w:val="nil"/>
              <w:bottom w:val="nil"/>
              <w:right w:val="nil"/>
            </w:tcBorders>
            <w:shd w:val="clear" w:color="000000" w:fill="FFFFFF"/>
            <w:noWrap/>
            <w:vAlign w:val="center"/>
          </w:tcPr>
          <w:p>
            <w:pPr>
              <w:widowControl/>
              <w:jc w:val="center"/>
              <w:rPr>
                <w:rFonts w:ascii="宋体" w:eastAsia="宋体" w:cs="宋体"/>
                <w:kern w:val="0"/>
                <w:sz w:val="20"/>
                <w:szCs w:val="20"/>
              </w:rPr>
            </w:pPr>
            <w:r>
              <w:rPr>
                <w:rFonts w:hint="eastAsia" w:ascii="宋体" w:eastAsia="宋体" w:cs="宋体"/>
                <w:kern w:val="0"/>
                <w:sz w:val="20"/>
                <w:szCs w:val="20"/>
              </w:rPr>
              <w:t>　</w:t>
            </w:r>
          </w:p>
        </w:tc>
        <w:tc>
          <w:tcPr>
            <w:tcW w:w="1225" w:type="dxa"/>
            <w:tcBorders>
              <w:top w:val="nil"/>
              <w:left w:val="nil"/>
              <w:bottom w:val="single" w:color="auto" w:sz="8" w:space="0"/>
              <w:right w:val="nil"/>
            </w:tcBorders>
            <w:shd w:val="clear" w:color="000000" w:fill="FFFFFF"/>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eastAsia="宋体" w:cs="宋体"/>
                <w:color w:val="000000"/>
                <w:kern w:val="0"/>
                <w:sz w:val="20"/>
                <w:szCs w:val="20"/>
              </w:rPr>
            </w:pPr>
            <w:r>
              <w:rPr>
                <w:rFonts w:hint="eastAsia" w:asci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xml:space="preserve">项 </w:t>
            </w:r>
            <w:r>
              <w:rPr>
                <w:rFonts w:hint="eastAsia" w:ascii="宋体" w:eastAsia="宋体" w:cs="宋体"/>
                <w:color w:val="000000"/>
                <w:kern w:val="0"/>
                <w:sz w:val="22"/>
              </w:rPr>
              <w:t xml:space="preserve">   </w:t>
            </w:r>
            <w:r>
              <w:rPr>
                <w:rFonts w:hint="eastAsia" w:asci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ign w:val="center"/>
          </w:tcPr>
          <w:p/>
        </w:tc>
        <w:tc>
          <w:tcPr>
            <w:tcW w:w="2126" w:type="dxa"/>
            <w:vMerge w:val="continue"/>
            <w:tcBorders>
              <w:top w:val="nil"/>
              <w:left w:val="single" w:color="auto" w:sz="4" w:space="0"/>
              <w:bottom w:val="single" w:color="auto" w:sz="4" w:space="0"/>
              <w:right w:val="single" w:color="auto" w:sz="4" w:space="0"/>
            </w:tcBorders>
            <w:noWrap/>
            <w:vAlign w:val="center"/>
          </w:tcPr>
          <w:p/>
        </w:tc>
        <w:tc>
          <w:tcPr>
            <w:tcW w:w="2551" w:type="dxa"/>
            <w:gridSpan w:val="2"/>
            <w:vMerge w:val="continue"/>
            <w:tcBorders>
              <w:top w:val="nil"/>
              <w:left w:val="single" w:color="auto" w:sz="4" w:space="0"/>
              <w:bottom w:val="single" w:color="000000" w:sz="4" w:space="0"/>
              <w:right w:val="single" w:color="auto" w:sz="4" w:space="0"/>
            </w:tcBorders>
            <w:noWrap/>
            <w:vAlign w:val="center"/>
          </w:tcPr>
          <w:p/>
        </w:tc>
        <w:tc>
          <w:tcPr>
            <w:tcW w:w="2977" w:type="dxa"/>
            <w:gridSpan w:val="2"/>
            <w:vMerge w:val="continue"/>
            <w:tcBorders>
              <w:top w:val="nil"/>
              <w:left w:val="single" w:color="auto" w:sz="4" w:space="0"/>
              <w:bottom w:val="single" w:color="000000" w:sz="4" w:space="0"/>
              <w:right w:val="single" w:color="auto" w:sz="4" w:space="0"/>
            </w:tcBorders>
            <w:noWrap/>
            <w:vAlign w:val="center"/>
          </w:tcPr>
          <w:p/>
        </w:tc>
        <w:tc>
          <w:tcPr>
            <w:tcW w:w="3827" w:type="dxa"/>
            <w:vMerge w:val="continue"/>
            <w:tcBorders>
              <w:top w:val="nil"/>
              <w:left w:val="single" w:color="auto" w:sz="4" w:space="0"/>
              <w:bottom w:val="single" w:color="000000"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noWrap/>
            <w:vAlign w:val="center"/>
          </w:tcPr>
          <w:p/>
        </w:tc>
        <w:tc>
          <w:tcPr>
            <w:tcW w:w="2126" w:type="dxa"/>
            <w:vMerge w:val="continue"/>
            <w:tcBorders>
              <w:top w:val="nil"/>
              <w:left w:val="single" w:color="auto" w:sz="4" w:space="0"/>
              <w:bottom w:val="single" w:color="auto" w:sz="4" w:space="0"/>
              <w:right w:val="single" w:color="auto" w:sz="4" w:space="0"/>
            </w:tcBorders>
            <w:noWrap/>
            <w:vAlign w:val="center"/>
          </w:tcPr>
          <w:p/>
        </w:tc>
        <w:tc>
          <w:tcPr>
            <w:tcW w:w="2551" w:type="dxa"/>
            <w:gridSpan w:val="2"/>
            <w:vMerge w:val="continue"/>
            <w:tcBorders>
              <w:top w:val="nil"/>
              <w:left w:val="single" w:color="auto" w:sz="4" w:space="0"/>
              <w:bottom w:val="single" w:color="000000" w:sz="4" w:space="0"/>
              <w:right w:val="single" w:color="auto" w:sz="4" w:space="0"/>
            </w:tcBorders>
            <w:noWrap/>
            <w:vAlign w:val="center"/>
          </w:tcPr>
          <w:p/>
        </w:tc>
        <w:tc>
          <w:tcPr>
            <w:tcW w:w="2977" w:type="dxa"/>
            <w:gridSpan w:val="2"/>
            <w:vMerge w:val="continue"/>
            <w:tcBorders>
              <w:top w:val="nil"/>
              <w:left w:val="single" w:color="auto" w:sz="4" w:space="0"/>
              <w:bottom w:val="single" w:color="000000" w:sz="4" w:space="0"/>
              <w:right w:val="single" w:color="auto" w:sz="4" w:space="0"/>
            </w:tcBorders>
            <w:noWrap/>
            <w:vAlign w:val="center"/>
          </w:tcPr>
          <w:p/>
        </w:tc>
        <w:tc>
          <w:tcPr>
            <w:tcW w:w="3827" w:type="dxa"/>
            <w:vMerge w:val="continue"/>
            <w:tcBorders>
              <w:top w:val="nil"/>
              <w:left w:val="single" w:color="auto" w:sz="4" w:space="0"/>
              <w:bottom w:val="single" w:color="000000" w:sz="4" w:space="0"/>
              <w:right w:val="single" w:color="auto" w:sz="4" w:space="0"/>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0"/>
                <w:szCs w:val="20"/>
              </w:rPr>
            </w:pPr>
            <w:r>
              <w:rPr>
                <w:rFonts w:hint="eastAsia" w:asci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center"/>
              <w:rPr>
                <w:rFonts w:ascii="宋体" w:eastAsia="宋体" w:cs="宋体"/>
                <w:kern w:val="0"/>
                <w:sz w:val="24"/>
                <w:szCs w:val="24"/>
              </w:rPr>
            </w:pPr>
            <w:r>
              <w:rPr>
                <w:rFonts w:hint="eastAsia" w:asci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noWrap/>
            <w:vAlign w:val="center"/>
          </w:tcPr>
          <w:p>
            <w:pPr>
              <w:widowControl/>
              <w:jc w:val="left"/>
              <w:rPr>
                <w:rFonts w:ascii="宋体" w:eastAsia="宋体" w:cs="宋体"/>
                <w:kern w:val="0"/>
                <w:sz w:val="24"/>
                <w:szCs w:val="24"/>
              </w:rPr>
            </w:pPr>
            <w:r>
              <w:rPr>
                <w:rFonts w:hint="eastAsia" w:asci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ascii="Times New Roman" w:hAnsi="Times New Roman" w:eastAsia="仿宋_GB2312" w:cs="Times New Roman"/>
                <w:kern w:val="0"/>
                <w:szCs w:val="21"/>
              </w:rPr>
              <w:t>本</w:t>
            </w:r>
            <w:r>
              <w:rPr>
                <w:rFonts w:hint="eastAsia" w:ascii="Times New Roman" w:hAnsi="Times New Roman" w:eastAsia="仿宋_GB2312" w:cs="Times New Roman"/>
                <w:kern w:val="0"/>
                <w:szCs w:val="21"/>
              </w:rPr>
              <w:t>单位没有国有资本经营预算财政拨款支出，故本表无数据</w:t>
            </w:r>
            <w:r>
              <w:rPr>
                <w:rFonts w:ascii="Times New Roman" w:hAnsi="Times New Roman" w:eastAsia="仿宋_GB2312" w:cs="Times New Roman"/>
                <w:kern w:val="0"/>
                <w:szCs w:val="21"/>
              </w:rPr>
              <w:t>)。</w:t>
            </w:r>
          </w:p>
          <w:p>
            <w:pPr>
              <w:widowControl/>
              <w:jc w:val="left"/>
              <w:rPr>
                <w:rFonts w:ascii="宋体" w:eastAsia="宋体" w:cs="宋体"/>
                <w:kern w:val="0"/>
                <w:sz w:val="24"/>
                <w:szCs w:val="24"/>
              </w:rPr>
            </w:pPr>
          </w:p>
        </w:tc>
      </w:tr>
    </w:tbl>
    <w:p>
      <w:pPr>
        <w:pStyle w:val="13"/>
        <w:rPr>
          <w:sz w:val="72"/>
          <w:szCs w:val="72"/>
        </w:rPr>
        <w:sectPr>
          <w:pgSz w:w="16838" w:h="11906" w:orient="landscape"/>
          <w:pgMar w:top="720" w:right="720" w:bottom="720" w:left="720" w:header="851" w:footer="992" w:gutter="0"/>
          <w:cols w:space="720"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宋体" w:eastAsia="宋体"/>
          <w:sz w:val="32"/>
          <w:szCs w:val="32"/>
        </w:rPr>
      </w:pPr>
    </w:p>
    <w:p>
      <w:pPr>
        <w:pStyle w:val="13"/>
        <w:rPr>
          <w:b/>
          <w:sz w:val="32"/>
          <w:szCs w:val="32"/>
        </w:rPr>
      </w:pPr>
      <w:r>
        <w:rPr>
          <w:rFonts w:hint="eastAsia"/>
          <w:b/>
          <w:sz w:val="32"/>
          <w:szCs w:val="32"/>
        </w:rPr>
        <w:t>一、收入支出决算总体情况说明</w:t>
      </w:r>
    </w:p>
    <w:p>
      <w:pPr>
        <w:pStyle w:val="13"/>
        <w:ind w:firstLine="640" w:firstLineChars="200"/>
        <w:rPr>
          <w:rFonts w:ascii="宋体" w:eastAsia="宋体"/>
          <w:sz w:val="32"/>
          <w:szCs w:val="32"/>
        </w:rPr>
      </w:pPr>
      <w:r>
        <w:rPr>
          <w:rFonts w:hint="eastAsia" w:ascii="宋体" w:eastAsia="宋体"/>
          <w:sz w:val="32"/>
          <w:szCs w:val="32"/>
        </w:rPr>
        <w:t>2021年度收、支总计</w:t>
      </w:r>
      <w:r>
        <w:rPr>
          <w:rFonts w:ascii="宋体" w:eastAsia="宋体"/>
          <w:sz w:val="32"/>
          <w:szCs w:val="32"/>
        </w:rPr>
        <w:t>683.22</w:t>
      </w:r>
      <w:r>
        <w:rPr>
          <w:rFonts w:hint="eastAsia" w:ascii="宋体" w:eastAsia="宋体"/>
          <w:sz w:val="32"/>
          <w:szCs w:val="32"/>
        </w:rPr>
        <w:t>万元。与上年相比，减少</w:t>
      </w:r>
      <w:r>
        <w:rPr>
          <w:rFonts w:ascii="宋体" w:eastAsia="宋体"/>
          <w:sz w:val="32"/>
          <w:szCs w:val="32"/>
        </w:rPr>
        <w:t>300.37</w:t>
      </w:r>
      <w:r>
        <w:rPr>
          <w:rFonts w:hint="eastAsia" w:ascii="宋体" w:eastAsia="宋体"/>
          <w:sz w:val="32"/>
          <w:szCs w:val="32"/>
        </w:rPr>
        <w:t>万元，减少</w:t>
      </w:r>
      <w:r>
        <w:rPr>
          <w:rFonts w:ascii="宋体" w:eastAsia="宋体"/>
          <w:sz w:val="32"/>
          <w:szCs w:val="32"/>
        </w:rPr>
        <w:t>30.54</w:t>
      </w:r>
      <w:r>
        <w:rPr>
          <w:rFonts w:hint="eastAsia" w:ascii="宋体" w:eastAsia="宋体"/>
          <w:sz w:val="32"/>
          <w:szCs w:val="32"/>
        </w:rPr>
        <w:t>%，主要是因为</w:t>
      </w:r>
      <w:r>
        <w:rPr>
          <w:rFonts w:ascii="宋体" w:eastAsia="宋体"/>
          <w:sz w:val="32"/>
          <w:szCs w:val="32"/>
        </w:rPr>
        <w:t>职能划转，执法权划转归属交通执法局，安全监管方面减少。</w:t>
      </w:r>
    </w:p>
    <w:p>
      <w:pPr>
        <w:pStyle w:val="13"/>
        <w:rPr>
          <w:b/>
          <w:sz w:val="32"/>
          <w:szCs w:val="32"/>
        </w:rPr>
      </w:pPr>
      <w:r>
        <w:rPr>
          <w:rFonts w:hint="eastAsia"/>
          <w:b/>
          <w:sz w:val="32"/>
          <w:szCs w:val="32"/>
        </w:rPr>
        <w:t>二、收入决算情况说明</w:t>
      </w:r>
    </w:p>
    <w:p>
      <w:pPr>
        <w:pStyle w:val="13"/>
        <w:ind w:firstLine="640" w:firstLineChars="200"/>
        <w:rPr>
          <w:rFonts w:ascii="宋体" w:eastAsia="宋体"/>
          <w:sz w:val="32"/>
          <w:szCs w:val="32"/>
        </w:rPr>
      </w:pPr>
      <w:r>
        <w:rPr>
          <w:rFonts w:hint="eastAsia" w:ascii="宋体" w:eastAsia="宋体"/>
          <w:sz w:val="32"/>
          <w:szCs w:val="32"/>
        </w:rPr>
        <w:t>2021年度收入合计</w:t>
      </w:r>
      <w:r>
        <w:rPr>
          <w:rFonts w:ascii="宋体" w:eastAsia="宋体"/>
          <w:sz w:val="32"/>
          <w:szCs w:val="32"/>
        </w:rPr>
        <w:t>683.22</w:t>
      </w:r>
      <w:r>
        <w:rPr>
          <w:rFonts w:hint="eastAsia" w:ascii="宋体" w:eastAsia="宋体"/>
          <w:sz w:val="32"/>
          <w:szCs w:val="32"/>
        </w:rPr>
        <w:t>万元，其中：财政拨款收入</w:t>
      </w:r>
      <w:r>
        <w:rPr>
          <w:rFonts w:ascii="宋体" w:eastAsia="宋体"/>
          <w:sz w:val="32"/>
          <w:szCs w:val="32"/>
        </w:rPr>
        <w:t>683.22</w:t>
      </w:r>
      <w:r>
        <w:rPr>
          <w:rFonts w:hint="eastAsia" w:ascii="宋体" w:eastAsia="宋体"/>
          <w:sz w:val="32"/>
          <w:szCs w:val="32"/>
        </w:rPr>
        <w:t>万元，占</w:t>
      </w:r>
      <w:r>
        <w:rPr>
          <w:rFonts w:ascii="宋体" w:eastAsia="宋体"/>
          <w:sz w:val="32"/>
          <w:szCs w:val="32"/>
        </w:rPr>
        <w:t>100</w:t>
      </w:r>
      <w:r>
        <w:rPr>
          <w:rFonts w:hint="eastAsia" w:ascii="宋体" w:eastAsia="宋体"/>
          <w:sz w:val="32"/>
          <w:szCs w:val="32"/>
        </w:rPr>
        <w:t>%；上级补助收入</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%；事业收入</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%；经营收入</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%；附属单位上缴收入</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%；其他收入</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w:t>
      </w:r>
    </w:p>
    <w:p>
      <w:pPr>
        <w:pStyle w:val="13"/>
        <w:rPr>
          <w:b/>
          <w:sz w:val="32"/>
          <w:szCs w:val="32"/>
        </w:rPr>
      </w:pPr>
      <w:r>
        <w:rPr>
          <w:rFonts w:hint="eastAsia"/>
          <w:b/>
          <w:sz w:val="32"/>
          <w:szCs w:val="32"/>
        </w:rPr>
        <w:t>三、支出决算情况说明</w:t>
      </w:r>
    </w:p>
    <w:p>
      <w:pPr>
        <w:pStyle w:val="13"/>
        <w:ind w:firstLine="640" w:firstLineChars="200"/>
        <w:rPr>
          <w:rFonts w:ascii="宋体" w:eastAsia="宋体"/>
          <w:sz w:val="32"/>
          <w:szCs w:val="32"/>
        </w:rPr>
      </w:pPr>
      <w:r>
        <w:rPr>
          <w:rFonts w:hint="eastAsia" w:ascii="宋体" w:eastAsia="宋体"/>
          <w:sz w:val="32"/>
          <w:szCs w:val="32"/>
        </w:rPr>
        <w:t>2021年度支出合计</w:t>
      </w:r>
      <w:r>
        <w:rPr>
          <w:rFonts w:ascii="宋体" w:eastAsia="宋体"/>
          <w:sz w:val="32"/>
          <w:szCs w:val="32"/>
        </w:rPr>
        <w:t>683.22</w:t>
      </w:r>
      <w:r>
        <w:rPr>
          <w:rFonts w:hint="eastAsia" w:ascii="宋体" w:eastAsia="宋体"/>
          <w:sz w:val="32"/>
          <w:szCs w:val="32"/>
        </w:rPr>
        <w:t>万元，其中：基本支出</w:t>
      </w:r>
      <w:r>
        <w:rPr>
          <w:rFonts w:ascii="宋体" w:eastAsia="宋体"/>
          <w:sz w:val="32"/>
          <w:szCs w:val="32"/>
        </w:rPr>
        <w:t>683.22</w:t>
      </w:r>
      <w:r>
        <w:rPr>
          <w:rFonts w:hint="eastAsia" w:ascii="宋体" w:eastAsia="宋体"/>
          <w:sz w:val="32"/>
          <w:szCs w:val="32"/>
        </w:rPr>
        <w:t>万元，占</w:t>
      </w:r>
      <w:r>
        <w:rPr>
          <w:rFonts w:ascii="宋体" w:eastAsia="宋体"/>
          <w:sz w:val="32"/>
          <w:szCs w:val="32"/>
        </w:rPr>
        <w:t>100</w:t>
      </w:r>
      <w:r>
        <w:rPr>
          <w:rFonts w:hint="eastAsia" w:ascii="宋体" w:eastAsia="宋体"/>
          <w:sz w:val="32"/>
          <w:szCs w:val="32"/>
        </w:rPr>
        <w:t>%；项目支出</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%；上缴上级支出</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%；经营支出</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%；对附属单位补助支出</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w:t>
      </w:r>
    </w:p>
    <w:p>
      <w:pPr>
        <w:pStyle w:val="13"/>
        <w:rPr>
          <w:b/>
          <w:sz w:val="32"/>
          <w:szCs w:val="32"/>
        </w:rPr>
      </w:pPr>
      <w:r>
        <w:rPr>
          <w:rFonts w:hint="eastAsia"/>
          <w:b/>
          <w:sz w:val="32"/>
          <w:szCs w:val="32"/>
        </w:rPr>
        <w:t>四、财政拨款收入支出决算总体情况说明</w:t>
      </w:r>
    </w:p>
    <w:p>
      <w:pPr>
        <w:pStyle w:val="13"/>
        <w:ind w:firstLine="640" w:firstLineChars="200"/>
        <w:rPr>
          <w:rFonts w:ascii="宋体" w:eastAsia="宋体"/>
          <w:sz w:val="32"/>
          <w:szCs w:val="32"/>
        </w:rPr>
      </w:pPr>
      <w:r>
        <w:rPr>
          <w:rFonts w:hint="eastAsia" w:ascii="宋体" w:eastAsia="宋体"/>
          <w:sz w:val="32"/>
          <w:szCs w:val="32"/>
        </w:rPr>
        <w:t>2021年度财政拨款收、支总计</w:t>
      </w:r>
      <w:r>
        <w:rPr>
          <w:rFonts w:ascii="宋体" w:eastAsia="宋体"/>
          <w:sz w:val="32"/>
          <w:szCs w:val="32"/>
        </w:rPr>
        <w:t>683.22</w:t>
      </w:r>
      <w:r>
        <w:rPr>
          <w:rFonts w:hint="eastAsia" w:ascii="宋体" w:eastAsia="宋体"/>
          <w:sz w:val="32"/>
          <w:szCs w:val="32"/>
        </w:rPr>
        <w:t>万元，与上年相比，减少</w:t>
      </w:r>
      <w:r>
        <w:rPr>
          <w:rFonts w:ascii="宋体" w:eastAsia="宋体"/>
          <w:sz w:val="32"/>
          <w:szCs w:val="32"/>
        </w:rPr>
        <w:t>30.54</w:t>
      </w:r>
      <w:r>
        <w:rPr>
          <w:rFonts w:hint="eastAsia" w:ascii="宋体" w:eastAsia="宋体"/>
          <w:sz w:val="32"/>
          <w:szCs w:val="32"/>
        </w:rPr>
        <w:t>%，主要是因为</w:t>
      </w:r>
      <w:r>
        <w:rPr>
          <w:rFonts w:ascii="宋体" w:eastAsia="宋体"/>
          <w:sz w:val="32"/>
          <w:szCs w:val="32"/>
        </w:rPr>
        <w:t>职能划转，执法权划转归属交通执法局，安全监管方面减少。</w:t>
      </w:r>
    </w:p>
    <w:p>
      <w:pPr>
        <w:pStyle w:val="13"/>
        <w:rPr>
          <w:b/>
          <w:sz w:val="32"/>
          <w:szCs w:val="32"/>
        </w:rPr>
      </w:pPr>
      <w:r>
        <w:rPr>
          <w:rFonts w:hint="eastAsia"/>
          <w:b/>
          <w:sz w:val="32"/>
          <w:szCs w:val="32"/>
        </w:rPr>
        <w:t>五、一般公共预算财政拨款支出决算情况说明</w:t>
      </w:r>
    </w:p>
    <w:p>
      <w:pPr>
        <w:pStyle w:val="13"/>
        <w:ind w:firstLine="640" w:firstLineChars="200"/>
        <w:rPr>
          <w:rFonts w:ascii="宋体" w:eastAsia="宋体"/>
          <w:b/>
          <w:sz w:val="32"/>
          <w:szCs w:val="32"/>
        </w:rPr>
      </w:pPr>
      <w:r>
        <w:rPr>
          <w:rFonts w:hint="eastAsia" w:ascii="宋体" w:eastAsia="宋体"/>
          <w:b/>
          <w:sz w:val="32"/>
          <w:szCs w:val="32"/>
        </w:rPr>
        <w:t>（一）财政拨款支出决算总体情况</w:t>
      </w:r>
    </w:p>
    <w:p>
      <w:pPr>
        <w:pStyle w:val="13"/>
        <w:ind w:firstLine="640" w:firstLineChars="200"/>
        <w:rPr>
          <w:rFonts w:ascii="宋体" w:eastAsia="宋体"/>
          <w:sz w:val="32"/>
          <w:szCs w:val="32"/>
        </w:rPr>
      </w:pPr>
      <w:r>
        <w:rPr>
          <w:rFonts w:hint="eastAsia" w:ascii="宋体" w:eastAsia="宋体"/>
          <w:sz w:val="32"/>
          <w:szCs w:val="32"/>
        </w:rPr>
        <w:t>2021年度财政拨款支出</w:t>
      </w:r>
      <w:r>
        <w:rPr>
          <w:rFonts w:ascii="宋体" w:eastAsia="宋体"/>
          <w:sz w:val="32"/>
          <w:szCs w:val="32"/>
        </w:rPr>
        <w:t>683.22</w:t>
      </w:r>
      <w:r>
        <w:rPr>
          <w:rFonts w:hint="eastAsia" w:ascii="宋体" w:eastAsia="宋体"/>
          <w:sz w:val="32"/>
          <w:szCs w:val="32"/>
        </w:rPr>
        <w:t>万元，占本年支出合计的</w:t>
      </w:r>
      <w:r>
        <w:rPr>
          <w:rFonts w:ascii="宋体" w:eastAsia="宋体"/>
          <w:sz w:val="32"/>
          <w:szCs w:val="32"/>
        </w:rPr>
        <w:t>100</w:t>
      </w:r>
      <w:r>
        <w:rPr>
          <w:rFonts w:hint="eastAsia" w:ascii="宋体" w:eastAsia="宋体"/>
          <w:sz w:val="32"/>
          <w:szCs w:val="32"/>
        </w:rPr>
        <w:t>%，与上年相比，财政拨款支出减少</w:t>
      </w:r>
      <w:r>
        <w:rPr>
          <w:rFonts w:ascii="宋体" w:eastAsia="宋体"/>
          <w:sz w:val="32"/>
          <w:szCs w:val="32"/>
        </w:rPr>
        <w:t>30.54</w:t>
      </w:r>
      <w:r>
        <w:rPr>
          <w:rFonts w:hint="eastAsia" w:ascii="宋体" w:eastAsia="宋体"/>
          <w:sz w:val="32"/>
          <w:szCs w:val="32"/>
        </w:rPr>
        <w:t>%，主要是因为</w:t>
      </w:r>
      <w:r>
        <w:rPr>
          <w:rFonts w:ascii="宋体" w:eastAsia="宋体"/>
          <w:sz w:val="32"/>
          <w:szCs w:val="32"/>
        </w:rPr>
        <w:t>职能划转，执法权划转归属交通执法局，安全监管方面减少。</w:t>
      </w:r>
    </w:p>
    <w:p>
      <w:pPr>
        <w:pStyle w:val="13"/>
        <w:ind w:firstLine="480" w:firstLineChars="150"/>
        <w:rPr>
          <w:rFonts w:ascii="宋体" w:eastAsia="宋体"/>
          <w:b/>
          <w:sz w:val="32"/>
          <w:szCs w:val="32"/>
        </w:rPr>
      </w:pPr>
      <w:r>
        <w:rPr>
          <w:rFonts w:hint="eastAsia" w:ascii="宋体" w:eastAsia="宋体"/>
          <w:b/>
          <w:sz w:val="32"/>
          <w:szCs w:val="32"/>
        </w:rPr>
        <w:t>（二）财政拨款支出决算结构情况</w:t>
      </w:r>
    </w:p>
    <w:p>
      <w:pPr>
        <w:pStyle w:val="13"/>
        <w:ind w:firstLine="640" w:firstLineChars="200"/>
        <w:rPr>
          <w:rFonts w:ascii="宋体" w:eastAsia="宋体"/>
          <w:sz w:val="32"/>
          <w:szCs w:val="32"/>
        </w:rPr>
      </w:pPr>
      <w:r>
        <w:rPr>
          <w:rFonts w:hint="eastAsia" w:ascii="宋体" w:eastAsia="宋体"/>
          <w:sz w:val="32"/>
          <w:szCs w:val="32"/>
        </w:rPr>
        <w:t>2021年度财政拨款支出</w:t>
      </w:r>
      <w:r>
        <w:rPr>
          <w:rFonts w:ascii="宋体" w:eastAsia="宋体"/>
          <w:sz w:val="32"/>
          <w:szCs w:val="32"/>
        </w:rPr>
        <w:t>683.22</w:t>
      </w:r>
      <w:r>
        <w:rPr>
          <w:rFonts w:hint="eastAsia" w:ascii="宋体" w:eastAsia="宋体"/>
          <w:sz w:val="32"/>
          <w:szCs w:val="32"/>
        </w:rPr>
        <w:t>万元，主要用于以下方面：</w:t>
      </w:r>
      <w:r>
        <w:rPr>
          <w:rFonts w:ascii="宋体" w:eastAsia="宋体"/>
          <w:sz w:val="32"/>
          <w:szCs w:val="32"/>
        </w:rPr>
        <w:t>社会保障和就业支出47.03万元，卫生健康支出24万元，交通运输支出612.19万元。</w:t>
      </w:r>
    </w:p>
    <w:p>
      <w:pPr>
        <w:pStyle w:val="13"/>
        <w:ind w:firstLine="800" w:firstLineChars="250"/>
        <w:rPr>
          <w:rFonts w:ascii="宋体" w:eastAsia="宋体"/>
          <w:b/>
          <w:sz w:val="32"/>
          <w:szCs w:val="32"/>
        </w:rPr>
      </w:pPr>
      <w:r>
        <w:rPr>
          <w:rFonts w:hint="eastAsia" w:ascii="宋体" w:eastAsia="宋体"/>
          <w:b/>
          <w:sz w:val="32"/>
          <w:szCs w:val="32"/>
        </w:rPr>
        <w:t>（三）财政拨款支出决算具体情况</w:t>
      </w:r>
    </w:p>
    <w:p>
      <w:pPr>
        <w:pStyle w:val="13"/>
        <w:ind w:firstLine="800" w:firstLineChars="250"/>
        <w:rPr>
          <w:rFonts w:ascii="宋体" w:eastAsia="宋体"/>
          <w:sz w:val="32"/>
          <w:szCs w:val="32"/>
        </w:rPr>
      </w:pPr>
      <w:r>
        <w:rPr>
          <w:rFonts w:hint="eastAsia" w:ascii="宋体" w:eastAsia="宋体"/>
          <w:sz w:val="32"/>
          <w:szCs w:val="32"/>
        </w:rPr>
        <w:t>2021年度财政拨款支出年初预算数为</w:t>
      </w:r>
      <w:r>
        <w:rPr>
          <w:rFonts w:ascii="宋体" w:eastAsia="宋体"/>
          <w:sz w:val="32"/>
          <w:szCs w:val="32"/>
        </w:rPr>
        <w:t>622.6</w:t>
      </w:r>
      <w:r>
        <w:rPr>
          <w:rFonts w:hint="eastAsia" w:ascii="宋体" w:eastAsia="宋体"/>
          <w:sz w:val="32"/>
          <w:szCs w:val="32"/>
        </w:rPr>
        <w:t>万元，支出决算数为</w:t>
      </w:r>
      <w:r>
        <w:rPr>
          <w:rFonts w:ascii="宋体" w:eastAsia="宋体"/>
          <w:sz w:val="32"/>
          <w:szCs w:val="32"/>
        </w:rPr>
        <w:t>683.22</w:t>
      </w:r>
      <w:r>
        <w:rPr>
          <w:rFonts w:hint="eastAsia" w:ascii="宋体" w:eastAsia="宋体"/>
          <w:sz w:val="32"/>
          <w:szCs w:val="32"/>
        </w:rPr>
        <w:t>万元，完成年初预算的</w:t>
      </w:r>
      <w:r>
        <w:rPr>
          <w:rFonts w:ascii="宋体" w:eastAsia="宋体"/>
          <w:sz w:val="32"/>
          <w:szCs w:val="32"/>
        </w:rPr>
        <w:t>109.74</w:t>
      </w:r>
      <w:r>
        <w:rPr>
          <w:rFonts w:hint="eastAsia" w:ascii="宋体" w:eastAsia="宋体"/>
          <w:sz w:val="32"/>
          <w:szCs w:val="32"/>
        </w:rPr>
        <w:t>%，其中：</w:t>
      </w:r>
    </w:p>
    <w:p>
      <w:pPr>
        <w:pStyle w:val="13"/>
        <w:ind w:firstLine="800" w:firstLineChars="250"/>
        <w:rPr>
          <w:rFonts w:ascii="宋体" w:eastAsia="宋体"/>
          <w:sz w:val="32"/>
          <w:szCs w:val="32"/>
        </w:rPr>
      </w:pPr>
      <w:r>
        <w:rPr>
          <w:rFonts w:hint="eastAsia" w:ascii="宋体" w:eastAsia="宋体"/>
          <w:sz w:val="32"/>
          <w:szCs w:val="32"/>
        </w:rPr>
        <w:t>1、</w:t>
      </w:r>
      <w:r>
        <w:rPr>
          <w:rFonts w:ascii="宋体" w:eastAsia="宋体"/>
          <w:sz w:val="32"/>
          <w:szCs w:val="32"/>
        </w:rPr>
        <w:t>社会保障和就业支出</w:t>
      </w:r>
      <w:r>
        <w:rPr>
          <w:rFonts w:hint="eastAsia" w:ascii="宋体" w:eastAsia="宋体"/>
          <w:sz w:val="32"/>
          <w:szCs w:val="32"/>
        </w:rPr>
        <w:t>（类）</w:t>
      </w:r>
      <w:r>
        <w:rPr>
          <w:rFonts w:ascii="宋体" w:eastAsia="宋体"/>
          <w:sz w:val="32"/>
          <w:szCs w:val="32"/>
        </w:rPr>
        <w:t>行政事业单位养老支出</w:t>
      </w:r>
      <w:r>
        <w:rPr>
          <w:rFonts w:hint="eastAsia" w:ascii="宋体" w:eastAsia="宋体"/>
          <w:sz w:val="32"/>
          <w:szCs w:val="32"/>
        </w:rPr>
        <w:t>（款）</w:t>
      </w:r>
      <w:r>
        <w:rPr>
          <w:rFonts w:ascii="宋体" w:eastAsia="宋体"/>
          <w:sz w:val="32"/>
          <w:szCs w:val="32"/>
        </w:rPr>
        <w:t>机关事业单位基本养老保险缴费支出</w:t>
      </w:r>
      <w:r>
        <w:rPr>
          <w:rFonts w:hint="eastAsia" w:ascii="宋体" w:eastAsia="宋体"/>
          <w:sz w:val="32"/>
          <w:szCs w:val="32"/>
        </w:rPr>
        <w:t>（项）。</w:t>
      </w:r>
    </w:p>
    <w:p>
      <w:pPr>
        <w:pStyle w:val="13"/>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50</w:t>
      </w:r>
      <w:r>
        <w:rPr>
          <w:rFonts w:hint="eastAsia" w:ascii="宋体" w:eastAsia="宋体"/>
          <w:sz w:val="32"/>
          <w:szCs w:val="32"/>
        </w:rPr>
        <w:t>万元，支出决算为</w:t>
      </w:r>
      <w:r>
        <w:rPr>
          <w:rFonts w:ascii="宋体" w:eastAsia="宋体"/>
          <w:sz w:val="32"/>
          <w:szCs w:val="32"/>
        </w:rPr>
        <w:t>47.03</w:t>
      </w:r>
      <w:r>
        <w:rPr>
          <w:rFonts w:hint="eastAsia" w:ascii="宋体" w:eastAsia="宋体"/>
          <w:sz w:val="32"/>
          <w:szCs w:val="32"/>
        </w:rPr>
        <w:t>万元，完成年初预算的</w:t>
      </w:r>
      <w:r>
        <w:rPr>
          <w:rFonts w:ascii="宋体" w:eastAsia="宋体"/>
          <w:sz w:val="32"/>
          <w:szCs w:val="32"/>
        </w:rPr>
        <w:t>94.06</w:t>
      </w:r>
      <w:r>
        <w:rPr>
          <w:rFonts w:hint="eastAsia" w:ascii="宋体" w:eastAsia="宋体"/>
          <w:sz w:val="32"/>
          <w:szCs w:val="32"/>
        </w:rPr>
        <w:t>%，决算数小于年初预算数的主要原因是：</w:t>
      </w:r>
      <w:r>
        <w:rPr>
          <w:rFonts w:ascii="宋体" w:eastAsia="宋体"/>
          <w:sz w:val="32"/>
          <w:szCs w:val="32"/>
        </w:rPr>
        <w:t>人员变动导致养老保险缴费减少。</w:t>
      </w:r>
    </w:p>
    <w:p>
      <w:pPr>
        <w:pStyle w:val="13"/>
        <w:ind w:firstLine="800" w:firstLineChars="250"/>
        <w:rPr>
          <w:rFonts w:ascii="宋体" w:eastAsia="宋体"/>
          <w:sz w:val="32"/>
          <w:szCs w:val="32"/>
        </w:rPr>
      </w:pPr>
      <w:r>
        <w:rPr>
          <w:rFonts w:hint="eastAsia" w:ascii="宋体" w:eastAsia="宋体"/>
          <w:sz w:val="32"/>
          <w:szCs w:val="32"/>
        </w:rPr>
        <w:t>2、</w:t>
      </w:r>
      <w:r>
        <w:rPr>
          <w:rFonts w:ascii="宋体" w:eastAsia="宋体"/>
          <w:sz w:val="32"/>
          <w:szCs w:val="32"/>
        </w:rPr>
        <w:t>卫生健康支出</w:t>
      </w:r>
      <w:r>
        <w:rPr>
          <w:rFonts w:hint="eastAsia" w:ascii="宋体" w:eastAsia="宋体"/>
          <w:sz w:val="32"/>
          <w:szCs w:val="32"/>
        </w:rPr>
        <w:t>（类）</w:t>
      </w:r>
      <w:r>
        <w:rPr>
          <w:rFonts w:ascii="宋体" w:eastAsia="宋体"/>
          <w:sz w:val="32"/>
          <w:szCs w:val="32"/>
        </w:rPr>
        <w:t>行政事业单位医疗</w:t>
      </w:r>
      <w:r>
        <w:rPr>
          <w:rFonts w:hint="eastAsia" w:ascii="宋体" w:eastAsia="宋体"/>
          <w:sz w:val="32"/>
          <w:szCs w:val="32"/>
        </w:rPr>
        <w:t>（款）</w:t>
      </w:r>
      <w:r>
        <w:rPr>
          <w:rFonts w:ascii="宋体" w:eastAsia="宋体"/>
          <w:sz w:val="32"/>
          <w:szCs w:val="32"/>
        </w:rPr>
        <w:t>事业单位医疗</w:t>
      </w:r>
      <w:r>
        <w:rPr>
          <w:rFonts w:hint="eastAsia" w:ascii="宋体" w:eastAsia="宋体"/>
          <w:sz w:val="32"/>
          <w:szCs w:val="32"/>
        </w:rPr>
        <w:t>（项）。</w:t>
      </w:r>
    </w:p>
    <w:p>
      <w:pPr>
        <w:pStyle w:val="13"/>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25</w:t>
      </w:r>
      <w:r>
        <w:rPr>
          <w:rFonts w:hint="eastAsia" w:ascii="宋体" w:eastAsia="宋体"/>
          <w:sz w:val="32"/>
          <w:szCs w:val="32"/>
        </w:rPr>
        <w:t>万元，支出决算为</w:t>
      </w:r>
      <w:r>
        <w:rPr>
          <w:rFonts w:ascii="宋体" w:eastAsia="宋体"/>
          <w:sz w:val="32"/>
          <w:szCs w:val="32"/>
        </w:rPr>
        <w:t>24</w:t>
      </w:r>
      <w:r>
        <w:rPr>
          <w:rFonts w:hint="eastAsia" w:ascii="宋体" w:eastAsia="宋体"/>
          <w:sz w:val="32"/>
          <w:szCs w:val="32"/>
        </w:rPr>
        <w:t>万元，完成年初预算的</w:t>
      </w:r>
      <w:r>
        <w:rPr>
          <w:rFonts w:ascii="宋体" w:eastAsia="宋体"/>
          <w:sz w:val="32"/>
          <w:szCs w:val="32"/>
        </w:rPr>
        <w:t>96</w:t>
      </w:r>
      <w:r>
        <w:rPr>
          <w:rFonts w:hint="eastAsia" w:ascii="宋体" w:eastAsia="宋体"/>
          <w:sz w:val="32"/>
          <w:szCs w:val="32"/>
        </w:rPr>
        <w:t>%，决算数小于年初预算数的主要原因是：</w:t>
      </w:r>
      <w:r>
        <w:rPr>
          <w:rFonts w:ascii="宋体" w:eastAsia="宋体"/>
          <w:sz w:val="32"/>
          <w:szCs w:val="32"/>
        </w:rPr>
        <w:t>人员变动导致医疗保险缴费减少。</w:t>
      </w:r>
    </w:p>
    <w:p>
      <w:pPr>
        <w:pStyle w:val="13"/>
        <w:ind w:firstLine="800" w:firstLineChars="250"/>
        <w:rPr>
          <w:rFonts w:ascii="宋体" w:eastAsia="宋体"/>
          <w:sz w:val="32"/>
          <w:szCs w:val="32"/>
        </w:rPr>
      </w:pPr>
      <w:r>
        <w:rPr>
          <w:rFonts w:ascii="宋体" w:eastAsia="宋体"/>
          <w:sz w:val="32"/>
          <w:szCs w:val="32"/>
        </w:rPr>
        <w:t>3</w:t>
      </w:r>
      <w:r>
        <w:rPr>
          <w:rFonts w:hint="eastAsia" w:ascii="宋体" w:eastAsia="宋体"/>
          <w:sz w:val="32"/>
          <w:szCs w:val="32"/>
        </w:rPr>
        <w:t>、</w:t>
      </w:r>
      <w:r>
        <w:rPr>
          <w:rFonts w:ascii="宋体" w:eastAsia="宋体"/>
          <w:sz w:val="32"/>
          <w:szCs w:val="32"/>
        </w:rPr>
        <w:t>交通运输支出</w:t>
      </w:r>
      <w:r>
        <w:rPr>
          <w:rFonts w:hint="eastAsia" w:ascii="宋体" w:eastAsia="宋体"/>
          <w:sz w:val="32"/>
          <w:szCs w:val="32"/>
        </w:rPr>
        <w:t>（类）</w:t>
      </w:r>
      <w:r>
        <w:rPr>
          <w:rFonts w:ascii="宋体" w:eastAsia="宋体"/>
          <w:sz w:val="32"/>
          <w:szCs w:val="32"/>
        </w:rPr>
        <w:t>公路水路运输</w:t>
      </w:r>
      <w:r>
        <w:rPr>
          <w:rFonts w:hint="eastAsia" w:ascii="宋体" w:eastAsia="宋体"/>
          <w:sz w:val="32"/>
          <w:szCs w:val="32"/>
        </w:rPr>
        <w:t>（款）</w:t>
      </w:r>
      <w:r>
        <w:rPr>
          <w:rFonts w:ascii="宋体" w:eastAsia="宋体"/>
          <w:sz w:val="32"/>
          <w:szCs w:val="32"/>
        </w:rPr>
        <w:t>行政运行</w:t>
      </w:r>
      <w:r>
        <w:rPr>
          <w:rFonts w:hint="eastAsia" w:ascii="宋体" w:eastAsia="宋体"/>
          <w:sz w:val="32"/>
          <w:szCs w:val="32"/>
        </w:rPr>
        <w:t>（项）。</w:t>
      </w:r>
    </w:p>
    <w:p>
      <w:pPr>
        <w:pStyle w:val="13"/>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547.6</w:t>
      </w:r>
      <w:r>
        <w:rPr>
          <w:rFonts w:hint="eastAsia" w:ascii="宋体" w:eastAsia="宋体"/>
          <w:sz w:val="32"/>
          <w:szCs w:val="32"/>
        </w:rPr>
        <w:t>万元，支出决算为</w:t>
      </w:r>
      <w:r>
        <w:rPr>
          <w:rFonts w:ascii="宋体" w:eastAsia="宋体"/>
          <w:sz w:val="32"/>
          <w:szCs w:val="32"/>
        </w:rPr>
        <w:t>345.14</w:t>
      </w:r>
      <w:r>
        <w:rPr>
          <w:rFonts w:hint="eastAsia" w:ascii="宋体" w:eastAsia="宋体"/>
          <w:sz w:val="32"/>
          <w:szCs w:val="32"/>
        </w:rPr>
        <w:t>万元，完成年初预算的</w:t>
      </w:r>
      <w:r>
        <w:rPr>
          <w:rFonts w:ascii="宋体" w:eastAsia="宋体"/>
          <w:sz w:val="32"/>
          <w:szCs w:val="32"/>
        </w:rPr>
        <w:t>63.03</w:t>
      </w:r>
      <w:r>
        <w:rPr>
          <w:rFonts w:hint="eastAsia" w:ascii="宋体" w:eastAsia="宋体"/>
          <w:sz w:val="32"/>
          <w:szCs w:val="32"/>
        </w:rPr>
        <w:t>%，决算数小于年初预算数的主要原因是：</w:t>
      </w:r>
      <w:r>
        <w:rPr>
          <w:rFonts w:ascii="宋体" w:eastAsia="宋体"/>
          <w:sz w:val="32"/>
          <w:szCs w:val="32"/>
        </w:rPr>
        <w:t>财政分配指标与所做预算不一致。</w:t>
      </w:r>
    </w:p>
    <w:p>
      <w:pPr>
        <w:pStyle w:val="13"/>
        <w:ind w:firstLine="800" w:firstLineChars="250"/>
        <w:rPr>
          <w:rFonts w:ascii="宋体" w:eastAsia="宋体"/>
          <w:sz w:val="32"/>
          <w:szCs w:val="32"/>
        </w:rPr>
      </w:pPr>
      <w:r>
        <w:rPr>
          <w:rFonts w:ascii="宋体" w:eastAsia="宋体"/>
          <w:sz w:val="32"/>
          <w:szCs w:val="32"/>
        </w:rPr>
        <w:t>4</w:t>
      </w:r>
      <w:r>
        <w:rPr>
          <w:rFonts w:hint="eastAsia" w:ascii="宋体" w:eastAsia="宋体"/>
          <w:sz w:val="32"/>
          <w:szCs w:val="32"/>
        </w:rPr>
        <w:t>、</w:t>
      </w:r>
      <w:r>
        <w:rPr>
          <w:rFonts w:ascii="宋体" w:eastAsia="宋体"/>
          <w:sz w:val="32"/>
          <w:szCs w:val="32"/>
        </w:rPr>
        <w:t>交通运输支出</w:t>
      </w:r>
      <w:r>
        <w:rPr>
          <w:rFonts w:hint="eastAsia" w:ascii="宋体" w:eastAsia="宋体"/>
          <w:sz w:val="32"/>
          <w:szCs w:val="32"/>
        </w:rPr>
        <w:t>（类）</w:t>
      </w:r>
      <w:r>
        <w:rPr>
          <w:rFonts w:ascii="宋体" w:eastAsia="宋体"/>
          <w:sz w:val="32"/>
          <w:szCs w:val="32"/>
        </w:rPr>
        <w:t>公路水路运输</w:t>
      </w:r>
      <w:r>
        <w:rPr>
          <w:rFonts w:hint="eastAsia" w:ascii="宋体" w:eastAsia="宋体"/>
          <w:sz w:val="32"/>
          <w:szCs w:val="32"/>
        </w:rPr>
        <w:t>（款）</w:t>
      </w:r>
      <w:r>
        <w:rPr>
          <w:rFonts w:ascii="宋体" w:eastAsia="宋体"/>
          <w:sz w:val="32"/>
          <w:szCs w:val="32"/>
        </w:rPr>
        <w:t>公路运输管理</w:t>
      </w:r>
      <w:r>
        <w:rPr>
          <w:rFonts w:hint="eastAsia" w:ascii="宋体" w:eastAsia="宋体"/>
          <w:sz w:val="32"/>
          <w:szCs w:val="32"/>
        </w:rPr>
        <w:t>（项）。</w:t>
      </w:r>
    </w:p>
    <w:p>
      <w:pPr>
        <w:pStyle w:val="13"/>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0</w:t>
      </w:r>
      <w:r>
        <w:rPr>
          <w:rFonts w:hint="eastAsia" w:ascii="宋体" w:eastAsia="宋体"/>
          <w:sz w:val="32"/>
          <w:szCs w:val="32"/>
        </w:rPr>
        <w:t>万元，支出决算为</w:t>
      </w:r>
      <w:r>
        <w:rPr>
          <w:rFonts w:ascii="宋体" w:eastAsia="宋体"/>
          <w:sz w:val="32"/>
          <w:szCs w:val="32"/>
        </w:rPr>
        <w:t>213.86</w:t>
      </w:r>
      <w:r>
        <w:rPr>
          <w:rFonts w:hint="eastAsia" w:ascii="宋体" w:eastAsia="宋体"/>
          <w:sz w:val="32"/>
          <w:szCs w:val="32"/>
        </w:rPr>
        <w:t>万元，完成年初预算的</w:t>
      </w:r>
      <w:r>
        <w:rPr>
          <w:rFonts w:ascii="宋体" w:eastAsia="宋体"/>
          <w:sz w:val="32"/>
          <w:szCs w:val="32"/>
        </w:rPr>
        <w:t>100</w:t>
      </w:r>
      <w:r>
        <w:rPr>
          <w:rFonts w:hint="eastAsia" w:ascii="宋体" w:eastAsia="宋体"/>
          <w:sz w:val="32"/>
          <w:szCs w:val="32"/>
        </w:rPr>
        <w:t>%，决算数</w:t>
      </w:r>
      <w:r>
        <w:rPr>
          <w:rFonts w:ascii="宋体" w:eastAsia="宋体"/>
          <w:sz w:val="32"/>
          <w:szCs w:val="32"/>
        </w:rPr>
        <w:t>大</w:t>
      </w:r>
      <w:r>
        <w:rPr>
          <w:rFonts w:hint="eastAsia" w:ascii="宋体" w:eastAsia="宋体"/>
          <w:sz w:val="32"/>
          <w:szCs w:val="32"/>
        </w:rPr>
        <w:t>于年初预算数的主要原因是：</w:t>
      </w:r>
      <w:r>
        <w:rPr>
          <w:rFonts w:ascii="宋体" w:eastAsia="宋体"/>
          <w:sz w:val="32"/>
          <w:szCs w:val="32"/>
        </w:rPr>
        <w:t>此类项未做相关预算。</w:t>
      </w:r>
    </w:p>
    <w:p>
      <w:pPr>
        <w:pStyle w:val="13"/>
        <w:ind w:firstLine="800" w:firstLineChars="250"/>
        <w:rPr>
          <w:rFonts w:ascii="宋体" w:eastAsia="宋体"/>
          <w:sz w:val="32"/>
          <w:szCs w:val="32"/>
        </w:rPr>
      </w:pPr>
      <w:r>
        <w:rPr>
          <w:rFonts w:ascii="宋体" w:eastAsia="宋体"/>
          <w:sz w:val="32"/>
          <w:szCs w:val="32"/>
        </w:rPr>
        <w:t>5</w:t>
      </w:r>
      <w:r>
        <w:rPr>
          <w:rFonts w:hint="eastAsia" w:ascii="宋体" w:eastAsia="宋体"/>
          <w:sz w:val="32"/>
          <w:szCs w:val="32"/>
        </w:rPr>
        <w:t>、</w:t>
      </w:r>
      <w:r>
        <w:rPr>
          <w:rFonts w:ascii="宋体" w:eastAsia="宋体"/>
          <w:sz w:val="32"/>
          <w:szCs w:val="32"/>
        </w:rPr>
        <w:t>交通运输支出</w:t>
      </w:r>
      <w:r>
        <w:rPr>
          <w:rFonts w:hint="eastAsia" w:ascii="宋体" w:eastAsia="宋体"/>
          <w:sz w:val="32"/>
          <w:szCs w:val="32"/>
        </w:rPr>
        <w:t>（类）</w:t>
      </w:r>
      <w:r>
        <w:rPr>
          <w:rFonts w:ascii="宋体" w:eastAsia="宋体"/>
          <w:sz w:val="32"/>
          <w:szCs w:val="32"/>
        </w:rPr>
        <w:t>其他交通运输支出</w:t>
      </w:r>
      <w:r>
        <w:rPr>
          <w:rFonts w:hint="eastAsia" w:ascii="宋体" w:eastAsia="宋体"/>
          <w:sz w:val="32"/>
          <w:szCs w:val="32"/>
        </w:rPr>
        <w:t>（款）</w:t>
      </w:r>
      <w:r>
        <w:rPr>
          <w:rFonts w:ascii="宋体" w:eastAsia="宋体"/>
          <w:sz w:val="32"/>
          <w:szCs w:val="32"/>
        </w:rPr>
        <w:t>其他交通运输支出</w:t>
      </w:r>
      <w:r>
        <w:rPr>
          <w:rFonts w:hint="eastAsia" w:ascii="宋体" w:eastAsia="宋体"/>
          <w:sz w:val="32"/>
          <w:szCs w:val="32"/>
        </w:rPr>
        <w:t>（项）。</w:t>
      </w:r>
    </w:p>
    <w:p>
      <w:pPr>
        <w:pStyle w:val="13"/>
        <w:ind w:firstLine="800" w:firstLineChars="250"/>
        <w:rPr>
          <w:rFonts w:ascii="宋体" w:eastAsia="宋体"/>
          <w:sz w:val="32"/>
          <w:szCs w:val="32"/>
        </w:rPr>
      </w:pPr>
      <w:r>
        <w:rPr>
          <w:rFonts w:hint="eastAsia" w:ascii="宋体" w:eastAsia="宋体"/>
          <w:sz w:val="32"/>
          <w:szCs w:val="32"/>
        </w:rPr>
        <w:t>年初预算为</w:t>
      </w:r>
      <w:r>
        <w:rPr>
          <w:rFonts w:ascii="宋体" w:eastAsia="宋体"/>
          <w:sz w:val="32"/>
          <w:szCs w:val="32"/>
        </w:rPr>
        <w:t>0</w:t>
      </w:r>
      <w:r>
        <w:rPr>
          <w:rFonts w:hint="eastAsia" w:ascii="宋体" w:eastAsia="宋体"/>
          <w:sz w:val="32"/>
          <w:szCs w:val="32"/>
        </w:rPr>
        <w:t>万元，支出决算为</w:t>
      </w:r>
      <w:r>
        <w:rPr>
          <w:rFonts w:ascii="宋体" w:eastAsia="宋体"/>
          <w:sz w:val="32"/>
          <w:szCs w:val="32"/>
        </w:rPr>
        <w:t>53.19</w:t>
      </w:r>
      <w:r>
        <w:rPr>
          <w:rFonts w:hint="eastAsia" w:ascii="宋体" w:eastAsia="宋体"/>
          <w:sz w:val="32"/>
          <w:szCs w:val="32"/>
        </w:rPr>
        <w:t>万元，完成年初预算的</w:t>
      </w:r>
      <w:r>
        <w:rPr>
          <w:rFonts w:ascii="宋体" w:eastAsia="宋体"/>
          <w:sz w:val="32"/>
          <w:szCs w:val="32"/>
        </w:rPr>
        <w:t>100</w:t>
      </w:r>
      <w:r>
        <w:rPr>
          <w:rFonts w:hint="eastAsia" w:ascii="宋体" w:eastAsia="宋体"/>
          <w:sz w:val="32"/>
          <w:szCs w:val="32"/>
        </w:rPr>
        <w:t>%，决算数小于年初预算数的主要原因是：</w:t>
      </w:r>
      <w:r>
        <w:rPr>
          <w:rFonts w:ascii="宋体" w:eastAsia="宋体"/>
          <w:sz w:val="32"/>
          <w:szCs w:val="32"/>
        </w:rPr>
        <w:t>此类项未做相关预算。</w:t>
      </w:r>
    </w:p>
    <w:p>
      <w:pPr>
        <w:pStyle w:val="13"/>
        <w:ind w:firstLine="640" w:firstLineChars="200"/>
        <w:rPr>
          <w:b/>
          <w:sz w:val="32"/>
          <w:szCs w:val="32"/>
        </w:rPr>
      </w:pPr>
      <w:r>
        <w:rPr>
          <w:rFonts w:hint="eastAsia"/>
          <w:b/>
          <w:sz w:val="32"/>
          <w:szCs w:val="32"/>
        </w:rPr>
        <w:t>六、一般公共预算财政拨款基本支出决算情况说明</w:t>
      </w:r>
    </w:p>
    <w:p>
      <w:pPr>
        <w:pStyle w:val="13"/>
        <w:ind w:firstLine="640" w:firstLineChars="200"/>
        <w:rPr>
          <w:rFonts w:ascii="宋体" w:eastAsia="宋体"/>
          <w:i/>
          <w:color w:val="FF0000"/>
          <w:sz w:val="32"/>
          <w:szCs w:val="32"/>
        </w:rPr>
      </w:pPr>
      <w:r>
        <w:rPr>
          <w:rFonts w:hint="eastAsia" w:ascii="宋体" w:eastAsia="宋体"/>
          <w:sz w:val="32"/>
          <w:szCs w:val="32"/>
        </w:rPr>
        <w:t>2021年度财政拨款基本支出</w:t>
      </w:r>
      <w:r>
        <w:rPr>
          <w:rFonts w:ascii="宋体" w:eastAsia="宋体"/>
          <w:sz w:val="32"/>
          <w:szCs w:val="32"/>
        </w:rPr>
        <w:t>683.22</w:t>
      </w:r>
      <w:r>
        <w:rPr>
          <w:rFonts w:hint="eastAsia" w:ascii="宋体" w:eastAsia="宋体"/>
          <w:sz w:val="32"/>
          <w:szCs w:val="32"/>
        </w:rPr>
        <w:t>万元，其中：人员经费</w:t>
      </w:r>
      <w:r>
        <w:rPr>
          <w:rFonts w:ascii="宋体" w:eastAsia="宋体"/>
          <w:sz w:val="32"/>
          <w:szCs w:val="32"/>
        </w:rPr>
        <w:t>518.36</w:t>
      </w:r>
      <w:r>
        <w:rPr>
          <w:rFonts w:hint="eastAsia" w:ascii="宋体" w:eastAsia="宋体"/>
          <w:sz w:val="32"/>
          <w:szCs w:val="32"/>
        </w:rPr>
        <w:t>万元，占基本支出的</w:t>
      </w:r>
      <w:r>
        <w:rPr>
          <w:rFonts w:ascii="宋体" w:eastAsia="宋体"/>
          <w:sz w:val="32"/>
          <w:szCs w:val="32"/>
        </w:rPr>
        <w:t>75.87</w:t>
      </w:r>
      <w:r>
        <w:rPr>
          <w:rFonts w:hint="eastAsia" w:ascii="宋体" w:eastAsia="宋体"/>
          <w:sz w:val="32"/>
          <w:szCs w:val="32"/>
        </w:rPr>
        <w:t>%,主要包括</w:t>
      </w:r>
      <w:r>
        <w:rPr>
          <w:rFonts w:ascii="宋体" w:eastAsia="宋体"/>
          <w:sz w:val="32"/>
          <w:szCs w:val="32"/>
        </w:rPr>
        <w:t>工资福利支出449.36万元，包含</w:t>
      </w:r>
      <w:r>
        <w:rPr>
          <w:rFonts w:hint="eastAsia" w:ascii="宋体" w:eastAsia="宋体"/>
          <w:sz w:val="32"/>
          <w:szCs w:val="32"/>
        </w:rPr>
        <w:t>基本工资</w:t>
      </w:r>
      <w:r>
        <w:rPr>
          <w:rFonts w:ascii="宋体" w:eastAsia="宋体"/>
          <w:sz w:val="32"/>
          <w:szCs w:val="32"/>
        </w:rPr>
        <w:t>173.5万元</w:t>
      </w:r>
      <w:r>
        <w:rPr>
          <w:rFonts w:hint="eastAsia" w:ascii="宋体" w:eastAsia="宋体"/>
          <w:sz w:val="32"/>
          <w:szCs w:val="32"/>
        </w:rPr>
        <w:t>、津贴补贴</w:t>
      </w:r>
      <w:r>
        <w:rPr>
          <w:rFonts w:ascii="宋体" w:eastAsia="宋体"/>
          <w:sz w:val="32"/>
          <w:szCs w:val="32"/>
        </w:rPr>
        <w:t>83.37万元</w:t>
      </w:r>
      <w:r>
        <w:rPr>
          <w:rFonts w:hint="eastAsia" w:ascii="宋体" w:eastAsia="宋体"/>
          <w:sz w:val="32"/>
          <w:szCs w:val="32"/>
        </w:rPr>
        <w:t>、奖金</w:t>
      </w:r>
      <w:r>
        <w:rPr>
          <w:rFonts w:ascii="宋体" w:eastAsia="宋体"/>
          <w:sz w:val="32"/>
          <w:szCs w:val="32"/>
        </w:rPr>
        <w:t>31.2万元</w:t>
      </w:r>
      <w:r>
        <w:rPr>
          <w:rFonts w:hint="eastAsia" w:ascii="宋体" w:eastAsia="宋体"/>
          <w:sz w:val="32"/>
          <w:szCs w:val="32"/>
        </w:rPr>
        <w:t>、</w:t>
      </w:r>
      <w:r>
        <w:rPr>
          <w:rFonts w:ascii="宋体" w:eastAsia="宋体"/>
          <w:sz w:val="32"/>
          <w:szCs w:val="32"/>
        </w:rPr>
        <w:t>绩效工资37.01万元、机关事业单位养老保险缴费47.03万元、职工基本医疗保险缴费24万元、其他工资福利支出53.19万元</w:t>
      </w:r>
      <w:r>
        <w:rPr>
          <w:rFonts w:hint="eastAsia" w:ascii="宋体" w:eastAsia="宋体"/>
          <w:sz w:val="32"/>
          <w:szCs w:val="32"/>
        </w:rPr>
        <w:t>；</w:t>
      </w:r>
      <w:r>
        <w:rPr>
          <w:rFonts w:ascii="宋体" w:eastAsia="宋体"/>
          <w:sz w:val="32"/>
          <w:szCs w:val="32"/>
        </w:rPr>
        <w:t>对个人和家庭补助69万元，包括生活补助9万元、医疗费补助14万元、奖励金33万元、其他对个人和家庭的补助13万元；</w:t>
      </w:r>
      <w:r>
        <w:rPr>
          <w:rFonts w:hint="eastAsia" w:ascii="宋体" w:eastAsia="宋体"/>
          <w:sz w:val="32"/>
          <w:szCs w:val="32"/>
        </w:rPr>
        <w:t>公用经费</w:t>
      </w:r>
      <w:r>
        <w:rPr>
          <w:rFonts w:ascii="宋体" w:eastAsia="宋体"/>
          <w:sz w:val="32"/>
          <w:szCs w:val="32"/>
        </w:rPr>
        <w:t>164.86</w:t>
      </w:r>
      <w:r>
        <w:rPr>
          <w:rFonts w:hint="eastAsia" w:ascii="宋体" w:eastAsia="宋体"/>
          <w:sz w:val="32"/>
          <w:szCs w:val="32"/>
        </w:rPr>
        <w:t>万元，占基本支出的</w:t>
      </w:r>
      <w:r>
        <w:rPr>
          <w:rFonts w:ascii="宋体" w:eastAsia="宋体"/>
          <w:sz w:val="32"/>
          <w:szCs w:val="32"/>
        </w:rPr>
        <w:t>24.13</w:t>
      </w:r>
      <w:r>
        <w:rPr>
          <w:rFonts w:hint="eastAsia" w:ascii="宋体" w:eastAsia="宋体"/>
          <w:sz w:val="32"/>
          <w:szCs w:val="32"/>
        </w:rPr>
        <w:t>%，主要</w:t>
      </w:r>
      <w:r>
        <w:rPr>
          <w:rFonts w:ascii="宋体" w:eastAsia="宋体"/>
          <w:sz w:val="32"/>
          <w:szCs w:val="32"/>
        </w:rPr>
        <w:t>为商品和服务支出164.86万元，包含</w:t>
      </w:r>
      <w:r>
        <w:rPr>
          <w:rFonts w:hint="eastAsia" w:ascii="宋体" w:eastAsia="宋体"/>
          <w:sz w:val="32"/>
          <w:szCs w:val="32"/>
        </w:rPr>
        <w:t>办公费</w:t>
      </w:r>
      <w:r>
        <w:rPr>
          <w:rFonts w:ascii="宋体" w:eastAsia="宋体"/>
          <w:sz w:val="32"/>
          <w:szCs w:val="32"/>
        </w:rPr>
        <w:t>22万元</w:t>
      </w:r>
      <w:r>
        <w:rPr>
          <w:rFonts w:hint="eastAsia" w:ascii="宋体" w:eastAsia="宋体"/>
          <w:sz w:val="32"/>
          <w:szCs w:val="32"/>
        </w:rPr>
        <w:t>、印刷费</w:t>
      </w:r>
      <w:r>
        <w:rPr>
          <w:rFonts w:ascii="宋体" w:eastAsia="宋体"/>
          <w:sz w:val="32"/>
          <w:szCs w:val="32"/>
        </w:rPr>
        <w:t>9万元</w:t>
      </w:r>
      <w:r>
        <w:rPr>
          <w:rFonts w:hint="eastAsia" w:ascii="宋体" w:eastAsia="宋体"/>
          <w:sz w:val="32"/>
          <w:szCs w:val="32"/>
        </w:rPr>
        <w:t>、</w:t>
      </w:r>
      <w:r>
        <w:rPr>
          <w:rFonts w:ascii="宋体" w:eastAsia="宋体"/>
          <w:sz w:val="32"/>
          <w:szCs w:val="32"/>
        </w:rPr>
        <w:t>水费2万元、电费3万元、邮电费2万元、差旅费6万元、维修（护）费3万元、会议费3万元、培训费5万元、公务接待费1.12万元、专用材料费8万元、劳务费4万元，工会经费13万元、福利费11万元、公务公车运行维护4.6万元、其他交通费用36万元、其他商品和服务支出30.14万元</w:t>
      </w:r>
      <w:r>
        <w:rPr>
          <w:rFonts w:hint="eastAsia" w:ascii="宋体" w:eastAsia="宋体"/>
          <w:sz w:val="32"/>
          <w:szCs w:val="32"/>
        </w:rPr>
        <w:t>。</w:t>
      </w:r>
    </w:p>
    <w:p>
      <w:pPr>
        <w:pStyle w:val="13"/>
        <w:rPr>
          <w:b/>
          <w:sz w:val="32"/>
          <w:szCs w:val="32"/>
        </w:rPr>
      </w:pPr>
      <w:r>
        <w:rPr>
          <w:rFonts w:hint="eastAsia"/>
          <w:b/>
          <w:sz w:val="32"/>
          <w:szCs w:val="32"/>
        </w:rPr>
        <w:t>七、一般公共预算财政拨款“三公”经费支出决算情况说明</w:t>
      </w:r>
    </w:p>
    <w:p>
      <w:pPr>
        <w:pStyle w:val="13"/>
        <w:rPr>
          <w:rFonts w:ascii="宋体" w:eastAsia="宋体"/>
          <w:b/>
          <w:sz w:val="32"/>
          <w:szCs w:val="32"/>
        </w:rPr>
      </w:pPr>
      <w:r>
        <w:rPr>
          <w:rFonts w:hint="eastAsia" w:ascii="宋体" w:eastAsia="宋体"/>
          <w:b/>
          <w:sz w:val="32"/>
          <w:szCs w:val="32"/>
        </w:rPr>
        <w:t>（一）“三公”经费财政拨款支出决算总体情况说明</w:t>
      </w:r>
    </w:p>
    <w:p>
      <w:pPr>
        <w:pStyle w:val="13"/>
        <w:ind w:firstLine="800" w:firstLineChars="250"/>
        <w:rPr>
          <w:rFonts w:ascii="宋体" w:eastAsia="宋体"/>
          <w:sz w:val="32"/>
          <w:szCs w:val="32"/>
        </w:rPr>
      </w:pPr>
      <w:r>
        <w:rPr>
          <w:rFonts w:hint="eastAsia" w:ascii="宋体" w:eastAsia="宋体"/>
          <w:sz w:val="32"/>
          <w:szCs w:val="32"/>
        </w:rPr>
        <w:t>2021年度“三公”经费财政拨款支出预算为</w:t>
      </w:r>
      <w:r>
        <w:rPr>
          <w:rFonts w:ascii="宋体" w:eastAsia="宋体"/>
          <w:sz w:val="32"/>
          <w:szCs w:val="32"/>
        </w:rPr>
        <w:t>18.4</w:t>
      </w:r>
      <w:r>
        <w:rPr>
          <w:rFonts w:hint="eastAsia" w:ascii="宋体" w:eastAsia="宋体"/>
          <w:sz w:val="32"/>
          <w:szCs w:val="32"/>
        </w:rPr>
        <w:t>万元，支出决算为</w:t>
      </w:r>
      <w:r>
        <w:rPr>
          <w:rFonts w:ascii="宋体" w:eastAsia="宋体"/>
          <w:sz w:val="32"/>
          <w:szCs w:val="32"/>
        </w:rPr>
        <w:t>5.72万元。</w:t>
      </w:r>
    </w:p>
    <w:p>
      <w:pPr>
        <w:pStyle w:val="13"/>
        <w:ind w:firstLine="800" w:firstLineChars="250"/>
        <w:rPr>
          <w:rFonts w:ascii="宋体" w:eastAsia="宋体"/>
          <w:sz w:val="32"/>
          <w:szCs w:val="32"/>
        </w:rPr>
      </w:pPr>
      <w:r>
        <w:rPr>
          <w:rFonts w:hint="eastAsia" w:ascii="宋体" w:eastAsia="宋体"/>
          <w:sz w:val="32"/>
          <w:szCs w:val="32"/>
        </w:rPr>
        <w:t>因公出国（境）费支出预算为</w:t>
      </w:r>
      <w:r>
        <w:rPr>
          <w:rFonts w:ascii="宋体" w:eastAsia="宋体"/>
          <w:sz w:val="32"/>
          <w:szCs w:val="32"/>
        </w:rPr>
        <w:t>0</w:t>
      </w:r>
      <w:r>
        <w:rPr>
          <w:rFonts w:hint="eastAsia" w:ascii="宋体" w:eastAsia="宋体"/>
          <w:sz w:val="32"/>
          <w:szCs w:val="32"/>
        </w:rPr>
        <w:t>万元，支出决算为</w:t>
      </w:r>
      <w:r>
        <w:rPr>
          <w:rFonts w:ascii="宋体" w:eastAsia="宋体"/>
          <w:sz w:val="32"/>
          <w:szCs w:val="32"/>
        </w:rPr>
        <w:t>0</w:t>
      </w:r>
      <w:r>
        <w:rPr>
          <w:rFonts w:hint="eastAsia" w:ascii="宋体" w:eastAsia="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3"/>
        <w:keepNext w:val="0"/>
        <w:keepLines w:val="0"/>
        <w:pageBreakBefore w:val="0"/>
        <w:widowControl w:val="0"/>
        <w:kinsoku/>
        <w:wordWrap/>
        <w:overflowPunct/>
        <w:topLinePunct w:val="0"/>
        <w:autoSpaceDE w:val="0"/>
        <w:autoSpaceDN w:val="0"/>
        <w:adjustRightInd w:val="0"/>
        <w:snapToGrid w:val="0"/>
        <w:spacing w:line="360" w:lineRule="auto"/>
        <w:ind w:firstLine="800" w:firstLineChars="250"/>
        <w:rPr>
          <w:rFonts w:ascii="宋体" w:eastAsia="宋体"/>
          <w:sz w:val="32"/>
          <w:szCs w:val="32"/>
        </w:rPr>
      </w:pPr>
      <w:r>
        <w:rPr>
          <w:rFonts w:hint="eastAsia" w:ascii="宋体" w:eastAsia="宋体"/>
          <w:sz w:val="32"/>
          <w:szCs w:val="32"/>
        </w:rPr>
        <w:t>公务接待费支出预算为</w:t>
      </w:r>
      <w:r>
        <w:rPr>
          <w:rFonts w:ascii="宋体" w:eastAsia="宋体"/>
          <w:sz w:val="32"/>
          <w:szCs w:val="32"/>
        </w:rPr>
        <w:t>9.6</w:t>
      </w:r>
      <w:r>
        <w:rPr>
          <w:rFonts w:hint="eastAsia" w:ascii="宋体" w:eastAsia="宋体"/>
          <w:sz w:val="32"/>
          <w:szCs w:val="32"/>
        </w:rPr>
        <w:t>万元，支出决算为</w:t>
      </w:r>
      <w:r>
        <w:rPr>
          <w:rFonts w:ascii="宋体" w:eastAsia="宋体"/>
          <w:sz w:val="32"/>
          <w:szCs w:val="32"/>
        </w:rPr>
        <w:t>1.12</w:t>
      </w:r>
      <w:r>
        <w:rPr>
          <w:rFonts w:hint="eastAsia" w:ascii="宋体" w:eastAsia="宋体"/>
          <w:sz w:val="32"/>
          <w:szCs w:val="32"/>
        </w:rPr>
        <w:t>万元，完成预算的</w:t>
      </w:r>
      <w:r>
        <w:rPr>
          <w:rFonts w:ascii="宋体" w:eastAsia="宋体"/>
          <w:sz w:val="32"/>
          <w:szCs w:val="32"/>
        </w:rPr>
        <w:t>11.67</w:t>
      </w:r>
      <w:r>
        <w:rPr>
          <w:rFonts w:hint="eastAsia" w:ascii="宋体" w:eastAsia="宋体"/>
          <w:sz w:val="32"/>
          <w:szCs w:val="32"/>
        </w:rPr>
        <w:t>%，决算数小于预算数的主要原因是</w:t>
      </w:r>
      <w:r>
        <w:rPr>
          <w:rFonts w:ascii="宋体" w:eastAsia="宋体"/>
          <w:sz w:val="32"/>
          <w:szCs w:val="32"/>
        </w:rPr>
        <w:t>公务接待减少</w:t>
      </w:r>
      <w:r>
        <w:rPr>
          <w:rFonts w:hint="eastAsia" w:ascii="宋体" w:eastAsia="宋体"/>
          <w:sz w:val="32"/>
          <w:szCs w:val="32"/>
        </w:rPr>
        <w:t>，与上年相比减少</w:t>
      </w:r>
      <w:r>
        <w:rPr>
          <w:rFonts w:ascii="宋体" w:eastAsia="宋体"/>
          <w:sz w:val="32"/>
          <w:szCs w:val="32"/>
        </w:rPr>
        <w:t>1.54</w:t>
      </w:r>
      <w:r>
        <w:rPr>
          <w:rFonts w:hint="eastAsia" w:ascii="宋体" w:eastAsia="宋体"/>
          <w:sz w:val="32"/>
          <w:szCs w:val="32"/>
        </w:rPr>
        <w:t>万元，减少</w:t>
      </w:r>
      <w:r>
        <w:rPr>
          <w:rFonts w:ascii="宋体" w:eastAsia="宋体"/>
          <w:sz w:val="32"/>
          <w:szCs w:val="32"/>
        </w:rPr>
        <w:t>57.89</w:t>
      </w:r>
      <w:r>
        <w:rPr>
          <w:rFonts w:hint="eastAsia" w:ascii="宋体" w:eastAsia="宋体"/>
          <w:sz w:val="32"/>
          <w:szCs w:val="32"/>
        </w:rPr>
        <w:t>%,减少的主要原因是</w:t>
      </w:r>
      <w:r>
        <w:rPr>
          <w:rFonts w:ascii="宋体" w:eastAsia="宋体"/>
          <w:sz w:val="32"/>
          <w:szCs w:val="32"/>
        </w:rPr>
        <w:t>本单位严格执行中央八项规定，进一步压减</w:t>
      </w:r>
      <w:r>
        <w:rPr>
          <w:rFonts w:ascii="宋体" w:eastAsia="宋体"/>
          <w:sz w:val="32"/>
          <w:szCs w:val="32"/>
          <w:lang w:eastAsia="zh-CN"/>
        </w:rPr>
        <w:t>三公经费</w:t>
      </w:r>
      <w:r>
        <w:rPr>
          <w:rFonts w:ascii="宋体" w:eastAsia="宋体"/>
          <w:sz w:val="32"/>
          <w:szCs w:val="32"/>
        </w:rPr>
        <w:t>支出。</w:t>
      </w:r>
    </w:p>
    <w:p>
      <w:pPr>
        <w:pStyle w:val="13"/>
        <w:ind w:firstLine="640" w:firstLineChars="200"/>
        <w:rPr>
          <w:rFonts w:asciiTheme="minorEastAsia" w:hAnsiTheme="minorEastAsia" w:eastAsiaTheme="minorEastAsia"/>
          <w:sz w:val="32"/>
          <w:szCs w:val="32"/>
        </w:rPr>
      </w:pPr>
      <w:r>
        <w:rPr>
          <w:rFonts w:hint="eastAsia" w:ascii="宋体" w:eastAsia="宋体"/>
          <w:sz w:val="32"/>
          <w:szCs w:val="32"/>
        </w:rPr>
        <w:t>公务用车购置费支出预算为</w:t>
      </w:r>
      <w:r>
        <w:rPr>
          <w:rFonts w:ascii="宋体" w:eastAsia="宋体"/>
          <w:sz w:val="32"/>
          <w:szCs w:val="32"/>
        </w:rPr>
        <w:t>0</w:t>
      </w:r>
      <w:r>
        <w:rPr>
          <w:rFonts w:hint="eastAsia" w:ascii="宋体" w:eastAsia="宋体"/>
          <w:sz w:val="32"/>
          <w:szCs w:val="32"/>
        </w:rPr>
        <w:t>万元，支出决算为</w:t>
      </w:r>
      <w:r>
        <w:rPr>
          <w:rFonts w:ascii="宋体" w:eastAsia="宋体"/>
          <w:sz w:val="32"/>
          <w:szCs w:val="32"/>
        </w:rPr>
        <w:t>0</w:t>
      </w:r>
      <w:r>
        <w:rPr>
          <w:rFonts w:hint="eastAsia" w:ascii="宋体" w:eastAsia="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3"/>
        <w:ind w:firstLine="640" w:firstLineChars="200"/>
        <w:rPr>
          <w:rFonts w:ascii="宋体" w:eastAsia="宋体"/>
          <w:sz w:val="32"/>
          <w:szCs w:val="32"/>
        </w:rPr>
      </w:pPr>
      <w:r>
        <w:rPr>
          <w:rFonts w:hint="eastAsia" w:ascii="宋体" w:eastAsia="宋体"/>
          <w:sz w:val="32"/>
          <w:szCs w:val="32"/>
        </w:rPr>
        <w:t>公务用车运行维护费支出预算为</w:t>
      </w:r>
      <w:r>
        <w:rPr>
          <w:rFonts w:ascii="宋体" w:eastAsia="宋体"/>
          <w:sz w:val="32"/>
          <w:szCs w:val="32"/>
        </w:rPr>
        <w:t>8.8</w:t>
      </w:r>
      <w:r>
        <w:rPr>
          <w:rFonts w:hint="eastAsia" w:ascii="宋体" w:eastAsia="宋体"/>
          <w:sz w:val="32"/>
          <w:szCs w:val="32"/>
        </w:rPr>
        <w:t>万元，支出决算为</w:t>
      </w:r>
      <w:r>
        <w:rPr>
          <w:rFonts w:ascii="宋体" w:eastAsia="宋体"/>
          <w:sz w:val="32"/>
          <w:szCs w:val="32"/>
        </w:rPr>
        <w:t>4.6</w:t>
      </w:r>
      <w:r>
        <w:rPr>
          <w:rFonts w:hint="eastAsia" w:ascii="宋体" w:eastAsia="宋体"/>
          <w:sz w:val="32"/>
          <w:szCs w:val="32"/>
        </w:rPr>
        <w:t>万元，完成预算的</w:t>
      </w:r>
      <w:r>
        <w:rPr>
          <w:rFonts w:ascii="宋体" w:eastAsia="宋体"/>
          <w:sz w:val="32"/>
          <w:szCs w:val="32"/>
        </w:rPr>
        <w:t>52.27</w:t>
      </w:r>
      <w:r>
        <w:rPr>
          <w:rFonts w:hint="eastAsia" w:ascii="宋体" w:eastAsia="宋体"/>
          <w:sz w:val="32"/>
          <w:szCs w:val="32"/>
        </w:rPr>
        <w:t>%，决算数</w:t>
      </w:r>
      <w:r>
        <w:rPr>
          <w:rFonts w:hint="eastAsia" w:ascii="宋体" w:eastAsia="宋体"/>
          <w:sz w:val="32"/>
          <w:szCs w:val="32"/>
          <w:lang w:val="en-US" w:eastAsia="zh-CN"/>
        </w:rPr>
        <w:t>小</w:t>
      </w:r>
      <w:r>
        <w:rPr>
          <w:rFonts w:hint="eastAsia" w:ascii="宋体" w:eastAsia="宋体"/>
          <w:sz w:val="32"/>
          <w:szCs w:val="32"/>
        </w:rPr>
        <w:t>于预算数的主要原因</w:t>
      </w:r>
      <w:r>
        <w:rPr>
          <w:rFonts w:ascii="宋体" w:eastAsia="宋体"/>
          <w:sz w:val="32"/>
          <w:szCs w:val="32"/>
        </w:rPr>
        <w:t>是</w:t>
      </w:r>
      <w:r>
        <w:rPr>
          <w:rFonts w:hint="eastAsia" w:ascii="宋体" w:eastAsia="宋体"/>
          <w:sz w:val="32"/>
          <w:szCs w:val="32"/>
        </w:rPr>
        <w:t>公务用车运行维护费支出</w:t>
      </w:r>
      <w:r>
        <w:rPr>
          <w:rFonts w:ascii="宋体" w:eastAsia="宋体"/>
          <w:sz w:val="32"/>
          <w:szCs w:val="32"/>
        </w:rPr>
        <w:t>增加</w:t>
      </w:r>
      <w:r>
        <w:rPr>
          <w:rFonts w:hint="eastAsia" w:ascii="宋体" w:eastAsia="宋体"/>
          <w:sz w:val="32"/>
          <w:szCs w:val="32"/>
        </w:rPr>
        <w:t>，与上年相比</w:t>
      </w:r>
      <w:r>
        <w:rPr>
          <w:rFonts w:ascii="宋体" w:eastAsia="宋体"/>
          <w:sz w:val="32"/>
          <w:szCs w:val="32"/>
        </w:rPr>
        <w:t>增加0.88</w:t>
      </w:r>
      <w:r>
        <w:rPr>
          <w:rFonts w:hint="eastAsia" w:ascii="宋体" w:eastAsia="宋体"/>
          <w:sz w:val="32"/>
          <w:szCs w:val="32"/>
        </w:rPr>
        <w:t>万元，增长</w:t>
      </w:r>
      <w:r>
        <w:rPr>
          <w:rFonts w:ascii="宋体" w:eastAsia="宋体"/>
          <w:sz w:val="32"/>
          <w:szCs w:val="32"/>
        </w:rPr>
        <w:t>23.66</w:t>
      </w:r>
      <w:r>
        <w:rPr>
          <w:rFonts w:hint="eastAsia" w:ascii="宋体" w:eastAsia="宋体"/>
          <w:sz w:val="32"/>
          <w:szCs w:val="32"/>
        </w:rPr>
        <w:t>%,增长主要原因</w:t>
      </w:r>
      <w:r>
        <w:rPr>
          <w:rFonts w:ascii="宋体" w:eastAsia="宋体"/>
          <w:sz w:val="32"/>
          <w:szCs w:val="32"/>
        </w:rPr>
        <w:t>是车辆维修</w:t>
      </w:r>
      <w:bookmarkStart w:id="3" w:name="_GoBack"/>
      <w:bookmarkEnd w:id="3"/>
      <w:r>
        <w:rPr>
          <w:rFonts w:ascii="宋体" w:eastAsia="宋体"/>
          <w:sz w:val="32"/>
          <w:szCs w:val="32"/>
        </w:rPr>
        <w:t>费增加</w:t>
      </w:r>
      <w:r>
        <w:rPr>
          <w:rFonts w:hint="eastAsia" w:ascii="宋体" w:eastAsia="宋体"/>
          <w:sz w:val="32"/>
          <w:szCs w:val="32"/>
        </w:rPr>
        <w:t>。</w:t>
      </w:r>
    </w:p>
    <w:p>
      <w:pPr>
        <w:pStyle w:val="13"/>
        <w:rPr>
          <w:rFonts w:ascii="宋体" w:eastAsia="宋体"/>
          <w:b/>
          <w:sz w:val="32"/>
          <w:szCs w:val="32"/>
        </w:rPr>
      </w:pPr>
      <w:r>
        <w:rPr>
          <w:rFonts w:hint="eastAsia" w:ascii="宋体" w:eastAsia="宋体"/>
          <w:b/>
          <w:sz w:val="32"/>
          <w:szCs w:val="32"/>
        </w:rPr>
        <w:t>（二）“三公”经费财政拨款支出决算具体情况说明</w:t>
      </w:r>
    </w:p>
    <w:p>
      <w:pPr>
        <w:pStyle w:val="13"/>
        <w:ind w:firstLine="640" w:firstLineChars="200"/>
        <w:rPr>
          <w:rFonts w:ascii="宋体" w:eastAsia="宋体"/>
          <w:sz w:val="32"/>
          <w:szCs w:val="32"/>
        </w:rPr>
      </w:pPr>
      <w:r>
        <w:rPr>
          <w:rFonts w:hint="eastAsia" w:ascii="宋体" w:eastAsia="宋体"/>
          <w:sz w:val="32"/>
          <w:szCs w:val="32"/>
        </w:rPr>
        <w:t>2021年度“三公”经费财政拨款支出决算中，公务接待费支出决算</w:t>
      </w:r>
      <w:r>
        <w:rPr>
          <w:rFonts w:ascii="宋体" w:eastAsia="宋体"/>
          <w:sz w:val="32"/>
          <w:szCs w:val="32"/>
        </w:rPr>
        <w:t>1.12</w:t>
      </w:r>
      <w:r>
        <w:rPr>
          <w:rFonts w:hint="eastAsia" w:ascii="宋体" w:eastAsia="宋体"/>
          <w:sz w:val="32"/>
          <w:szCs w:val="32"/>
        </w:rPr>
        <w:t>万元，占X</w:t>
      </w:r>
      <w:r>
        <w:rPr>
          <w:rFonts w:ascii="宋体" w:eastAsia="宋体"/>
          <w:sz w:val="32"/>
          <w:szCs w:val="32"/>
        </w:rPr>
        <w:t>19.58%</w:t>
      </w:r>
      <w:r>
        <w:rPr>
          <w:rFonts w:hint="eastAsia" w:ascii="宋体" w:eastAsia="宋体"/>
          <w:sz w:val="32"/>
          <w:szCs w:val="32"/>
        </w:rPr>
        <w:t>,因公出国（境）费支出决算</w:t>
      </w:r>
      <w:r>
        <w:rPr>
          <w:rFonts w:ascii="宋体" w:eastAsia="宋体"/>
          <w:sz w:val="32"/>
          <w:szCs w:val="32"/>
        </w:rPr>
        <w:t>0</w:t>
      </w:r>
      <w:r>
        <w:rPr>
          <w:rFonts w:hint="eastAsia" w:ascii="宋体" w:eastAsia="宋体"/>
          <w:sz w:val="32"/>
          <w:szCs w:val="32"/>
        </w:rPr>
        <w:t>万元，占</w:t>
      </w:r>
      <w:r>
        <w:rPr>
          <w:rFonts w:ascii="宋体" w:eastAsia="宋体"/>
          <w:sz w:val="32"/>
          <w:szCs w:val="32"/>
        </w:rPr>
        <w:t>0</w:t>
      </w:r>
      <w:r>
        <w:rPr>
          <w:rFonts w:hint="eastAsia" w:ascii="宋体" w:eastAsia="宋体"/>
          <w:sz w:val="32"/>
          <w:szCs w:val="32"/>
        </w:rPr>
        <w:t>%,公务用车购置费及运行维护费支出决算</w:t>
      </w:r>
      <w:r>
        <w:rPr>
          <w:rFonts w:ascii="宋体" w:eastAsia="宋体"/>
          <w:sz w:val="32"/>
          <w:szCs w:val="32"/>
        </w:rPr>
        <w:t>4.6</w:t>
      </w:r>
      <w:r>
        <w:rPr>
          <w:rFonts w:hint="eastAsia" w:ascii="宋体" w:eastAsia="宋体"/>
          <w:sz w:val="32"/>
          <w:szCs w:val="32"/>
        </w:rPr>
        <w:t>万元，占</w:t>
      </w:r>
      <w:r>
        <w:rPr>
          <w:rFonts w:ascii="宋体" w:eastAsia="宋体"/>
          <w:sz w:val="32"/>
          <w:szCs w:val="32"/>
        </w:rPr>
        <w:t>80.42</w:t>
      </w:r>
      <w:r>
        <w:rPr>
          <w:rFonts w:hint="eastAsia" w:ascii="宋体" w:eastAsia="宋体"/>
          <w:sz w:val="32"/>
          <w:szCs w:val="32"/>
        </w:rPr>
        <w:t>%。其中：</w:t>
      </w:r>
    </w:p>
    <w:p>
      <w:pPr>
        <w:pStyle w:val="13"/>
        <w:ind w:firstLine="640" w:firstLineChars="200"/>
        <w:rPr>
          <w:rFonts w:ascii="宋体" w:eastAsia="宋体"/>
          <w:sz w:val="32"/>
          <w:szCs w:val="32"/>
        </w:rPr>
      </w:pPr>
      <w:r>
        <w:rPr>
          <w:rFonts w:hint="eastAsia" w:ascii="宋体" w:eastAsia="宋体"/>
          <w:sz w:val="32"/>
          <w:szCs w:val="32"/>
        </w:rPr>
        <w:t>1、因公出国（境）费支出决算为</w:t>
      </w:r>
      <w:r>
        <w:rPr>
          <w:rFonts w:ascii="宋体" w:eastAsia="宋体"/>
          <w:sz w:val="32"/>
          <w:szCs w:val="32"/>
        </w:rPr>
        <w:t>0</w:t>
      </w:r>
      <w:r>
        <w:rPr>
          <w:rFonts w:hint="eastAsia" w:ascii="宋体" w:eastAsia="宋体"/>
          <w:sz w:val="32"/>
          <w:szCs w:val="32"/>
        </w:rPr>
        <w:t>万元，全年安排因公出国（境）团组</w:t>
      </w:r>
      <w:r>
        <w:rPr>
          <w:rFonts w:ascii="宋体" w:eastAsia="宋体"/>
          <w:sz w:val="32"/>
          <w:szCs w:val="32"/>
        </w:rPr>
        <w:t>0</w:t>
      </w:r>
      <w:r>
        <w:rPr>
          <w:rFonts w:hint="eastAsia" w:ascii="宋体" w:eastAsia="宋体"/>
          <w:sz w:val="32"/>
          <w:szCs w:val="32"/>
        </w:rPr>
        <w:t>个，累计</w:t>
      </w:r>
      <w:r>
        <w:rPr>
          <w:rFonts w:ascii="宋体" w:eastAsia="宋体"/>
          <w:sz w:val="32"/>
          <w:szCs w:val="32"/>
        </w:rPr>
        <w:t>0</w:t>
      </w:r>
      <w:r>
        <w:rPr>
          <w:rFonts w:hint="eastAsia" w:ascii="宋体" w:eastAsia="宋体"/>
          <w:sz w:val="32"/>
          <w:szCs w:val="32"/>
        </w:rPr>
        <w:t>人次</w:t>
      </w:r>
      <w:r>
        <w:rPr>
          <w:rFonts w:ascii="宋体" w:eastAsia="宋体"/>
          <w:sz w:val="32"/>
          <w:szCs w:val="32"/>
        </w:rPr>
        <w:t>。</w:t>
      </w:r>
    </w:p>
    <w:p>
      <w:pPr>
        <w:pStyle w:val="13"/>
        <w:ind w:firstLine="640" w:firstLineChars="200"/>
        <w:rPr>
          <w:rFonts w:ascii="宋体" w:eastAsia="宋体"/>
          <w:sz w:val="32"/>
          <w:szCs w:val="32"/>
        </w:rPr>
      </w:pPr>
      <w:r>
        <w:rPr>
          <w:rFonts w:hint="eastAsia" w:ascii="宋体" w:eastAsia="宋体"/>
          <w:sz w:val="32"/>
          <w:szCs w:val="32"/>
        </w:rPr>
        <w:t>2、公务接待费支出决算为</w:t>
      </w:r>
      <w:r>
        <w:rPr>
          <w:rFonts w:ascii="宋体" w:eastAsia="宋体"/>
          <w:sz w:val="32"/>
          <w:szCs w:val="32"/>
        </w:rPr>
        <w:t>1.12</w:t>
      </w:r>
      <w:r>
        <w:rPr>
          <w:rFonts w:hint="eastAsia" w:ascii="宋体" w:eastAsia="宋体"/>
          <w:sz w:val="32"/>
          <w:szCs w:val="32"/>
        </w:rPr>
        <w:t>万元，全年共接待来访团组</w:t>
      </w:r>
      <w:r>
        <w:rPr>
          <w:rFonts w:ascii="宋体" w:eastAsia="宋体"/>
          <w:sz w:val="32"/>
          <w:szCs w:val="32"/>
        </w:rPr>
        <w:t>8</w:t>
      </w:r>
      <w:r>
        <w:rPr>
          <w:rFonts w:hint="eastAsia" w:ascii="宋体" w:eastAsia="宋体"/>
          <w:sz w:val="32"/>
          <w:szCs w:val="32"/>
        </w:rPr>
        <w:t>个、来宾</w:t>
      </w:r>
      <w:r>
        <w:rPr>
          <w:rFonts w:ascii="宋体" w:eastAsia="宋体"/>
          <w:sz w:val="32"/>
          <w:szCs w:val="32"/>
        </w:rPr>
        <w:t>63</w:t>
      </w:r>
      <w:r>
        <w:rPr>
          <w:rFonts w:hint="eastAsia" w:ascii="宋体" w:eastAsia="宋体"/>
          <w:sz w:val="32"/>
          <w:szCs w:val="32"/>
        </w:rPr>
        <w:t>人次，主要是</w:t>
      </w:r>
      <w:r>
        <w:rPr>
          <w:rFonts w:ascii="宋体" w:eastAsia="宋体"/>
          <w:sz w:val="32"/>
          <w:szCs w:val="32"/>
        </w:rPr>
        <w:t>考察、交流学习</w:t>
      </w:r>
      <w:r>
        <w:rPr>
          <w:rFonts w:hint="eastAsia" w:ascii="宋体" w:eastAsia="宋体"/>
          <w:sz w:val="32"/>
          <w:szCs w:val="32"/>
        </w:rPr>
        <w:t>发生的接待支出。</w:t>
      </w:r>
    </w:p>
    <w:p>
      <w:pPr>
        <w:ind w:firstLine="800" w:firstLineChars="250"/>
        <w:rPr>
          <w:rFonts w:ascii="宋体" w:cs="黑体"/>
          <w:color w:val="000000"/>
          <w:kern w:val="0"/>
          <w:sz w:val="32"/>
          <w:szCs w:val="32"/>
        </w:rPr>
      </w:pPr>
      <w:r>
        <w:rPr>
          <w:rFonts w:hint="eastAsia" w:ascii="宋体"/>
          <w:sz w:val="32"/>
          <w:szCs w:val="32"/>
        </w:rPr>
        <w:t>3、公务用车购置费及运行维护费支出决算为</w:t>
      </w:r>
      <w:r>
        <w:rPr>
          <w:rFonts w:ascii="宋体"/>
          <w:sz w:val="32"/>
          <w:szCs w:val="32"/>
        </w:rPr>
        <w:t>4.6</w:t>
      </w:r>
      <w:r>
        <w:rPr>
          <w:rFonts w:hint="eastAsia" w:ascii="宋体"/>
          <w:sz w:val="32"/>
          <w:szCs w:val="32"/>
        </w:rPr>
        <w:t>万元，其中：公务用车购置费</w:t>
      </w:r>
      <w:r>
        <w:rPr>
          <w:rFonts w:ascii="宋体"/>
          <w:sz w:val="32"/>
          <w:szCs w:val="32"/>
        </w:rPr>
        <w:t>0</w:t>
      </w:r>
      <w:r>
        <w:rPr>
          <w:rFonts w:hint="eastAsia" w:ascii="宋体"/>
          <w:sz w:val="32"/>
          <w:szCs w:val="32"/>
        </w:rPr>
        <w:t>万元</w:t>
      </w:r>
      <w:r>
        <w:rPr>
          <w:rFonts w:ascii="宋体"/>
          <w:sz w:val="32"/>
          <w:szCs w:val="32"/>
        </w:rPr>
        <w:t>，公务用车购置0辆</w:t>
      </w:r>
      <w:r>
        <w:rPr>
          <w:rFonts w:hint="eastAsia" w:ascii="宋体"/>
          <w:color w:val="000000"/>
          <w:sz w:val="32"/>
          <w:szCs w:val="32"/>
        </w:rPr>
        <w:t>。</w:t>
      </w:r>
      <w:r>
        <w:rPr>
          <w:rFonts w:hint="eastAsia" w:ascii="宋体"/>
          <w:sz w:val="32"/>
          <w:szCs w:val="32"/>
        </w:rPr>
        <w:t>公务用车运行维护费</w:t>
      </w:r>
      <w:r>
        <w:rPr>
          <w:rFonts w:ascii="宋体"/>
          <w:sz w:val="32"/>
          <w:szCs w:val="32"/>
        </w:rPr>
        <w:t>4.6</w:t>
      </w:r>
      <w:r>
        <w:rPr>
          <w:rFonts w:hint="eastAsia" w:ascii="宋体"/>
          <w:sz w:val="32"/>
          <w:szCs w:val="32"/>
        </w:rPr>
        <w:t>万元，主要是</w:t>
      </w:r>
      <w:r>
        <w:rPr>
          <w:rFonts w:ascii="宋体"/>
          <w:sz w:val="32"/>
          <w:szCs w:val="32"/>
        </w:rPr>
        <w:t>车辆维修费和加油费</w:t>
      </w:r>
      <w:r>
        <w:rPr>
          <w:rFonts w:hint="eastAsia" w:ascii="宋体"/>
          <w:sz w:val="32"/>
          <w:szCs w:val="32"/>
        </w:rPr>
        <w:t>支出，截止2021年12月31日，我单位开支财政拨款的公务用车保有量为</w:t>
      </w:r>
      <w:r>
        <w:rPr>
          <w:rFonts w:ascii="宋体"/>
          <w:sz w:val="32"/>
          <w:szCs w:val="32"/>
        </w:rPr>
        <w:t>1</w:t>
      </w:r>
      <w:r>
        <w:rPr>
          <w:rFonts w:hint="eastAsia" w:ascii="宋体"/>
          <w:sz w:val="32"/>
          <w:szCs w:val="32"/>
        </w:rPr>
        <w:t>辆。</w:t>
      </w:r>
    </w:p>
    <w:p>
      <w:pPr>
        <w:pStyle w:val="13"/>
        <w:rPr>
          <w:b/>
          <w:sz w:val="32"/>
          <w:szCs w:val="32"/>
        </w:rPr>
      </w:pPr>
      <w:r>
        <w:rPr>
          <w:rFonts w:hint="eastAsia"/>
          <w:b/>
          <w:sz w:val="32"/>
          <w:szCs w:val="32"/>
        </w:rPr>
        <w:t>八、政府性基金预算收入支出决算情况</w:t>
      </w:r>
    </w:p>
    <w:p>
      <w:pPr>
        <w:pStyle w:val="13"/>
        <w:rPr>
          <w:rFonts w:ascii="宋体" w:eastAsia="宋体"/>
          <w:sz w:val="32"/>
          <w:szCs w:val="32"/>
        </w:rPr>
      </w:pPr>
      <w:r>
        <w:rPr>
          <w:rFonts w:hint="eastAsia" w:ascii="宋体" w:eastAsia="宋体"/>
          <w:sz w:val="32"/>
          <w:szCs w:val="32"/>
        </w:rPr>
        <w:t xml:space="preserve">     2021年度</w:t>
      </w:r>
      <w:r>
        <w:rPr>
          <w:rFonts w:ascii="宋体" w:eastAsia="宋体"/>
          <w:sz w:val="32"/>
          <w:szCs w:val="32"/>
        </w:rPr>
        <w:t>本单位无</w:t>
      </w:r>
      <w:r>
        <w:rPr>
          <w:rFonts w:hint="eastAsia" w:ascii="宋体" w:eastAsia="宋体"/>
          <w:sz w:val="32"/>
          <w:szCs w:val="32"/>
        </w:rPr>
        <w:t>政府性基金预算</w:t>
      </w:r>
      <w:r>
        <w:rPr>
          <w:rFonts w:ascii="宋体" w:eastAsia="宋体"/>
          <w:sz w:val="32"/>
          <w:szCs w:val="32"/>
        </w:rPr>
        <w:t>收支</w:t>
      </w:r>
    </w:p>
    <w:p>
      <w:pPr>
        <w:pStyle w:val="13"/>
        <w:rPr>
          <w:b/>
          <w:sz w:val="32"/>
          <w:szCs w:val="32"/>
        </w:rPr>
      </w:pPr>
      <w:r>
        <w:rPr>
          <w:rFonts w:hint="eastAsia"/>
          <w:b/>
          <w:sz w:val="32"/>
          <w:szCs w:val="32"/>
        </w:rPr>
        <w:t>九、机关运行经费支出说明</w:t>
      </w:r>
    </w:p>
    <w:p>
      <w:pPr>
        <w:pStyle w:val="13"/>
        <w:ind w:firstLine="640" w:firstLineChars="200"/>
        <w:rPr>
          <w:rFonts w:ascii="宋体" w:eastAsia="宋体"/>
          <w:sz w:val="32"/>
          <w:szCs w:val="32"/>
        </w:rPr>
      </w:pPr>
      <w:r>
        <w:rPr>
          <w:rFonts w:hint="eastAsia" w:ascii="宋体" w:eastAsia="宋体"/>
          <w:sz w:val="32"/>
          <w:szCs w:val="32"/>
        </w:rPr>
        <w:t>本部门2021年度机关运行经费支出</w:t>
      </w:r>
      <w:r>
        <w:rPr>
          <w:rFonts w:ascii="宋体" w:eastAsia="宋体"/>
          <w:sz w:val="32"/>
          <w:szCs w:val="32"/>
        </w:rPr>
        <w:t>164.86</w:t>
      </w:r>
      <w:r>
        <w:rPr>
          <w:rFonts w:hint="eastAsia" w:ascii="宋体" w:eastAsia="宋体"/>
          <w:sz w:val="32"/>
          <w:szCs w:val="32"/>
        </w:rPr>
        <w:t>万元，比年初预算数增加</w:t>
      </w:r>
      <w:r>
        <w:rPr>
          <w:rFonts w:ascii="宋体" w:eastAsia="宋体"/>
          <w:sz w:val="32"/>
          <w:szCs w:val="32"/>
        </w:rPr>
        <w:t>4.86</w:t>
      </w:r>
      <w:r>
        <w:rPr>
          <w:rFonts w:hint="eastAsia" w:ascii="宋体" w:eastAsia="宋体"/>
          <w:sz w:val="32"/>
          <w:szCs w:val="32"/>
        </w:rPr>
        <w:t xml:space="preserve"> 万元，增长</w:t>
      </w:r>
      <w:r>
        <w:rPr>
          <w:rFonts w:ascii="宋体" w:eastAsia="宋体"/>
          <w:sz w:val="32"/>
          <w:szCs w:val="32"/>
        </w:rPr>
        <w:t>3.04</w:t>
      </w:r>
      <w:r>
        <w:rPr>
          <w:rFonts w:hint="eastAsia" w:ascii="宋体" w:eastAsia="宋体"/>
          <w:sz w:val="32"/>
          <w:szCs w:val="32"/>
        </w:rPr>
        <w:t>%。主要原因是：</w:t>
      </w:r>
      <w:r>
        <w:rPr>
          <w:rFonts w:hint="eastAsia" w:ascii="宋体" w:eastAsia="宋体"/>
          <w:kern w:val="2"/>
          <w:sz w:val="32"/>
          <w:szCs w:val="32"/>
          <w:lang w:val="en-US" w:eastAsia="zh-CN" w:bidi="ar-SA"/>
        </w:rPr>
        <w:t>增加防疫物资费</w:t>
      </w:r>
      <w:r>
        <w:rPr>
          <w:rFonts w:ascii="宋体" w:eastAsia="宋体"/>
          <w:sz w:val="32"/>
          <w:szCs w:val="32"/>
        </w:rPr>
        <w:t>。</w:t>
      </w:r>
    </w:p>
    <w:p>
      <w:pPr>
        <w:pStyle w:val="13"/>
        <w:rPr>
          <w:b/>
          <w:sz w:val="32"/>
          <w:szCs w:val="32"/>
        </w:rPr>
      </w:pPr>
      <w:r>
        <w:rPr>
          <w:rFonts w:hint="eastAsia"/>
          <w:b/>
          <w:sz w:val="32"/>
          <w:szCs w:val="32"/>
        </w:rPr>
        <w:t>十、一般性支出情况说明</w:t>
      </w:r>
    </w:p>
    <w:p>
      <w:pPr>
        <w:pStyle w:val="13"/>
        <w:pBdr>
          <w:top w:val="none" w:color="auto" w:sz="0" w:space="0"/>
          <w:left w:val="none" w:color="auto" w:sz="0" w:space="0"/>
          <w:bottom w:val="none" w:color="auto" w:sz="0" w:space="0"/>
          <w:right w:val="none" w:color="auto" w:sz="0" w:space="0"/>
        </w:pBdr>
        <w:wordWrap/>
        <w:autoSpaceDE w:val="0"/>
        <w:autoSpaceDN w:val="0"/>
        <w:ind w:firstLine="640" w:firstLineChars="200"/>
        <w:rPr>
          <w:rFonts w:ascii="宋体" w:eastAsia="宋体"/>
          <w:sz w:val="32"/>
          <w:szCs w:val="32"/>
        </w:rPr>
      </w:pPr>
      <w:r>
        <w:rPr>
          <w:rFonts w:hint="eastAsia" w:ascii="宋体" w:eastAsia="宋体"/>
          <w:sz w:val="32"/>
          <w:szCs w:val="32"/>
        </w:rPr>
        <w:t>2021年本部门开支会议费</w:t>
      </w:r>
      <w:r>
        <w:rPr>
          <w:rFonts w:ascii="宋体" w:eastAsia="宋体"/>
          <w:sz w:val="32"/>
          <w:szCs w:val="32"/>
        </w:rPr>
        <w:t>3</w:t>
      </w:r>
      <w:r>
        <w:rPr>
          <w:rFonts w:hint="eastAsia" w:ascii="宋体" w:eastAsia="宋体"/>
          <w:sz w:val="32"/>
          <w:szCs w:val="32"/>
        </w:rPr>
        <w:t>万元，用于召开</w:t>
      </w:r>
      <w:r>
        <w:rPr>
          <w:rFonts w:ascii="宋体" w:eastAsia="宋体"/>
          <w:sz w:val="32"/>
          <w:szCs w:val="32"/>
        </w:rPr>
        <w:t>办公</w:t>
      </w:r>
      <w:r>
        <w:rPr>
          <w:rFonts w:hint="eastAsia" w:ascii="宋体" w:eastAsia="宋体"/>
          <w:sz w:val="32"/>
          <w:szCs w:val="32"/>
        </w:rPr>
        <w:t>会议，人数</w:t>
      </w:r>
      <w:r>
        <w:rPr>
          <w:rFonts w:ascii="宋体" w:eastAsia="宋体"/>
          <w:sz w:val="32"/>
          <w:szCs w:val="32"/>
        </w:rPr>
        <w:t>189</w:t>
      </w:r>
      <w:r>
        <w:rPr>
          <w:rFonts w:hint="eastAsia" w:ascii="宋体" w:eastAsia="宋体"/>
          <w:sz w:val="32"/>
          <w:szCs w:val="32"/>
        </w:rPr>
        <w:t>人，内容为</w:t>
      </w:r>
      <w:r>
        <w:rPr>
          <w:rFonts w:ascii="宋体" w:eastAsia="宋体"/>
          <w:sz w:val="32"/>
          <w:szCs w:val="32"/>
        </w:rPr>
        <w:t>安全生产月会议费，禁毒宣传会议费，隐患清零会议费</w:t>
      </w:r>
      <w:r>
        <w:rPr>
          <w:rFonts w:hint="eastAsia" w:ascii="宋体" w:eastAsia="宋体"/>
          <w:sz w:val="32"/>
          <w:szCs w:val="32"/>
          <w:lang w:eastAsia="zh-CN"/>
        </w:rPr>
        <w:t>等相关会议</w:t>
      </w:r>
      <w:r>
        <w:rPr>
          <w:rFonts w:hint="eastAsia" w:ascii="宋体" w:eastAsia="宋体"/>
          <w:sz w:val="32"/>
          <w:szCs w:val="32"/>
        </w:rPr>
        <w:t>；；开支培训费</w:t>
      </w:r>
      <w:r>
        <w:rPr>
          <w:rFonts w:ascii="宋体" w:eastAsia="宋体"/>
          <w:sz w:val="32"/>
          <w:szCs w:val="32"/>
        </w:rPr>
        <w:t>5</w:t>
      </w:r>
      <w:r>
        <w:rPr>
          <w:rFonts w:hint="eastAsia" w:ascii="宋体" w:eastAsia="宋体"/>
          <w:sz w:val="32"/>
          <w:szCs w:val="32"/>
        </w:rPr>
        <w:t>万元，用于开展</w:t>
      </w:r>
      <w:r>
        <w:rPr>
          <w:rFonts w:ascii="宋体" w:eastAsia="宋体"/>
          <w:sz w:val="32"/>
          <w:szCs w:val="32"/>
        </w:rPr>
        <w:t>干部</w:t>
      </w:r>
      <w:r>
        <w:rPr>
          <w:rFonts w:hint="eastAsia" w:ascii="宋体" w:eastAsia="宋体"/>
          <w:sz w:val="32"/>
          <w:szCs w:val="32"/>
        </w:rPr>
        <w:t>培训，人数</w:t>
      </w:r>
      <w:r>
        <w:rPr>
          <w:rFonts w:ascii="宋体" w:eastAsia="宋体"/>
          <w:sz w:val="32"/>
          <w:szCs w:val="32"/>
        </w:rPr>
        <w:t>258</w:t>
      </w:r>
      <w:r>
        <w:rPr>
          <w:rFonts w:hint="eastAsia" w:ascii="宋体" w:eastAsia="宋体"/>
          <w:sz w:val="32"/>
          <w:szCs w:val="32"/>
        </w:rPr>
        <w:t>人，内容为</w:t>
      </w:r>
      <w:r>
        <w:rPr>
          <w:rFonts w:ascii="宋体" w:eastAsia="宋体"/>
          <w:sz w:val="32"/>
          <w:szCs w:val="32"/>
        </w:rPr>
        <w:t>客运驾驶员安全培训费，驾校、维修安全生产培训费等</w:t>
      </w:r>
      <w:r>
        <w:rPr>
          <w:rFonts w:hint="eastAsia" w:ascii="宋体" w:eastAsia="宋体"/>
          <w:sz w:val="32"/>
          <w:szCs w:val="32"/>
        </w:rPr>
        <w:t>；举办节庆、晚会、论坛、赛事活动，开支</w:t>
      </w:r>
      <w:r>
        <w:rPr>
          <w:rFonts w:ascii="宋体" w:eastAsia="宋体"/>
          <w:sz w:val="32"/>
          <w:szCs w:val="32"/>
        </w:rPr>
        <w:t>0</w:t>
      </w:r>
      <w:r>
        <w:rPr>
          <w:rFonts w:hint="eastAsia" w:ascii="宋体" w:eastAsia="宋体"/>
          <w:sz w:val="32"/>
          <w:szCs w:val="32"/>
        </w:rPr>
        <w:t>万元</w:t>
      </w:r>
      <w:r>
        <w:rPr>
          <w:rFonts w:ascii="宋体" w:eastAsia="宋体"/>
          <w:sz w:val="32"/>
          <w:szCs w:val="32"/>
        </w:rPr>
        <w:t>。</w:t>
      </w:r>
    </w:p>
    <w:p>
      <w:pPr>
        <w:pStyle w:val="13"/>
        <w:rPr>
          <w:b/>
          <w:sz w:val="32"/>
          <w:szCs w:val="32"/>
        </w:rPr>
      </w:pPr>
      <w:r>
        <w:rPr>
          <w:rFonts w:hint="eastAsia"/>
          <w:b/>
          <w:sz w:val="32"/>
          <w:szCs w:val="32"/>
        </w:rPr>
        <w:t>十一、政府采购支出说明</w:t>
      </w:r>
    </w:p>
    <w:p>
      <w:pPr>
        <w:pStyle w:val="13"/>
        <w:ind w:firstLine="640" w:firstLineChars="200"/>
        <w:rPr>
          <w:rFonts w:ascii="宋体" w:eastAsia="宋体"/>
          <w:sz w:val="32"/>
          <w:szCs w:val="32"/>
        </w:rPr>
      </w:pPr>
      <w:r>
        <w:rPr>
          <w:rFonts w:hint="eastAsia" w:ascii="宋体" w:eastAsia="宋体"/>
          <w:sz w:val="32"/>
          <w:szCs w:val="32"/>
        </w:rPr>
        <w:t>本部门2021年度政府采购支出总额</w:t>
      </w:r>
      <w:r>
        <w:rPr>
          <w:rFonts w:ascii="宋体" w:eastAsia="宋体"/>
          <w:sz w:val="32"/>
          <w:szCs w:val="32"/>
        </w:rPr>
        <w:t>0</w:t>
      </w:r>
      <w:r>
        <w:rPr>
          <w:rFonts w:hint="eastAsia" w:ascii="宋体" w:eastAsia="宋体"/>
          <w:sz w:val="32"/>
          <w:szCs w:val="32"/>
        </w:rPr>
        <w:t>万元，其中：政府采购货物支出</w:t>
      </w:r>
      <w:r>
        <w:rPr>
          <w:rFonts w:ascii="宋体" w:eastAsia="宋体"/>
          <w:sz w:val="32"/>
          <w:szCs w:val="32"/>
        </w:rPr>
        <w:t>0</w:t>
      </w:r>
      <w:r>
        <w:rPr>
          <w:rFonts w:hint="eastAsia" w:ascii="宋体" w:eastAsia="宋体"/>
          <w:sz w:val="32"/>
          <w:szCs w:val="32"/>
        </w:rPr>
        <w:t>万元、政府采购工程支出</w:t>
      </w:r>
      <w:r>
        <w:rPr>
          <w:rFonts w:ascii="宋体" w:eastAsia="宋体"/>
          <w:sz w:val="32"/>
          <w:szCs w:val="32"/>
        </w:rPr>
        <w:t>0</w:t>
      </w:r>
      <w:r>
        <w:rPr>
          <w:rFonts w:hint="eastAsia" w:ascii="宋体" w:eastAsia="宋体"/>
          <w:sz w:val="32"/>
          <w:szCs w:val="32"/>
        </w:rPr>
        <w:t>万元、政府采购服务支出</w:t>
      </w:r>
      <w:r>
        <w:rPr>
          <w:rFonts w:ascii="宋体" w:eastAsia="宋体"/>
          <w:sz w:val="32"/>
          <w:szCs w:val="32"/>
        </w:rPr>
        <w:t>0</w:t>
      </w:r>
      <w:r>
        <w:rPr>
          <w:rFonts w:hint="eastAsia" w:ascii="宋体" w:eastAsia="宋体"/>
          <w:sz w:val="32"/>
          <w:szCs w:val="32"/>
        </w:rPr>
        <w:t>万元。授予中小企业合同金额</w:t>
      </w:r>
      <w:r>
        <w:rPr>
          <w:rFonts w:ascii="宋体" w:eastAsia="宋体"/>
          <w:sz w:val="32"/>
          <w:szCs w:val="32"/>
        </w:rPr>
        <w:t>0</w:t>
      </w:r>
      <w:r>
        <w:rPr>
          <w:rFonts w:hint="eastAsia" w:ascii="宋体" w:eastAsia="宋体"/>
          <w:sz w:val="32"/>
          <w:szCs w:val="32"/>
        </w:rPr>
        <w:t>万元，占政府采购支出总额的</w:t>
      </w:r>
      <w:r>
        <w:rPr>
          <w:rFonts w:ascii="宋体" w:eastAsia="宋体"/>
          <w:sz w:val="32"/>
          <w:szCs w:val="32"/>
        </w:rPr>
        <w:t>0</w:t>
      </w:r>
      <w:r>
        <w:rPr>
          <w:rFonts w:hint="eastAsia" w:ascii="宋体" w:eastAsia="宋体"/>
          <w:sz w:val="32"/>
          <w:szCs w:val="32"/>
        </w:rPr>
        <w:t>%，其中：授予小微企业合同金额</w:t>
      </w:r>
      <w:r>
        <w:rPr>
          <w:rFonts w:ascii="宋体" w:eastAsia="宋体"/>
          <w:sz w:val="32"/>
          <w:szCs w:val="32"/>
        </w:rPr>
        <w:t>0</w:t>
      </w:r>
      <w:r>
        <w:rPr>
          <w:rFonts w:hint="eastAsia" w:ascii="宋体" w:eastAsia="宋体"/>
          <w:sz w:val="32"/>
          <w:szCs w:val="32"/>
        </w:rPr>
        <w:t>万元，占授予中小企业合同金额的</w:t>
      </w:r>
      <w:r>
        <w:rPr>
          <w:rFonts w:ascii="宋体" w:eastAsia="宋体"/>
          <w:sz w:val="32"/>
          <w:szCs w:val="32"/>
        </w:rPr>
        <w:t>0</w:t>
      </w:r>
      <w:r>
        <w:rPr>
          <w:rFonts w:hint="eastAsia" w:ascii="宋体" w:eastAsia="宋体"/>
          <w:sz w:val="32"/>
          <w:szCs w:val="32"/>
        </w:rPr>
        <w:t>%；货物采购授予中小企业合同金额占货物支出金额的</w:t>
      </w:r>
      <w:r>
        <w:rPr>
          <w:rFonts w:ascii="宋体" w:eastAsia="宋体"/>
          <w:sz w:val="32"/>
          <w:szCs w:val="32"/>
        </w:rPr>
        <w:t>0</w:t>
      </w:r>
      <w:r>
        <w:rPr>
          <w:rFonts w:hint="eastAsia" w:ascii="宋体" w:eastAsia="宋体"/>
          <w:sz w:val="32"/>
          <w:szCs w:val="32"/>
        </w:rPr>
        <w:t>%，工程采购授予中小企业合同金额占工程支出金额的</w:t>
      </w:r>
      <w:r>
        <w:rPr>
          <w:rFonts w:ascii="宋体" w:eastAsia="宋体"/>
          <w:sz w:val="32"/>
          <w:szCs w:val="32"/>
        </w:rPr>
        <w:t>0</w:t>
      </w:r>
      <w:r>
        <w:rPr>
          <w:rFonts w:hint="eastAsia" w:ascii="宋体" w:eastAsia="宋体"/>
          <w:sz w:val="32"/>
          <w:szCs w:val="32"/>
        </w:rPr>
        <w:t>%，服务采购授予中小企业合同金额占服务支出金额的</w:t>
      </w:r>
      <w:r>
        <w:rPr>
          <w:rFonts w:ascii="宋体" w:eastAsia="宋体"/>
          <w:sz w:val="32"/>
          <w:szCs w:val="32"/>
        </w:rPr>
        <w:t>0</w:t>
      </w:r>
      <w:r>
        <w:rPr>
          <w:rFonts w:hint="eastAsia" w:ascii="宋体" w:eastAsia="宋体"/>
          <w:sz w:val="32"/>
          <w:szCs w:val="32"/>
        </w:rPr>
        <w:t>%。</w:t>
      </w:r>
    </w:p>
    <w:p>
      <w:pPr>
        <w:pStyle w:val="13"/>
        <w:rPr>
          <w:b/>
          <w:sz w:val="32"/>
          <w:szCs w:val="32"/>
        </w:rPr>
      </w:pPr>
      <w:r>
        <w:rPr>
          <w:rFonts w:hint="eastAsia"/>
          <w:b/>
          <w:sz w:val="32"/>
          <w:szCs w:val="32"/>
        </w:rPr>
        <w:t>十二、国有资产占用情况说明</w:t>
      </w:r>
    </w:p>
    <w:p>
      <w:pPr>
        <w:pStyle w:val="13"/>
        <w:ind w:firstLine="640" w:firstLineChars="200"/>
        <w:rPr>
          <w:rFonts w:ascii="宋体" w:eastAsia="宋体"/>
          <w:sz w:val="32"/>
          <w:szCs w:val="32"/>
        </w:rPr>
      </w:pPr>
      <w:r>
        <w:rPr>
          <w:rFonts w:hint="eastAsia" w:ascii="宋体" w:eastAsia="宋体"/>
          <w:sz w:val="32"/>
          <w:szCs w:val="32"/>
        </w:rPr>
        <w:t>截至2021年12月31日，部门（单位）共有车辆</w:t>
      </w:r>
      <w:r>
        <w:rPr>
          <w:rFonts w:ascii="宋体" w:eastAsia="宋体"/>
          <w:sz w:val="32"/>
          <w:szCs w:val="32"/>
        </w:rPr>
        <w:t>1</w:t>
      </w:r>
      <w:r>
        <w:rPr>
          <w:rFonts w:hint="eastAsia" w:ascii="宋体" w:eastAsia="宋体"/>
          <w:sz w:val="32"/>
          <w:szCs w:val="32"/>
        </w:rPr>
        <w:t>辆，其中，主要领导干部用车</w:t>
      </w:r>
      <w:r>
        <w:rPr>
          <w:rFonts w:ascii="宋体" w:eastAsia="宋体"/>
          <w:sz w:val="32"/>
          <w:szCs w:val="32"/>
        </w:rPr>
        <w:t>0</w:t>
      </w:r>
      <w:r>
        <w:rPr>
          <w:rFonts w:hint="eastAsia" w:ascii="宋体" w:eastAsia="宋体"/>
          <w:sz w:val="32"/>
          <w:szCs w:val="32"/>
        </w:rPr>
        <w:t>辆，机要通信用车</w:t>
      </w:r>
      <w:r>
        <w:rPr>
          <w:rFonts w:ascii="宋体" w:eastAsia="宋体"/>
          <w:sz w:val="32"/>
          <w:szCs w:val="32"/>
        </w:rPr>
        <w:t>0</w:t>
      </w:r>
      <w:r>
        <w:rPr>
          <w:rFonts w:hint="eastAsia" w:ascii="宋体" w:eastAsia="宋体"/>
          <w:sz w:val="32"/>
          <w:szCs w:val="32"/>
        </w:rPr>
        <w:t>辆、应急保障用车</w:t>
      </w:r>
      <w:r>
        <w:rPr>
          <w:rFonts w:ascii="宋体" w:eastAsia="宋体"/>
          <w:sz w:val="32"/>
          <w:szCs w:val="32"/>
        </w:rPr>
        <w:t>0</w:t>
      </w:r>
      <w:r>
        <w:rPr>
          <w:rFonts w:hint="eastAsia" w:ascii="宋体" w:eastAsia="宋体"/>
          <w:sz w:val="32"/>
          <w:szCs w:val="32"/>
        </w:rPr>
        <w:t>辆、执法执勤用车</w:t>
      </w:r>
      <w:r>
        <w:rPr>
          <w:rFonts w:ascii="宋体" w:eastAsia="宋体"/>
          <w:sz w:val="32"/>
          <w:szCs w:val="32"/>
        </w:rPr>
        <w:t>0</w:t>
      </w:r>
      <w:r>
        <w:rPr>
          <w:rFonts w:hint="eastAsia" w:ascii="宋体" w:eastAsia="宋体"/>
          <w:sz w:val="32"/>
          <w:szCs w:val="32"/>
        </w:rPr>
        <w:t>辆、特种专业技术用车</w:t>
      </w:r>
      <w:r>
        <w:rPr>
          <w:rFonts w:ascii="宋体" w:eastAsia="宋体"/>
          <w:sz w:val="32"/>
          <w:szCs w:val="32"/>
        </w:rPr>
        <w:t>0</w:t>
      </w:r>
      <w:r>
        <w:rPr>
          <w:rFonts w:hint="eastAsia" w:ascii="宋体" w:eastAsia="宋体"/>
          <w:sz w:val="32"/>
          <w:szCs w:val="32"/>
        </w:rPr>
        <w:t>辆、其他用车</w:t>
      </w:r>
      <w:r>
        <w:rPr>
          <w:rFonts w:ascii="宋体" w:eastAsia="宋体"/>
          <w:sz w:val="32"/>
          <w:szCs w:val="32"/>
        </w:rPr>
        <w:t>1</w:t>
      </w:r>
      <w:r>
        <w:rPr>
          <w:rFonts w:hint="eastAsia" w:ascii="宋体" w:eastAsia="宋体"/>
          <w:sz w:val="32"/>
          <w:szCs w:val="32"/>
        </w:rPr>
        <w:t>辆，其他用车主要是</w:t>
      </w:r>
      <w:r>
        <w:rPr>
          <w:rFonts w:ascii="宋体" w:eastAsia="宋体"/>
          <w:sz w:val="32"/>
          <w:szCs w:val="32"/>
        </w:rPr>
        <w:t>安全巡查公务用车</w:t>
      </w:r>
      <w:r>
        <w:rPr>
          <w:rFonts w:hint="eastAsia" w:ascii="宋体" w:eastAsia="宋体"/>
          <w:sz w:val="32"/>
          <w:szCs w:val="32"/>
        </w:rPr>
        <w:t>；单位价值50万元以上通用设备</w:t>
      </w:r>
      <w:r>
        <w:rPr>
          <w:rFonts w:ascii="宋体" w:eastAsia="宋体"/>
          <w:sz w:val="32"/>
          <w:szCs w:val="32"/>
        </w:rPr>
        <w:t>0</w:t>
      </w:r>
      <w:r>
        <w:rPr>
          <w:rFonts w:hint="eastAsia" w:ascii="宋体" w:eastAsia="宋体"/>
          <w:sz w:val="32"/>
          <w:szCs w:val="32"/>
        </w:rPr>
        <w:t>台（套）；单位价值100万元以上专用设备</w:t>
      </w:r>
      <w:r>
        <w:rPr>
          <w:rFonts w:ascii="宋体" w:eastAsia="宋体"/>
          <w:sz w:val="32"/>
          <w:szCs w:val="32"/>
        </w:rPr>
        <w:t>0</w:t>
      </w:r>
      <w:r>
        <w:rPr>
          <w:rFonts w:hint="eastAsia" w:ascii="宋体" w:eastAsia="宋体"/>
          <w:sz w:val="32"/>
          <w:szCs w:val="32"/>
        </w:rPr>
        <w:t>台（套）。</w:t>
      </w:r>
    </w:p>
    <w:p>
      <w:pPr>
        <w:pStyle w:val="13"/>
        <w:rPr>
          <w:b/>
          <w:sz w:val="32"/>
          <w:szCs w:val="32"/>
        </w:rPr>
      </w:pPr>
      <w:r>
        <w:rPr>
          <w:rFonts w:hint="eastAsia"/>
          <w:b/>
          <w:sz w:val="32"/>
          <w:szCs w:val="32"/>
        </w:rPr>
        <w:t>十三、2021年度预算绩效情况说明</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b/>
          <w:color w:val="000000"/>
          <w:kern w:val="0"/>
          <w:sz w:val="32"/>
          <w:szCs w:val="32"/>
        </w:rPr>
        <w:t>（1）绩效管理评价工作开展情况</w:t>
      </w:r>
      <w:r>
        <w:rPr>
          <w:rFonts w:hint="eastAsia" w:asci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根据预算绩效管理要求，我部门组织对</w:t>
      </w:r>
      <w:r>
        <w:rPr>
          <w:rFonts w:ascii="宋体" w:cs="黑体"/>
          <w:color w:val="000000"/>
          <w:kern w:val="0"/>
          <w:sz w:val="32"/>
          <w:szCs w:val="32"/>
        </w:rPr>
        <w:t>2021</w:t>
      </w:r>
      <w:r>
        <w:rPr>
          <w:rFonts w:hint="eastAsia" w:ascii="宋体" w:cs="黑体"/>
          <w:color w:val="000000"/>
          <w:kern w:val="0"/>
          <w:sz w:val="32"/>
          <w:szCs w:val="32"/>
        </w:rPr>
        <w:t>年度一般公共预算项目支出全面开展绩效自评，其中，一级项目</w:t>
      </w:r>
      <w:r>
        <w:rPr>
          <w:rFonts w:ascii="宋体" w:cs="黑体"/>
          <w:color w:val="000000"/>
          <w:kern w:val="0"/>
          <w:sz w:val="32"/>
          <w:szCs w:val="32"/>
        </w:rPr>
        <w:t>0</w:t>
      </w:r>
      <w:r>
        <w:rPr>
          <w:rFonts w:hint="eastAsia" w:ascii="宋体" w:cs="黑体"/>
          <w:color w:val="000000"/>
          <w:kern w:val="0"/>
          <w:sz w:val="32"/>
          <w:szCs w:val="32"/>
        </w:rPr>
        <w:t>个，二级项目</w:t>
      </w:r>
      <w:r>
        <w:rPr>
          <w:rFonts w:ascii="宋体" w:cs="黑体"/>
          <w:color w:val="000000"/>
          <w:kern w:val="0"/>
          <w:sz w:val="32"/>
          <w:szCs w:val="32"/>
        </w:rPr>
        <w:t>2</w:t>
      </w:r>
      <w:r>
        <w:rPr>
          <w:rFonts w:hint="eastAsia" w:ascii="宋体" w:cs="黑体"/>
          <w:color w:val="000000"/>
          <w:kern w:val="0"/>
          <w:sz w:val="32"/>
          <w:szCs w:val="32"/>
        </w:rPr>
        <w:t>个，共涉及资金</w:t>
      </w:r>
      <w:r>
        <w:rPr>
          <w:rFonts w:ascii="宋体" w:cs="黑体"/>
          <w:color w:val="000000"/>
          <w:kern w:val="0"/>
          <w:sz w:val="32"/>
          <w:szCs w:val="32"/>
        </w:rPr>
        <w:t>30</w:t>
      </w:r>
      <w:r>
        <w:rPr>
          <w:rFonts w:hint="eastAsia" w:ascii="宋体" w:cs="黑体"/>
          <w:color w:val="000000"/>
          <w:kern w:val="0"/>
          <w:sz w:val="32"/>
          <w:szCs w:val="32"/>
        </w:rPr>
        <w:t>万元，占一般公共预算项目支出总额的</w:t>
      </w:r>
      <w:r>
        <w:rPr>
          <w:rFonts w:ascii="宋体" w:cs="黑体"/>
          <w:color w:val="000000"/>
          <w:kern w:val="0"/>
          <w:sz w:val="32"/>
          <w:szCs w:val="32"/>
        </w:rPr>
        <w:t>4.39%</w:t>
      </w:r>
      <w:r>
        <w:rPr>
          <w:rFonts w:hint="eastAsia" w:ascii="宋体" w:cs="黑体"/>
          <w:color w:val="000000"/>
          <w:kern w:val="0"/>
          <w:sz w:val="32"/>
          <w:szCs w:val="32"/>
        </w:rPr>
        <w:t>。组织对</w:t>
      </w:r>
      <w:r>
        <w:rPr>
          <w:rFonts w:ascii="宋体" w:cs="黑体"/>
          <w:color w:val="000000"/>
          <w:kern w:val="0"/>
          <w:sz w:val="32"/>
          <w:szCs w:val="32"/>
        </w:rPr>
        <w:t>2021</w:t>
      </w:r>
      <w:r>
        <w:rPr>
          <w:rFonts w:hint="eastAsia" w:ascii="宋体" w:cs="黑体"/>
          <w:color w:val="000000"/>
          <w:kern w:val="0"/>
          <w:sz w:val="32"/>
          <w:szCs w:val="32"/>
        </w:rPr>
        <w:t>年度政府性基金预算项目支出开展绩效自评，共涉及资金</w:t>
      </w:r>
      <w:r>
        <w:rPr>
          <w:rFonts w:ascii="宋体" w:cs="黑体"/>
          <w:color w:val="000000"/>
          <w:kern w:val="0"/>
          <w:sz w:val="32"/>
          <w:szCs w:val="32"/>
        </w:rPr>
        <w:t>0</w:t>
      </w:r>
      <w:r>
        <w:rPr>
          <w:rFonts w:hint="eastAsia" w:ascii="宋体" w:cs="黑体"/>
          <w:color w:val="000000"/>
          <w:kern w:val="0"/>
          <w:sz w:val="32"/>
          <w:szCs w:val="32"/>
        </w:rPr>
        <w:t>万元，占政府性基金预算项目支出总额的</w:t>
      </w:r>
      <w:r>
        <w:rPr>
          <w:rFonts w:ascii="宋体" w:cs="黑体"/>
          <w:color w:val="000000"/>
          <w:kern w:val="0"/>
          <w:sz w:val="32"/>
          <w:szCs w:val="32"/>
        </w:rPr>
        <w:t>0%</w:t>
      </w:r>
      <w:r>
        <w:rPr>
          <w:rFonts w:hint="eastAsia" w:ascii="宋体" w:cs="黑体"/>
          <w:color w:val="000000"/>
          <w:kern w:val="0"/>
          <w:sz w:val="32"/>
          <w:szCs w:val="32"/>
        </w:rPr>
        <w:t>。组织对</w:t>
      </w:r>
      <w:r>
        <w:rPr>
          <w:rFonts w:ascii="宋体" w:cs="黑体"/>
          <w:color w:val="000000"/>
          <w:kern w:val="0"/>
          <w:sz w:val="32"/>
          <w:szCs w:val="32"/>
        </w:rPr>
        <w:t>2021</w:t>
      </w:r>
      <w:r>
        <w:rPr>
          <w:rFonts w:hint="eastAsia" w:ascii="宋体" w:cs="黑体"/>
          <w:color w:val="000000"/>
          <w:kern w:val="0"/>
          <w:sz w:val="32"/>
          <w:szCs w:val="32"/>
        </w:rPr>
        <w:t>年度国有资本经营预算项目支出开展绩效自评，共涉及资金</w:t>
      </w:r>
      <w:r>
        <w:rPr>
          <w:rFonts w:ascii="宋体" w:cs="黑体"/>
          <w:color w:val="000000"/>
          <w:kern w:val="0"/>
          <w:sz w:val="32"/>
          <w:szCs w:val="32"/>
        </w:rPr>
        <w:t>0</w:t>
      </w:r>
      <w:r>
        <w:rPr>
          <w:rFonts w:hint="eastAsia" w:ascii="宋体" w:cs="黑体"/>
          <w:color w:val="000000"/>
          <w:kern w:val="0"/>
          <w:sz w:val="32"/>
          <w:szCs w:val="32"/>
        </w:rPr>
        <w:t>万元，占国有资本经营预算项目支出总额的</w:t>
      </w:r>
      <w:r>
        <w:rPr>
          <w:rFonts w:ascii="宋体" w:cs="黑体"/>
          <w:color w:val="000000"/>
          <w:kern w:val="0"/>
          <w:sz w:val="32"/>
          <w:szCs w:val="32"/>
        </w:rPr>
        <w:t>0%</w:t>
      </w:r>
      <w:r>
        <w:rPr>
          <w:rFonts w:hint="eastAsia" w:asci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组织对“</w:t>
      </w:r>
      <w:r>
        <w:rPr>
          <w:rFonts w:ascii="宋体" w:cs="黑体"/>
          <w:color w:val="000000"/>
          <w:kern w:val="0"/>
          <w:sz w:val="32"/>
          <w:szCs w:val="32"/>
        </w:rPr>
        <w:t>春运经费</w:t>
      </w:r>
      <w:r>
        <w:rPr>
          <w:rFonts w:hint="eastAsia" w:ascii="宋体" w:cs="黑体"/>
          <w:color w:val="000000"/>
          <w:kern w:val="0"/>
          <w:sz w:val="32"/>
          <w:szCs w:val="32"/>
        </w:rPr>
        <w:t>”“</w:t>
      </w:r>
      <w:r>
        <w:rPr>
          <w:rFonts w:ascii="宋体" w:cs="黑体"/>
          <w:color w:val="000000"/>
          <w:kern w:val="0"/>
          <w:sz w:val="32"/>
          <w:szCs w:val="32"/>
        </w:rPr>
        <w:t>道路运输经营许可证工本费</w:t>
      </w:r>
      <w:r>
        <w:rPr>
          <w:rFonts w:hint="eastAsia" w:ascii="宋体" w:cs="黑体"/>
          <w:color w:val="000000"/>
          <w:kern w:val="0"/>
          <w:sz w:val="32"/>
          <w:szCs w:val="32"/>
        </w:rPr>
        <w:t>”等</w:t>
      </w:r>
      <w:r>
        <w:rPr>
          <w:rFonts w:ascii="宋体" w:cs="黑体"/>
          <w:color w:val="000000"/>
          <w:kern w:val="0"/>
          <w:sz w:val="32"/>
          <w:szCs w:val="32"/>
        </w:rPr>
        <w:t>2</w:t>
      </w:r>
      <w:r>
        <w:rPr>
          <w:rFonts w:hint="eastAsia" w:ascii="宋体" w:cs="黑体"/>
          <w:color w:val="000000"/>
          <w:kern w:val="0"/>
          <w:sz w:val="32"/>
          <w:szCs w:val="32"/>
        </w:rPr>
        <w:t>个项目开展了部门评价，涉及一般公共预算支出</w:t>
      </w:r>
      <w:r>
        <w:rPr>
          <w:rFonts w:ascii="宋体" w:cs="黑体"/>
          <w:color w:val="000000"/>
          <w:kern w:val="0"/>
          <w:sz w:val="32"/>
          <w:szCs w:val="32"/>
        </w:rPr>
        <w:t>30</w:t>
      </w:r>
      <w:r>
        <w:rPr>
          <w:rFonts w:hint="eastAsia" w:ascii="宋体" w:cs="黑体"/>
          <w:color w:val="000000"/>
          <w:kern w:val="0"/>
          <w:sz w:val="32"/>
          <w:szCs w:val="32"/>
        </w:rPr>
        <w:t>万元，政府性基金预算支出</w:t>
      </w:r>
      <w:r>
        <w:rPr>
          <w:rFonts w:ascii="宋体" w:cs="黑体"/>
          <w:color w:val="000000"/>
          <w:kern w:val="0"/>
          <w:sz w:val="32"/>
          <w:szCs w:val="32"/>
        </w:rPr>
        <w:t>0</w:t>
      </w:r>
      <w:r>
        <w:rPr>
          <w:rFonts w:hint="eastAsia" w:ascii="宋体" w:cs="黑体"/>
          <w:color w:val="000000"/>
          <w:kern w:val="0"/>
          <w:sz w:val="32"/>
          <w:szCs w:val="32"/>
        </w:rPr>
        <w:t>万元，国有资本经营预算支出</w:t>
      </w:r>
      <w:r>
        <w:rPr>
          <w:rFonts w:ascii="宋体" w:cs="黑体"/>
          <w:color w:val="000000"/>
          <w:kern w:val="0"/>
          <w:sz w:val="32"/>
          <w:szCs w:val="32"/>
        </w:rPr>
        <w:t>0</w:t>
      </w:r>
      <w:r>
        <w:rPr>
          <w:rFonts w:hint="eastAsia" w:ascii="宋体" w:cs="黑体"/>
          <w:color w:val="000000"/>
          <w:kern w:val="0"/>
          <w:sz w:val="32"/>
          <w:szCs w:val="32"/>
        </w:rPr>
        <w:t>万元。从评价情况来看，</w:t>
      </w:r>
      <w:r>
        <w:rPr>
          <w:rFonts w:ascii="宋体" w:cs="黑体"/>
          <w:color w:val="000000"/>
          <w:kern w:val="0"/>
          <w:sz w:val="32"/>
          <w:szCs w:val="32"/>
        </w:rPr>
        <w:t>能够较好地完成项目目标</w:t>
      </w:r>
    </w:p>
    <w:p>
      <w:pPr>
        <w:autoSpaceDE w:val="0"/>
        <w:autoSpaceDN w:val="0"/>
        <w:adjustRightInd w:val="0"/>
        <w:ind w:firstLine="640" w:firstLineChars="200"/>
        <w:jc w:val="left"/>
        <w:rPr>
          <w:rFonts w:ascii="宋体" w:cs="黑体"/>
          <w:b/>
          <w:color w:val="000000"/>
          <w:kern w:val="0"/>
          <w:sz w:val="32"/>
          <w:szCs w:val="32"/>
        </w:rPr>
      </w:pPr>
      <w:r>
        <w:rPr>
          <w:rFonts w:hint="eastAsia" w:ascii="宋体" w:cs="黑体"/>
          <w:b/>
          <w:color w:val="000000"/>
          <w:kern w:val="0"/>
          <w:sz w:val="32"/>
          <w:szCs w:val="32"/>
        </w:rPr>
        <w:t>（2）部门决算中项目绩效自评结果。</w:t>
      </w:r>
    </w:p>
    <w:p>
      <w:pPr>
        <w:autoSpaceDE w:val="0"/>
        <w:autoSpaceDN w:val="0"/>
        <w:adjustRightInd w:val="0"/>
        <w:ind w:firstLine="640" w:firstLineChars="200"/>
        <w:jc w:val="left"/>
        <w:rPr>
          <w:rFonts w:ascii="宋体" w:cs="黑体"/>
          <w:color w:val="000000"/>
          <w:kern w:val="0"/>
          <w:sz w:val="32"/>
          <w:szCs w:val="32"/>
        </w:rPr>
      </w:pPr>
      <w:r>
        <w:rPr>
          <w:rFonts w:ascii="宋体" w:cs="黑体"/>
          <w:color w:val="000000"/>
          <w:kern w:val="0"/>
          <w:sz w:val="32"/>
          <w:szCs w:val="32"/>
        </w:rPr>
        <w:t>春运经费</w:t>
      </w:r>
      <w:r>
        <w:rPr>
          <w:rFonts w:hint="eastAsia" w:ascii="宋体" w:cs="黑体"/>
          <w:color w:val="000000"/>
          <w:kern w:val="0"/>
          <w:sz w:val="32"/>
          <w:szCs w:val="32"/>
        </w:rPr>
        <w:t>项目绩效自评综述：根据年初设定的绩效目标，项目绩效自评得分为</w:t>
      </w:r>
      <w:r>
        <w:rPr>
          <w:rFonts w:ascii="宋体" w:cs="黑体"/>
          <w:color w:val="000000"/>
          <w:kern w:val="0"/>
          <w:sz w:val="32"/>
          <w:szCs w:val="32"/>
        </w:rPr>
        <w:t>90</w:t>
      </w:r>
      <w:r>
        <w:rPr>
          <w:rFonts w:hint="eastAsia" w:ascii="宋体" w:cs="黑体"/>
          <w:color w:val="000000"/>
          <w:kern w:val="0"/>
          <w:sz w:val="32"/>
          <w:szCs w:val="32"/>
        </w:rPr>
        <w:t>分。项目全年预算数为</w:t>
      </w:r>
      <w:r>
        <w:rPr>
          <w:rFonts w:ascii="宋体" w:cs="黑体"/>
          <w:color w:val="000000"/>
          <w:kern w:val="0"/>
          <w:sz w:val="32"/>
          <w:szCs w:val="32"/>
        </w:rPr>
        <w:t>20</w:t>
      </w:r>
      <w:r>
        <w:rPr>
          <w:rFonts w:hint="eastAsia" w:ascii="宋体" w:cs="黑体"/>
          <w:color w:val="000000"/>
          <w:kern w:val="0"/>
          <w:sz w:val="32"/>
          <w:szCs w:val="32"/>
        </w:rPr>
        <w:t>万元，执行数为</w:t>
      </w:r>
      <w:r>
        <w:rPr>
          <w:rFonts w:ascii="宋体" w:cs="黑体"/>
          <w:color w:val="000000"/>
          <w:kern w:val="0"/>
          <w:sz w:val="32"/>
          <w:szCs w:val="32"/>
        </w:rPr>
        <w:t>20</w:t>
      </w:r>
      <w:r>
        <w:rPr>
          <w:rFonts w:hint="eastAsia" w:ascii="宋体" w:cs="黑体"/>
          <w:color w:val="000000"/>
          <w:kern w:val="0"/>
          <w:sz w:val="32"/>
          <w:szCs w:val="32"/>
        </w:rPr>
        <w:t>万元，完成预算的</w:t>
      </w:r>
      <w:r>
        <w:rPr>
          <w:rFonts w:ascii="宋体" w:cs="黑体"/>
          <w:color w:val="000000"/>
          <w:kern w:val="0"/>
          <w:sz w:val="32"/>
          <w:szCs w:val="32"/>
        </w:rPr>
        <w:t>100%</w:t>
      </w:r>
      <w:r>
        <w:rPr>
          <w:rFonts w:hint="eastAsia" w:ascii="宋体" w:cs="黑体"/>
          <w:color w:val="000000"/>
          <w:kern w:val="0"/>
          <w:sz w:val="32"/>
          <w:szCs w:val="32"/>
        </w:rPr>
        <w:t>。项目绩效目标完成情况：一是</w:t>
      </w:r>
      <w:r>
        <w:rPr>
          <w:rFonts w:ascii="宋体" w:cs="黑体"/>
          <w:color w:val="000000"/>
          <w:kern w:val="0"/>
          <w:sz w:val="32"/>
          <w:szCs w:val="32"/>
        </w:rPr>
        <w:t>群众办事方便、减少群众负担</w:t>
      </w:r>
      <w:r>
        <w:rPr>
          <w:rFonts w:hint="eastAsia" w:ascii="宋体" w:cs="黑体"/>
          <w:color w:val="000000"/>
          <w:kern w:val="0"/>
          <w:sz w:val="32"/>
          <w:szCs w:val="32"/>
        </w:rPr>
        <w:t>；二是</w:t>
      </w:r>
      <w:r>
        <w:rPr>
          <w:rFonts w:ascii="宋体" w:cs="黑体"/>
          <w:color w:val="000000"/>
          <w:kern w:val="0"/>
          <w:sz w:val="32"/>
          <w:szCs w:val="32"/>
        </w:rPr>
        <w:t>疫情防控、应急处置、志愿者活动、春运表彰及春运工作日常运转</w:t>
      </w:r>
      <w:r>
        <w:rPr>
          <w:rFonts w:hint="eastAsia" w:ascii="宋体" w:cs="黑体"/>
          <w:color w:val="000000"/>
          <w:kern w:val="0"/>
          <w:sz w:val="32"/>
          <w:szCs w:val="32"/>
        </w:rPr>
        <w:t>。发现的主要问题及原因：一是</w:t>
      </w:r>
      <w:r>
        <w:rPr>
          <w:rFonts w:ascii="宋体" w:cs="黑体"/>
          <w:color w:val="000000"/>
          <w:kern w:val="0"/>
          <w:sz w:val="32"/>
          <w:szCs w:val="32"/>
        </w:rPr>
        <w:t>经费拨付不及时</w:t>
      </w:r>
      <w:r>
        <w:rPr>
          <w:rFonts w:hint="eastAsia" w:ascii="宋体" w:cs="黑体"/>
          <w:color w:val="000000"/>
          <w:kern w:val="0"/>
          <w:sz w:val="32"/>
          <w:szCs w:val="32"/>
        </w:rPr>
        <w:t>；二</w:t>
      </w:r>
      <w:r>
        <w:rPr>
          <w:rFonts w:ascii="宋体" w:cs="黑体"/>
          <w:color w:val="000000"/>
          <w:kern w:val="0"/>
          <w:sz w:val="32"/>
          <w:szCs w:val="32"/>
        </w:rPr>
        <w:t>经费紧张</w:t>
      </w:r>
      <w:r>
        <w:rPr>
          <w:rFonts w:hint="eastAsia" w:ascii="宋体" w:cs="黑体"/>
          <w:color w:val="000000"/>
          <w:kern w:val="0"/>
          <w:sz w:val="32"/>
          <w:szCs w:val="32"/>
        </w:rPr>
        <w:t>。下一步改进措施：一是</w:t>
      </w:r>
      <w:r>
        <w:rPr>
          <w:rFonts w:hint="eastAsia" w:ascii="宋体" w:cs="黑体"/>
          <w:color w:val="000000"/>
          <w:sz w:val="32"/>
          <w:szCs w:val="32"/>
        </w:rPr>
        <w:t>加强财务</w:t>
      </w:r>
      <w:r>
        <w:rPr>
          <w:rFonts w:hint="eastAsia" w:ascii="宋体" w:cs="黑体"/>
          <w:color w:val="000000"/>
          <w:kern w:val="0"/>
          <w:sz w:val="32"/>
          <w:szCs w:val="32"/>
        </w:rPr>
        <w:t>管理力度，提高财务人员业务水平，严格按财政规定使用资金；二是严格执行财政国库统一管理政策，把控财政资金纳入单位预算。</w:t>
      </w:r>
    </w:p>
    <w:p>
      <w:pPr>
        <w:autoSpaceDE w:val="0"/>
        <w:autoSpaceDN w:val="0"/>
        <w:adjustRightInd w:val="0"/>
        <w:ind w:firstLine="640" w:firstLineChars="200"/>
        <w:jc w:val="left"/>
        <w:rPr>
          <w:rFonts w:ascii="宋体" w:cs="黑体"/>
          <w:color w:val="000000"/>
          <w:kern w:val="0"/>
          <w:sz w:val="32"/>
          <w:szCs w:val="32"/>
        </w:rPr>
      </w:pPr>
      <w:r>
        <w:rPr>
          <w:rFonts w:ascii="宋体" w:cs="黑体"/>
          <w:color w:val="000000"/>
          <w:kern w:val="0"/>
          <w:sz w:val="32"/>
          <w:szCs w:val="32"/>
        </w:rPr>
        <w:t>道路运输经营许可证工本费</w:t>
      </w:r>
      <w:r>
        <w:rPr>
          <w:rFonts w:hint="eastAsia" w:ascii="宋体" w:cs="黑体"/>
          <w:color w:val="000000"/>
          <w:kern w:val="0"/>
          <w:sz w:val="32"/>
          <w:szCs w:val="32"/>
        </w:rPr>
        <w:t>项目绩效自评综述：根据年初设定的绩效目标，项目绩效自评得分为</w:t>
      </w:r>
      <w:r>
        <w:rPr>
          <w:rFonts w:ascii="宋体" w:cs="黑体"/>
          <w:color w:val="000000"/>
          <w:kern w:val="0"/>
          <w:sz w:val="32"/>
          <w:szCs w:val="32"/>
        </w:rPr>
        <w:t>92</w:t>
      </w:r>
      <w:r>
        <w:rPr>
          <w:rFonts w:hint="eastAsia" w:ascii="宋体" w:cs="黑体"/>
          <w:color w:val="000000"/>
          <w:kern w:val="0"/>
          <w:sz w:val="32"/>
          <w:szCs w:val="32"/>
        </w:rPr>
        <w:t>分。项目全年预算数为</w:t>
      </w:r>
      <w:r>
        <w:rPr>
          <w:rFonts w:ascii="宋体" w:cs="黑体"/>
          <w:color w:val="000000"/>
          <w:kern w:val="0"/>
          <w:sz w:val="32"/>
          <w:szCs w:val="32"/>
        </w:rPr>
        <w:t>10</w:t>
      </w:r>
      <w:r>
        <w:rPr>
          <w:rFonts w:hint="eastAsia" w:ascii="宋体" w:cs="黑体"/>
          <w:color w:val="000000"/>
          <w:kern w:val="0"/>
          <w:sz w:val="32"/>
          <w:szCs w:val="32"/>
        </w:rPr>
        <w:t>万元，执行数为</w:t>
      </w:r>
      <w:r>
        <w:rPr>
          <w:rFonts w:ascii="宋体" w:cs="黑体"/>
          <w:color w:val="000000"/>
          <w:kern w:val="0"/>
          <w:sz w:val="32"/>
          <w:szCs w:val="32"/>
        </w:rPr>
        <w:t>10</w:t>
      </w:r>
      <w:r>
        <w:rPr>
          <w:rFonts w:hint="eastAsia" w:ascii="宋体" w:cs="黑体"/>
          <w:color w:val="000000"/>
          <w:kern w:val="0"/>
          <w:sz w:val="32"/>
          <w:szCs w:val="32"/>
        </w:rPr>
        <w:t>万元，完成预算的</w:t>
      </w:r>
      <w:r>
        <w:rPr>
          <w:rFonts w:ascii="宋体" w:cs="黑体"/>
          <w:color w:val="000000"/>
          <w:kern w:val="0"/>
          <w:sz w:val="32"/>
          <w:szCs w:val="32"/>
        </w:rPr>
        <w:t>100%</w:t>
      </w:r>
      <w:r>
        <w:rPr>
          <w:rFonts w:hint="eastAsia" w:ascii="宋体" w:cs="黑体"/>
          <w:color w:val="000000"/>
          <w:kern w:val="0"/>
          <w:sz w:val="32"/>
          <w:szCs w:val="32"/>
        </w:rPr>
        <w:t>。项目绩效目标完成情况：一是</w:t>
      </w:r>
      <w:r>
        <w:rPr>
          <w:rFonts w:ascii="宋体" w:cs="黑体"/>
          <w:color w:val="000000"/>
          <w:kern w:val="0"/>
          <w:sz w:val="32"/>
          <w:szCs w:val="32"/>
        </w:rPr>
        <w:t>群众办事方便、减少群众负担</w:t>
      </w:r>
      <w:r>
        <w:rPr>
          <w:rFonts w:hint="eastAsia" w:ascii="宋体" w:cs="黑体"/>
          <w:color w:val="000000"/>
          <w:kern w:val="0"/>
          <w:sz w:val="32"/>
          <w:szCs w:val="32"/>
        </w:rPr>
        <w:t>；二是</w:t>
      </w:r>
      <w:r>
        <w:rPr>
          <w:rFonts w:ascii="宋体" w:cs="黑体"/>
          <w:color w:val="000000"/>
          <w:kern w:val="0"/>
          <w:sz w:val="32"/>
          <w:szCs w:val="32"/>
        </w:rPr>
        <w:t>行政许可、证照发放、许可宣传培训</w:t>
      </w:r>
      <w:r>
        <w:rPr>
          <w:rFonts w:hint="eastAsia" w:ascii="宋体" w:cs="黑体"/>
          <w:color w:val="000000"/>
          <w:kern w:val="0"/>
          <w:sz w:val="32"/>
          <w:szCs w:val="32"/>
        </w:rPr>
        <w:t>。发现的主要问题及原因：一是</w:t>
      </w:r>
      <w:r>
        <w:rPr>
          <w:rFonts w:hint="eastAsia" w:ascii="宋体" w:cs="黑体"/>
          <w:color w:val="000000"/>
          <w:sz w:val="32"/>
          <w:szCs w:val="32"/>
        </w:rPr>
        <w:t>财务管理还存在一些不足</w:t>
      </w:r>
      <w:r>
        <w:rPr>
          <w:rFonts w:hint="eastAsia" w:ascii="宋体" w:cs="黑体"/>
          <w:color w:val="000000"/>
          <w:kern w:val="0"/>
          <w:sz w:val="32"/>
          <w:szCs w:val="32"/>
        </w:rPr>
        <w:t>；二</w:t>
      </w:r>
      <w:r>
        <w:rPr>
          <w:rFonts w:ascii="宋体" w:cs="黑体"/>
          <w:color w:val="000000"/>
          <w:kern w:val="0"/>
          <w:sz w:val="32"/>
          <w:szCs w:val="32"/>
        </w:rPr>
        <w:t>是</w:t>
      </w:r>
      <w:r>
        <w:rPr>
          <w:rFonts w:hint="eastAsia" w:ascii="宋体" w:cs="黑体"/>
          <w:color w:val="000000"/>
          <w:sz w:val="32"/>
          <w:szCs w:val="32"/>
        </w:rPr>
        <w:t>账务处理资金使用不够规范</w:t>
      </w:r>
      <w:r>
        <w:rPr>
          <w:rFonts w:hint="eastAsia" w:ascii="宋体" w:cs="黑体"/>
          <w:color w:val="000000"/>
          <w:kern w:val="0"/>
          <w:sz w:val="32"/>
          <w:szCs w:val="32"/>
        </w:rPr>
        <w:t>。下一步改进措施：一是</w:t>
      </w:r>
      <w:r>
        <w:rPr>
          <w:rFonts w:hint="eastAsia" w:ascii="宋体" w:cs="黑体"/>
          <w:color w:val="000000"/>
          <w:sz w:val="32"/>
          <w:szCs w:val="32"/>
        </w:rPr>
        <w:t>加强财务</w:t>
      </w:r>
      <w:r>
        <w:rPr>
          <w:rFonts w:hint="eastAsia" w:ascii="宋体" w:cs="黑体"/>
          <w:color w:val="000000"/>
          <w:kern w:val="0"/>
          <w:sz w:val="32"/>
          <w:szCs w:val="32"/>
        </w:rPr>
        <w:t>管理力度，提高财务人员业务水平，严格按财政规定使用资金；二是</w:t>
      </w:r>
      <w:r>
        <w:rPr>
          <w:rFonts w:hint="eastAsia" w:ascii="宋体" w:cs="黑体"/>
          <w:color w:val="000000"/>
          <w:sz w:val="32"/>
          <w:szCs w:val="32"/>
        </w:rPr>
        <w:t>严格按照《会计法》、</w:t>
      </w:r>
      <w:r>
        <w:rPr>
          <w:rFonts w:hint="eastAsia" w:ascii="宋体" w:cs="黑体"/>
          <w:color w:val="000000"/>
          <w:sz w:val="32"/>
          <w:szCs w:val="32"/>
          <w:lang w:eastAsia="zh-CN"/>
        </w:rPr>
        <w:t>《政府单位会计制度》</w:t>
      </w:r>
      <w:r>
        <w:rPr>
          <w:rFonts w:hint="eastAsia" w:ascii="宋体" w:cs="黑体"/>
          <w:color w:val="000000"/>
          <w:sz w:val="32"/>
          <w:szCs w:val="32"/>
        </w:rPr>
        <w:t>等规定执行财务核算，并结合实际情况，完整、准确地披露相关信息，做到决算与预算相衔接</w:t>
      </w:r>
      <w:r>
        <w:rPr>
          <w:rFonts w:hint="eastAsia" w:ascii="宋体" w:cs="黑体"/>
          <w:color w:val="000000"/>
          <w:kern w:val="0"/>
          <w:sz w:val="32"/>
          <w:szCs w:val="32"/>
        </w:rPr>
        <w:t>。</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b/>
          <w:color w:val="000000"/>
          <w:kern w:val="0"/>
          <w:sz w:val="32"/>
          <w:szCs w:val="32"/>
        </w:rPr>
        <w:t>（</w:t>
      </w:r>
      <w:r>
        <w:rPr>
          <w:rFonts w:ascii="宋体" w:cs="黑体"/>
          <w:b/>
          <w:color w:val="000000"/>
          <w:kern w:val="0"/>
          <w:sz w:val="32"/>
          <w:szCs w:val="32"/>
        </w:rPr>
        <w:t>3</w:t>
      </w:r>
      <w:r>
        <w:rPr>
          <w:rFonts w:hint="eastAsia" w:ascii="宋体" w:cs="黑体"/>
          <w:b/>
          <w:color w:val="000000"/>
          <w:kern w:val="0"/>
          <w:sz w:val="32"/>
          <w:szCs w:val="32"/>
        </w:rPr>
        <w:t>）部门评价项目绩效评价结果。</w:t>
      </w:r>
    </w:p>
    <w:p>
      <w:pPr>
        <w:autoSpaceDE w:val="0"/>
        <w:autoSpaceDN w:val="0"/>
        <w:adjustRightInd w:val="0"/>
        <w:ind w:firstLine="640" w:firstLineChars="200"/>
        <w:jc w:val="left"/>
        <w:rPr>
          <w:rFonts w:ascii="宋体" w:cs="黑体"/>
          <w:color w:val="000000"/>
          <w:kern w:val="0"/>
          <w:sz w:val="32"/>
          <w:szCs w:val="32"/>
        </w:rPr>
      </w:pPr>
      <w:r>
        <w:rPr>
          <w:rFonts w:hint="eastAsia" w:ascii="宋体" w:cs="黑体"/>
          <w:color w:val="000000"/>
          <w:kern w:val="0"/>
          <w:sz w:val="32"/>
          <w:szCs w:val="32"/>
        </w:rPr>
        <w:t>部门评价项目数量</w:t>
      </w:r>
      <w:r>
        <w:rPr>
          <w:rFonts w:ascii="宋体" w:cs="黑体"/>
          <w:color w:val="000000"/>
          <w:kern w:val="0"/>
          <w:sz w:val="32"/>
          <w:szCs w:val="32"/>
        </w:rPr>
        <w:t>3</w:t>
      </w:r>
      <w:r>
        <w:rPr>
          <w:rFonts w:hint="eastAsia" w:ascii="宋体" w:cs="黑体"/>
          <w:color w:val="000000"/>
          <w:kern w:val="0"/>
          <w:sz w:val="32"/>
          <w:szCs w:val="32"/>
        </w:rPr>
        <w:t>个以内的，至少将</w:t>
      </w:r>
      <w:r>
        <w:rPr>
          <w:rFonts w:ascii="宋体" w:cs="黑体"/>
          <w:color w:val="000000"/>
          <w:kern w:val="0"/>
          <w:sz w:val="32"/>
          <w:szCs w:val="32"/>
        </w:rPr>
        <w:t>1</w:t>
      </w:r>
      <w:r>
        <w:rPr>
          <w:rFonts w:hint="eastAsia" w:ascii="宋体" w:cs="黑体"/>
          <w:color w:val="000000"/>
          <w:kern w:val="0"/>
          <w:sz w:val="32"/>
          <w:szCs w:val="32"/>
        </w:rPr>
        <w:t>个部门评价报告向社会公开；部门评价项目数量大于</w:t>
      </w:r>
      <w:r>
        <w:rPr>
          <w:rFonts w:ascii="宋体" w:cs="黑体"/>
          <w:color w:val="000000"/>
          <w:kern w:val="0"/>
          <w:sz w:val="32"/>
          <w:szCs w:val="32"/>
        </w:rPr>
        <w:t xml:space="preserve">3 </w:t>
      </w:r>
      <w:r>
        <w:rPr>
          <w:rFonts w:hint="eastAsia" w:ascii="宋体" w:cs="黑体"/>
          <w:color w:val="000000"/>
          <w:kern w:val="0"/>
          <w:sz w:val="32"/>
          <w:szCs w:val="32"/>
        </w:rPr>
        <w:t>个的，至少将</w:t>
      </w:r>
      <w:r>
        <w:rPr>
          <w:rFonts w:ascii="宋体" w:cs="黑体"/>
          <w:color w:val="000000"/>
          <w:kern w:val="0"/>
          <w:sz w:val="32"/>
          <w:szCs w:val="32"/>
        </w:rPr>
        <w:t xml:space="preserve">2 </w:t>
      </w:r>
      <w:r>
        <w:rPr>
          <w:rFonts w:hint="eastAsia" w:ascii="宋体" w:cs="黑体"/>
          <w:color w:val="000000"/>
          <w:kern w:val="0"/>
          <w:sz w:val="32"/>
          <w:szCs w:val="32"/>
        </w:rPr>
        <w:t>个部门评价报告向社会公开。报告框架可参考《项目支出绩效评价办法》（财预〔</w:t>
      </w:r>
      <w:r>
        <w:rPr>
          <w:rFonts w:ascii="宋体" w:cs="黑体"/>
          <w:color w:val="000000"/>
          <w:kern w:val="0"/>
          <w:sz w:val="32"/>
          <w:szCs w:val="32"/>
        </w:rPr>
        <w:t>2020</w:t>
      </w:r>
      <w:r>
        <w:rPr>
          <w:rFonts w:hint="eastAsia" w:ascii="宋体" w:cs="黑体"/>
          <w:color w:val="000000"/>
          <w:kern w:val="0"/>
          <w:sz w:val="32"/>
          <w:szCs w:val="32"/>
        </w:rPr>
        <w:t>〕</w:t>
      </w:r>
      <w:r>
        <w:rPr>
          <w:rFonts w:ascii="宋体" w:cs="黑体"/>
          <w:color w:val="000000"/>
          <w:kern w:val="0"/>
          <w:sz w:val="32"/>
          <w:szCs w:val="32"/>
        </w:rPr>
        <w:t xml:space="preserve">10 </w:t>
      </w:r>
      <w:r>
        <w:rPr>
          <w:rFonts w:hint="eastAsia" w:ascii="宋体" w:cs="黑体"/>
          <w:color w:val="000000"/>
          <w:kern w:val="0"/>
          <w:sz w:val="32"/>
          <w:szCs w:val="32"/>
        </w:rPr>
        <w:t>号）中《项目支出绩效评价报告（参考提纲）》、《湖南省预算支出绩效评价管理办法》（湘财绩〔</w:t>
      </w:r>
      <w:r>
        <w:rPr>
          <w:rFonts w:ascii="宋体" w:cs="黑体"/>
          <w:color w:val="000000"/>
          <w:kern w:val="0"/>
          <w:sz w:val="32"/>
          <w:szCs w:val="32"/>
        </w:rPr>
        <w:t>2020</w:t>
      </w:r>
      <w:r>
        <w:rPr>
          <w:rFonts w:hint="eastAsia" w:ascii="宋体" w:cs="黑体"/>
          <w:color w:val="000000"/>
          <w:kern w:val="0"/>
          <w:sz w:val="32"/>
          <w:szCs w:val="32"/>
        </w:rPr>
        <w:t>〕7号）。</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cs="黑体"/>
          <w:color w:val="000000"/>
          <w:kern w:val="0"/>
          <w:sz w:val="32"/>
          <w:szCs w:val="32"/>
        </w:rPr>
      </w:pPr>
    </w:p>
    <w:p>
      <w:pPr>
        <w:pStyle w:val="5"/>
        <w:spacing w:before="0" w:line="358" w:lineRule="auto"/>
        <w:ind w:firstLine="640" w:firstLineChars="200"/>
        <w:rPr>
          <w:rFonts w:hint="eastAsia" w:ascii="宋体"/>
          <w:kern w:val="0"/>
          <w:sz w:val="32"/>
          <w:szCs w:val="32"/>
          <w:lang w:val="en-US" w:eastAsia="zh-CN" w:bidi="ar-SA"/>
        </w:rPr>
      </w:pPr>
      <w:r>
        <w:rPr>
          <w:rFonts w:hint="eastAsia" w:ascii="宋体" w:cs="宋体"/>
          <w:b/>
          <w:bCs/>
          <w:color w:val="000000"/>
          <w:kern w:val="0"/>
          <w:sz w:val="32"/>
          <w:szCs w:val="32"/>
          <w:shd w:val="clear" w:color="auto" w:fill="FFFFFF"/>
          <w:lang w:val="en-US" w:eastAsia="zh-CN" w:bidi="ar-SA"/>
        </w:rPr>
        <w:t>（一）基本支出。</w:t>
      </w:r>
      <w:r>
        <w:rPr>
          <w:rFonts w:hint="eastAsia" w:ascii="宋体"/>
          <w:kern w:val="0"/>
          <w:sz w:val="32"/>
          <w:szCs w:val="32"/>
          <w:lang w:val="en-US" w:eastAsia="zh-CN" w:bidi="ar-SA"/>
        </w:rPr>
        <w:t xml:space="preserve">是指为保障单位机构正常运转、完成日常工作任务而发生的各项支出，包括用于基本工资、津贴补贴等人员经费以及办公费、印刷费、水电费、办公设备购置等日常公用经费。 </w:t>
      </w:r>
    </w:p>
    <w:p>
      <w:pPr>
        <w:pStyle w:val="5"/>
        <w:spacing w:before="0" w:line="358" w:lineRule="auto"/>
        <w:ind w:firstLine="640" w:firstLineChars="200"/>
        <w:rPr>
          <w:rFonts w:hint="eastAsia" w:ascii="宋体"/>
          <w:kern w:val="0"/>
          <w:sz w:val="32"/>
          <w:szCs w:val="32"/>
        </w:rPr>
      </w:pPr>
      <w:r>
        <w:rPr>
          <w:rFonts w:hint="eastAsia" w:ascii="宋体" w:cs="宋体"/>
          <w:b/>
          <w:bCs/>
          <w:kern w:val="0"/>
          <w:sz w:val="32"/>
          <w:szCs w:val="32"/>
        </w:rPr>
        <w:t>（二）项目支出。</w:t>
      </w:r>
      <w:r>
        <w:rPr>
          <w:rFonts w:hint="eastAsia" w:ascii="宋体"/>
          <w:kern w:val="0"/>
          <w:sz w:val="32"/>
          <w:szCs w:val="32"/>
        </w:rPr>
        <w:t>是指单位为完成特定行政工作任务或事业发展目 标而发生的支出，包括有关事业发展专项、专项业务费、基本建设支出、对市县专项补助等。</w:t>
      </w:r>
    </w:p>
    <w:p>
      <w:pPr>
        <w:widowControl/>
        <w:spacing w:line="600" w:lineRule="exact"/>
        <w:ind w:firstLine="660"/>
        <w:rPr>
          <w:rFonts w:hint="eastAsia" w:ascii="宋体" w:cs="Times New Roman"/>
          <w:kern w:val="0"/>
          <w:sz w:val="32"/>
          <w:szCs w:val="32"/>
        </w:rPr>
      </w:pPr>
      <w:r>
        <w:rPr>
          <w:rFonts w:hint="eastAsia" w:ascii="宋体" w:cs="宋体"/>
          <w:b/>
          <w:bCs/>
          <w:kern w:val="0"/>
          <w:sz w:val="32"/>
          <w:szCs w:val="32"/>
        </w:rPr>
        <w:t>（三） 三公经费。</w:t>
      </w:r>
      <w:r>
        <w:rPr>
          <w:rFonts w:hint="eastAsia" w:ascii="宋体" w:cs="Times New Roman"/>
          <w:kern w:val="0"/>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0"/>
        <w:shd w:val="clear" w:color="auto" w:fill="FFFFFF"/>
        <w:spacing w:before="0" w:beforeAutospacing="0" w:after="0" w:afterAutospacing="0" w:line="560" w:lineRule="atLeast"/>
        <w:ind w:firstLine="643"/>
        <w:jc w:val="both"/>
        <w:rPr>
          <w:rFonts w:hint="eastAsia" w:cs="Times New Roman"/>
          <w:sz w:val="32"/>
          <w:szCs w:val="32"/>
        </w:rPr>
      </w:pPr>
      <w:r>
        <w:rPr>
          <w:rFonts w:hint="eastAsia" w:cs="Times New Roman"/>
          <w:b/>
          <w:bCs/>
          <w:sz w:val="32"/>
          <w:szCs w:val="32"/>
        </w:rPr>
        <w:t>（四）机关运行经费。</w:t>
      </w:r>
      <w:r>
        <w:rPr>
          <w:rFonts w:hint="eastAsia" w:cs="Times New Roman"/>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jc w:val="left"/>
        <w:rPr>
          <w:rFonts w:hint="eastAsia" w:ascii="宋体" w:cs="Times New Roman"/>
          <w:kern w:val="0"/>
          <w:sz w:val="32"/>
          <w:szCs w:val="3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both"/>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WE3YTE2NWIwYjFhMDQ0MmViZDRlYjYwZmFmMjQ1ZmYifQ=="/>
  </w:docVars>
  <w:rsids>
    <w:rsidRoot w:val="00000000"/>
    <w:rsid w:val="0C83315B"/>
    <w:rsid w:val="6CCB3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rPr>
      <w:rFonts w:ascii="Courier New" w:hAnsi="Courier New"/>
      <w:sz w:val="20"/>
    </w:rPr>
  </w:style>
  <w:style w:type="paragraph" w:styleId="10">
    <w:name w:val="Normal (Web)"/>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14">
    <w:name w:val="List Paragraph"/>
    <w:basedOn w:val="1"/>
    <w:qFormat/>
    <w:uiPriority w:val="0"/>
    <w:pPr>
      <w:ind w:firstLine="200" w:firstLineChars="200"/>
    </w:pPr>
  </w:style>
  <w:style w:type="character" w:customStyle="1" w:styleId="15">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32</Pages>
  <Words>12021</Words>
  <Characters>13839</Characters>
  <Lines>1882</Lines>
  <Paragraphs>937</Paragraphs>
  <TotalTime>0</TotalTime>
  <ScaleCrop>false</ScaleCrop>
  <LinksUpToDate>false</LinksUpToDate>
  <CharactersWithSpaces>14895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2023-09-07T07:27:00Z</cp:lastPrinted>
  <dcterms:modified xsi:type="dcterms:W3CDTF">2023-09-28T03:56:26Z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