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84"/>
          <w:szCs w:val="84"/>
        </w:rPr>
      </w:pPr>
      <w:r>
        <w:rPr>
          <w:rFonts w:hint="eastAsia"/>
          <w:sz w:val="84"/>
          <w:szCs w:val="84"/>
        </w:rPr>
        <w:t>2021年度</w:t>
      </w:r>
    </w:p>
    <w:p>
      <w:pPr>
        <w:pStyle w:val="13"/>
        <w:jc w:val="center"/>
        <w:rPr>
          <w:sz w:val="84"/>
          <w:szCs w:val="84"/>
        </w:rPr>
      </w:pPr>
      <w:r>
        <w:rPr>
          <w:rFonts w:hint="eastAsia"/>
          <w:sz w:val="84"/>
          <w:szCs w:val="84"/>
        </w:rPr>
        <w:t>湖南月岩国家森林公园管理局部门决算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both"/>
        <w:rPr>
          <w:sz w:val="32"/>
          <w:szCs w:val="32"/>
        </w:rPr>
      </w:pPr>
    </w:p>
    <w:p>
      <w:pPr>
        <w:pStyle w:val="13"/>
        <w:jc w:val="both"/>
        <w:rPr>
          <w:sz w:val="32"/>
          <w:szCs w:val="32"/>
        </w:rPr>
      </w:pPr>
    </w:p>
    <w:p>
      <w:pPr>
        <w:pStyle w:val="13"/>
        <w:jc w:val="both"/>
        <w:rPr>
          <w:sz w:val="32"/>
          <w:szCs w:val="32"/>
        </w:rPr>
      </w:pPr>
    </w:p>
    <w:p>
      <w:pPr>
        <w:pStyle w:val="13"/>
        <w:spacing w:line="540" w:lineRule="exact"/>
        <w:jc w:val="center"/>
        <w:rPr>
          <w:sz w:val="56"/>
          <w:szCs w:val="56"/>
        </w:rPr>
      </w:pPr>
    </w:p>
    <w:p>
      <w:pPr>
        <w:pStyle w:val="13"/>
        <w:spacing w:line="500" w:lineRule="exact"/>
        <w:jc w:val="center"/>
        <w:rPr>
          <w:b/>
          <w:sz w:val="36"/>
          <w:szCs w:val="28"/>
        </w:rPr>
      </w:pPr>
    </w:p>
    <w:p>
      <w:pPr>
        <w:pStyle w:val="13"/>
        <w:spacing w:line="500" w:lineRule="exact"/>
        <w:jc w:val="center"/>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湖南月岩国家森林公园管理局</w:t>
      </w:r>
      <w:r>
        <w:rPr>
          <w:rFonts w:hint="eastAsia"/>
          <w:b/>
          <w:sz w:val="28"/>
          <w:szCs w:val="28"/>
        </w:rPr>
        <w:t>单位概况</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3"/>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3"/>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3"/>
        <w:jc w:val="center"/>
        <w:rPr>
          <w:sz w:val="84"/>
          <w:szCs w:val="84"/>
        </w:rPr>
      </w:pPr>
      <w:r>
        <w:rPr>
          <w:rFonts w:hint="eastAsia"/>
          <w:sz w:val="84"/>
          <w:szCs w:val="84"/>
        </w:rPr>
        <w:t>第一部分</w:t>
      </w:r>
    </w:p>
    <w:p>
      <w:pPr>
        <w:pStyle w:val="13"/>
        <w:jc w:val="center"/>
        <w:rPr>
          <w:sz w:val="84"/>
          <w:szCs w:val="84"/>
        </w:rPr>
      </w:pPr>
    </w:p>
    <w:p>
      <w:pPr>
        <w:pStyle w:val="13"/>
        <w:jc w:val="center"/>
        <w:rPr>
          <w:sz w:val="84"/>
          <w:szCs w:val="84"/>
        </w:rPr>
      </w:pPr>
      <w:r>
        <w:rPr>
          <w:rFonts w:hint="eastAsia"/>
          <w:sz w:val="84"/>
          <w:szCs w:val="84"/>
        </w:rPr>
        <w:t>湖南月岩国家森林公园管理局单位概况</w:t>
      </w:r>
    </w:p>
    <w:p>
      <w:pPr>
        <w:jc w:val="center"/>
        <w:rPr>
          <w:sz w:val="72"/>
          <w:szCs w:val="72"/>
        </w:rPr>
      </w:pPr>
    </w:p>
    <w:p>
      <w:pPr>
        <w:jc w:val="center"/>
        <w:rPr>
          <w:sz w:val="72"/>
          <w:szCs w:val="72"/>
        </w:rPr>
      </w:pPr>
    </w:p>
    <w:p>
      <w:pPr>
        <w:rPr>
          <w:sz w:val="72"/>
          <w:szCs w:val="7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7"/>
        <w:widowControl/>
        <w:spacing w:beforeAutospacing="0" w:after="2" w:afterAutospacing="0"/>
        <w:ind w:firstLine="641"/>
        <w:rPr>
          <w:sz w:val="27"/>
          <w:szCs w:val="27"/>
        </w:rPr>
      </w:pPr>
      <w:r>
        <w:rPr>
          <w:rFonts w:ascii="宋体" w:hAnsi="宋体" w:eastAsia="宋体" w:cs="宋体"/>
          <w:color w:val="000000"/>
          <w:sz w:val="32"/>
          <w:szCs w:val="32"/>
        </w:rPr>
        <w:t>（一）保护森林风景资源和生物多样性，维护生态平衡，管理国有林场，普及生态文化知识，开展森林生态旅游。</w:t>
      </w:r>
    </w:p>
    <w:p>
      <w:pPr>
        <w:pStyle w:val="7"/>
        <w:widowControl/>
        <w:spacing w:beforeAutospacing="0" w:after="2" w:afterAutospacing="0"/>
        <w:ind w:firstLine="641"/>
        <w:rPr>
          <w:sz w:val="27"/>
          <w:szCs w:val="27"/>
        </w:rPr>
      </w:pPr>
      <w:r>
        <w:rPr>
          <w:rFonts w:ascii="宋体" w:hAnsi="宋体" w:eastAsia="宋体" w:cs="宋体"/>
          <w:color w:val="000000"/>
          <w:sz w:val="32"/>
          <w:szCs w:val="32"/>
        </w:rPr>
        <w:t>（二）编制森林公园总体规划，森林公园建设，森林风景资源的 培育、保护和利用。</w:t>
      </w:r>
    </w:p>
    <w:p>
      <w:pPr>
        <w:pStyle w:val="7"/>
        <w:widowControl/>
        <w:spacing w:beforeAutospacing="0" w:after="2" w:afterAutospacing="0"/>
        <w:ind w:firstLine="641"/>
        <w:rPr>
          <w:sz w:val="27"/>
          <w:szCs w:val="27"/>
        </w:rPr>
      </w:pPr>
      <w:r>
        <w:rPr>
          <w:rFonts w:ascii="宋体" w:hAnsi="宋体" w:eastAsia="宋体" w:cs="宋体"/>
          <w:color w:val="000000"/>
          <w:sz w:val="32"/>
          <w:szCs w:val="32"/>
        </w:rPr>
        <w:t>（三）野生动植物珍惜物种栖息地环境监测与治理、基础数据收集分析，自然保护科学研究、宣传教育。</w:t>
      </w:r>
    </w:p>
    <w:p>
      <w:pPr>
        <w:pStyle w:val="7"/>
        <w:widowControl/>
        <w:spacing w:beforeAutospacing="0" w:after="2" w:afterAutospacing="0"/>
        <w:ind w:firstLine="641"/>
        <w:rPr>
          <w:sz w:val="27"/>
          <w:szCs w:val="27"/>
        </w:rPr>
      </w:pPr>
      <w:r>
        <w:rPr>
          <w:rFonts w:ascii="宋体" w:hAnsi="宋体" w:eastAsia="宋体" w:cs="宋体"/>
          <w:color w:val="000000"/>
          <w:sz w:val="32"/>
          <w:szCs w:val="32"/>
        </w:rPr>
        <w:t>（四）林木种苗生产供应与经营，护林防火，林业信息服务，林业违法行为处罚。</w:t>
      </w:r>
    </w:p>
    <w:p>
      <w:pPr>
        <w:pStyle w:val="7"/>
        <w:widowControl/>
        <w:spacing w:beforeAutospacing="0" w:after="2" w:afterAutospacing="0"/>
        <w:ind w:firstLine="641"/>
        <w:rPr>
          <w:sz w:val="27"/>
          <w:szCs w:val="27"/>
        </w:rPr>
      </w:pPr>
      <w:r>
        <w:rPr>
          <w:rFonts w:ascii="宋体" w:hAnsi="宋体" w:eastAsia="宋体" w:cs="宋体"/>
          <w:color w:val="000000"/>
          <w:sz w:val="32"/>
          <w:szCs w:val="32"/>
        </w:rPr>
        <w:t>（五）森林生态旅游及旅游产品开发。</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asciiTheme="minorEastAsia" w:hAnsiTheme="minorEastAsia"/>
          <w:bCs/>
          <w:kern w:val="0"/>
          <w:sz w:val="32"/>
          <w:szCs w:val="32"/>
        </w:rPr>
      </w:pPr>
      <w:r>
        <w:rPr>
          <w:rFonts w:hint="eastAsia" w:ascii="宋体" w:hAnsi="宋体" w:eastAsia="宋体" w:cs="宋体"/>
          <w:color w:val="000000"/>
          <w:sz w:val="32"/>
          <w:szCs w:val="32"/>
        </w:rPr>
        <w:t>湖南月岩国家森林公园管理局为</w:t>
      </w:r>
      <w:r>
        <w:rPr>
          <w:rFonts w:hint="eastAsia" w:ascii="宋体" w:hAnsi="宋体" w:eastAsia="宋体" w:cs="宋体"/>
          <w:color w:val="000000"/>
          <w:sz w:val="32"/>
          <w:szCs w:val="32"/>
          <w:lang w:eastAsia="zh-CN"/>
        </w:rPr>
        <w:t>副</w:t>
      </w:r>
      <w:r>
        <w:rPr>
          <w:rFonts w:hint="eastAsia" w:ascii="宋体" w:hAnsi="宋体" w:eastAsia="宋体" w:cs="宋体"/>
          <w:color w:val="000000"/>
          <w:sz w:val="32"/>
          <w:szCs w:val="32"/>
        </w:rPr>
        <w:t>处级全额拨款事业单位，内设机构包括：一个集材场、一个综合检查站及香炉山、坦里源、黄土江、南北冲、中坪、空树岩、王家、大江源八个分场，</w:t>
      </w:r>
      <w:r>
        <w:rPr>
          <w:rFonts w:hint="eastAsia" w:ascii="宋体" w:hAnsi="宋体" w:eastAsia="宋体" w:cs="宋体"/>
          <w:color w:val="000000"/>
          <w:sz w:val="32"/>
          <w:szCs w:val="32"/>
          <w:lang w:eastAsia="zh-CN"/>
        </w:rPr>
        <w:t>机关</w:t>
      </w:r>
      <w:r>
        <w:rPr>
          <w:rFonts w:hint="eastAsia" w:ascii="宋体" w:hAnsi="宋体" w:eastAsia="宋体" w:cs="宋体"/>
          <w:color w:val="000000"/>
          <w:sz w:val="32"/>
          <w:szCs w:val="32"/>
        </w:rPr>
        <w:t>内设办公室、计财科、政工人事科、经营科、科目开发科、资源管护科、保护区管理科、应急处突大队8个职能部室。事业编制478人，现实有在编人数264人，退休人员214人，配有19座防火运兵车1辆，防火宣传车1辆，2辆越野车，消防车1辆。</w:t>
      </w:r>
    </w:p>
    <w:p>
      <w:pPr>
        <w:widowControl/>
        <w:numPr>
          <w:ilvl w:val="0"/>
          <w:numId w:val="2"/>
        </w:numPr>
        <w:spacing w:line="600" w:lineRule="exact"/>
        <w:rPr>
          <w:rFonts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spacing w:line="600" w:lineRule="exact"/>
        <w:ind w:firstLine="960" w:firstLineChars="300"/>
        <w:rPr>
          <w:rFonts w:ascii="黑体" w:hAnsi="黑体" w:eastAsia="黑体"/>
          <w:sz w:val="28"/>
          <w:szCs w:val="28"/>
        </w:rPr>
      </w:pPr>
      <w:r>
        <w:rPr>
          <w:rFonts w:hint="eastAsia" w:ascii="宋体" w:hAnsi="宋体" w:eastAsia="宋体" w:cs="宋体"/>
          <w:color w:val="000000"/>
          <w:sz w:val="32"/>
          <w:szCs w:val="32"/>
        </w:rPr>
        <w:t>湖南月岩国家森林公园管理局2021年部门决算汇总公开单位构成包括：包括局机关及所属分场。</w:t>
      </w:r>
    </w:p>
    <w:p>
      <w:pPr>
        <w:rPr>
          <w:sz w:val="72"/>
          <w:szCs w:val="72"/>
        </w:rPr>
      </w:pPr>
    </w:p>
    <w:p>
      <w:pPr>
        <w:rPr>
          <w:sz w:val="72"/>
          <w:szCs w:val="72"/>
        </w:rPr>
      </w:pPr>
    </w:p>
    <w:p>
      <w:pP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部门：湖南月岩国家森林公园管理局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871.39</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8.10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1,792.57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237.73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102.06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507.50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1,792.57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16.00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2,663.96</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2,663.96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665.14</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665.14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3,329.10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3,329.10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ind w:left="480" w:hanging="480" w:hangingChars="200"/>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 2.本套报表金额单位转换时可能存在尾数误差。</w:t>
            </w:r>
            <w:r>
              <w:rPr>
                <w:rFonts w:hint="eastAsia" w:ascii="宋体" w:hAnsi="宋体" w:eastAsia="宋体" w:cs="宋体"/>
                <w:color w:val="000000"/>
                <w:kern w:val="0"/>
                <w:sz w:val="20"/>
                <w:szCs w:val="20"/>
              </w:rPr>
              <w:t>湖南月岩国家森林公园管理局</w:t>
            </w:r>
            <w:r>
              <w:rPr>
                <w:rFonts w:hint="eastAsia" w:ascii="宋体" w:hAnsi="宋体" w:eastAsia="宋体" w:cs="宋体"/>
                <w:kern w:val="0"/>
                <w:sz w:val="24"/>
                <w:szCs w:val="24"/>
                <w:lang w:val="en-US" w:eastAsia="zh-CN"/>
              </w:rPr>
              <w:t>无</w:t>
            </w:r>
            <w:r>
              <w:rPr>
                <w:rFonts w:hint="eastAsia" w:ascii="宋体" w:hAnsi="宋体" w:eastAsia="宋体" w:cs="宋体"/>
                <w:color w:val="000000"/>
                <w:kern w:val="0"/>
                <w:sz w:val="22"/>
              </w:rPr>
              <w:t>国有资本经营预算财政拨款收入</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上级补助收入</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事业收入</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经营收入</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附属单位上缴收入</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其他</w:t>
            </w:r>
            <w:r>
              <w:rPr>
                <w:rFonts w:hint="eastAsia" w:ascii="宋体" w:hAnsi="宋体" w:eastAsia="宋体" w:cs="宋体"/>
                <w:kern w:val="0"/>
                <w:sz w:val="24"/>
                <w:szCs w:val="24"/>
                <w:lang w:val="en-US" w:eastAsia="zh-CN"/>
              </w:rPr>
              <w:t>收入，也没有安排</w:t>
            </w:r>
            <w:r>
              <w:rPr>
                <w:rFonts w:hint="eastAsia" w:ascii="宋体" w:hAnsi="宋体" w:eastAsia="宋体" w:cs="宋体"/>
                <w:color w:val="000000"/>
                <w:kern w:val="0"/>
                <w:sz w:val="22"/>
              </w:rPr>
              <w:t>外交支出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国防支出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公共安全支出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教育支出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科学技术支出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文化旅游体育与传媒支出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农林水支出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交通运输支出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资源勘探工业信息等支出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商业服务业等支出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金融支出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援助其他地区支出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自然资源海洋气象等支出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住房保障支出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粮油物资储备支出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国有资本经营预算支出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其他支出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债务还本支出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债务付息支出</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抗疫特别国债安排的</w:t>
            </w:r>
            <w:r>
              <w:rPr>
                <w:rFonts w:hint="eastAsia" w:ascii="宋体" w:hAnsi="宋体" w:eastAsia="宋体" w:cs="宋体"/>
                <w:kern w:val="0"/>
                <w:sz w:val="24"/>
                <w:szCs w:val="24"/>
                <w:lang w:val="en-US" w:eastAsia="zh-CN"/>
              </w:rPr>
              <w:t>支出，故本表格无数据。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5386" w:type="dxa"/>
        <w:tblInd w:w="0" w:type="dxa"/>
        <w:tblLayout w:type="autofit"/>
        <w:tblCellMar>
          <w:top w:w="0" w:type="dxa"/>
          <w:left w:w="0" w:type="dxa"/>
          <w:bottom w:w="0" w:type="dxa"/>
          <w:right w:w="0" w:type="dxa"/>
        </w:tblCellMar>
      </w:tblPr>
      <w:tblGrid>
        <w:gridCol w:w="2652"/>
        <w:gridCol w:w="194"/>
        <w:gridCol w:w="1655"/>
        <w:gridCol w:w="1472"/>
        <w:gridCol w:w="1472"/>
        <w:gridCol w:w="1472"/>
        <w:gridCol w:w="1472"/>
        <w:gridCol w:w="1472"/>
        <w:gridCol w:w="1473"/>
        <w:gridCol w:w="2094"/>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湖南月岩国家森林公园管理局</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2,663.96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2,663.96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8.10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8.10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纪检监察事务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8.10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8.10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2011199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其他纪检监察事务支出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8.10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8.10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237.73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237.73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202.32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202.32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202.32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202.32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35.41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35.41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35.41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35.41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102.06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102.06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102.06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102.06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102.06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102.06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节能环保支出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507.50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507.50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21104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自然生态保护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2110401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生态保护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21105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天然林保护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393.00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393.00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2110507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停伐补助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393.00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393.00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其他节能环保支出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2119999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其他节能环保支出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1,792.57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1,792.57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1,792.57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1,792.57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征地和拆迁补偿支出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2120802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土地开发支出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1,790.49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1,790.49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224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灾害防治及应急管理支出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22406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自然灾害防治</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2240602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森林草原防灾减灾</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部门：湖南月岩国家森林公园管理局</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2,663.96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2,053.96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610.00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20111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纪检监察事务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2011199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其他纪检监察事务支出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237.73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237.73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202.32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202.32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202.32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202.32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35.41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35.41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35.41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35.41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102.06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102.06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102.06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102.06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102.06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102.06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节能环保支出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507.50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507.50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21104</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自然生态保护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2110401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生态保护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21105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天然林保护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393.00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393.00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2110507</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停伐补助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393.00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393.00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21199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其他节能环保支出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2119999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其他节能环保支出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1,792.57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1,714.17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78.40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1,792.57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1,714.17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78.40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2120802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土地开发支出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1,790.49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1,712.09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78.40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224</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灾害防治及应急管理支出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22406</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自然灾害防治</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2240602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森林草原防灾减灾</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部门：湖南月岩国家森林公园管理局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871.39</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8.10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8.10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1,792.57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237.73</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237.73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102.06</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102.06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507.50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507.50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1,792.57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1,792.57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16.00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16.00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2,663.96</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2,663.96</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871.39</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1,792.57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665.14</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665.14</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665.14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665.14</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3,329.10</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3,329.10</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1,536.53</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1,792.57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湖南月岩国家森林公园管理局</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986"/>
        <w:gridCol w:w="1003"/>
        <w:gridCol w:w="3281"/>
        <w:gridCol w:w="2832"/>
        <w:gridCol w:w="3285"/>
        <w:gridCol w:w="2832"/>
      </w:tblGrid>
      <w:tr>
        <w:tblPrEx>
          <w:tblCellMar>
            <w:top w:w="0" w:type="dxa"/>
            <w:left w:w="108" w:type="dxa"/>
            <w:bottom w:w="0" w:type="dxa"/>
            <w:right w:w="108" w:type="dxa"/>
          </w:tblCellMar>
        </w:tblPrEx>
        <w:trPr>
          <w:trHeight w:val="405" w:hRule="atLeast"/>
          <w:jc w:val="center"/>
        </w:trPr>
        <w:tc>
          <w:tcPr>
            <w:tcW w:w="527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894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2"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283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328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2832"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871.39</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339.79</w:t>
            </w: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531.60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一般公共服务支出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8.10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8.10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20111</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纪检监察事务</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8.10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8.10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2011199</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其他纪检监察事务支出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8.10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8.10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237.73</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237.73</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行政事业单位养老支出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202.32</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202.32</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2080505</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机关事业单位基本养老保险缴费支出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202.32</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202.32</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20808</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抚恤</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35.41</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35.41</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2080801</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死亡抚恤</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35.41</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35.41</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卫生健康支出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102.06</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102.06</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行政事业单位医疗</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102.06</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102.06</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2101102</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事业单位医疗</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102.06</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102.06</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211</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节能环保支出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507.50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507.50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21104</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自然生态保护</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4.50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2110401</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生态保护</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4.50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21105</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天然林保护</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393.00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393.00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2110507</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停伐补助</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393.00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393.00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21199</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其他节能环保支出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110.00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2119999</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其他节能环保支出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110.00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224</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灾害防治及应急管理支出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16.00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22406</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自然灾害防治</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16.00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2240602</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森林草原防灾减灾</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16.00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16.00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jc w:val="center"/>
        <w:tblLayout w:type="autofit"/>
        <w:tblCellMar>
          <w:top w:w="0" w:type="dxa"/>
          <w:left w:w="108" w:type="dxa"/>
          <w:bottom w:w="0" w:type="dxa"/>
          <w:right w:w="108" w:type="dxa"/>
        </w:tblCellMar>
      </w:tblPr>
      <w:tblGrid>
        <w:gridCol w:w="1320"/>
        <w:gridCol w:w="3314"/>
        <w:gridCol w:w="865"/>
        <w:gridCol w:w="1205"/>
        <w:gridCol w:w="2281"/>
        <w:gridCol w:w="641"/>
        <w:gridCol w:w="1206"/>
        <w:gridCol w:w="4140"/>
        <w:gridCol w:w="642"/>
      </w:tblGrid>
      <w:tr>
        <w:tblPrEx>
          <w:tblCellMar>
            <w:top w:w="0" w:type="dxa"/>
            <w:left w:w="108" w:type="dxa"/>
            <w:bottom w:w="0" w:type="dxa"/>
            <w:right w:w="108" w:type="dxa"/>
          </w:tblCellMar>
        </w:tblPrEx>
        <w:trPr>
          <w:trHeight w:val="454" w:hRule="atLeast"/>
          <w:jc w:val="center"/>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湖南月岩国家森林公园管理局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454" w:hRule="atLeast"/>
          <w:jc w:val="center"/>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304.38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201.32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102.06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35.41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35.41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54" w:hRule="exact"/>
          <w:jc w:val="center"/>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339.79</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18"/>
              </w:rPr>
            </w:pPr>
          </w:p>
        </w:tc>
      </w:tr>
      <w:tr>
        <w:tblPrEx>
          <w:tblCellMar>
            <w:top w:w="0" w:type="dxa"/>
            <w:left w:w="108" w:type="dxa"/>
            <w:bottom w:w="0" w:type="dxa"/>
            <w:right w:w="108" w:type="dxa"/>
          </w:tblCellMar>
        </w:tblPrEx>
        <w:trPr>
          <w:trHeight w:val="454" w:hRule="exact"/>
          <w:jc w:val="center"/>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湖南月岩国家森林公园管理局</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31.35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19.35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hint="eastAsia" w:ascii="Times New Roman" w:hAnsi="Times New Roman" w:eastAsia="仿宋_GB2312" w:cs="Times New Roman"/>
                <w:kern w:val="0"/>
                <w:szCs w:val="21"/>
                <w:lang w:val="en-US" w:eastAsia="zh-CN"/>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湖南月岩国家森林公园管理局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55"/>
        <w:gridCol w:w="1228"/>
        <w:gridCol w:w="1838"/>
        <w:gridCol w:w="1907"/>
        <w:gridCol w:w="1907"/>
        <w:gridCol w:w="1907"/>
        <w:gridCol w:w="1873"/>
        <w:gridCol w:w="18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9"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1838"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90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87"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3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1"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28"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38" w:type="dxa"/>
            <w:vMerge w:val="continue"/>
            <w:vAlign w:val="center"/>
          </w:tcPr>
          <w:p>
            <w:pPr>
              <w:widowControl/>
              <w:jc w:val="left"/>
              <w:rPr>
                <w:rFonts w:ascii="Times New Roman" w:hAnsi="Times New Roman" w:eastAsia="仿宋_GB2312" w:cs="Times New Roman"/>
                <w:b/>
                <w:kern w:val="0"/>
                <w:szCs w:val="21"/>
              </w:rPr>
            </w:pPr>
          </w:p>
        </w:tc>
        <w:tc>
          <w:tcPr>
            <w:tcW w:w="1907" w:type="dxa"/>
            <w:vMerge w:val="continue"/>
            <w:vAlign w:val="center"/>
          </w:tcPr>
          <w:p>
            <w:pPr>
              <w:widowControl/>
              <w:jc w:val="left"/>
              <w:rPr>
                <w:rFonts w:ascii="Times New Roman" w:hAnsi="Times New Roman" w:eastAsia="仿宋_GB2312" w:cs="Times New Roman"/>
                <w:b/>
                <w:kern w:val="0"/>
                <w:szCs w:val="21"/>
              </w:rPr>
            </w:pPr>
          </w:p>
        </w:tc>
        <w:tc>
          <w:tcPr>
            <w:tcW w:w="190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90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7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39"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1" w:type="dxa"/>
            <w:gridSpan w:val="2"/>
            <w:vMerge w:val="continue"/>
            <w:vAlign w:val="center"/>
          </w:tcPr>
          <w:p>
            <w:pPr>
              <w:widowControl/>
              <w:jc w:val="left"/>
              <w:rPr>
                <w:rFonts w:ascii="Times New Roman" w:hAnsi="Times New Roman" w:eastAsia="仿宋_GB2312" w:cs="Times New Roman"/>
                <w:kern w:val="0"/>
                <w:szCs w:val="21"/>
              </w:rPr>
            </w:pPr>
          </w:p>
        </w:tc>
        <w:tc>
          <w:tcPr>
            <w:tcW w:w="1228" w:type="dxa"/>
            <w:vMerge w:val="continue"/>
            <w:vAlign w:val="center"/>
          </w:tcPr>
          <w:p>
            <w:pPr>
              <w:widowControl/>
              <w:jc w:val="left"/>
              <w:rPr>
                <w:rFonts w:ascii="Times New Roman" w:hAnsi="Times New Roman" w:eastAsia="仿宋_GB2312" w:cs="Times New Roman"/>
                <w:kern w:val="0"/>
                <w:szCs w:val="21"/>
              </w:rPr>
            </w:pPr>
          </w:p>
        </w:tc>
        <w:tc>
          <w:tcPr>
            <w:tcW w:w="1838" w:type="dxa"/>
            <w:vMerge w:val="continue"/>
            <w:vAlign w:val="center"/>
          </w:tcPr>
          <w:p>
            <w:pPr>
              <w:widowControl/>
              <w:jc w:val="left"/>
              <w:rPr>
                <w:rFonts w:ascii="Times New Roman" w:hAnsi="Times New Roman" w:eastAsia="仿宋_GB2312" w:cs="Times New Roman"/>
                <w:kern w:val="0"/>
                <w:szCs w:val="21"/>
              </w:rPr>
            </w:pPr>
          </w:p>
        </w:tc>
        <w:tc>
          <w:tcPr>
            <w:tcW w:w="1907" w:type="dxa"/>
            <w:vMerge w:val="continue"/>
            <w:vAlign w:val="center"/>
          </w:tcPr>
          <w:p>
            <w:pPr>
              <w:widowControl/>
              <w:jc w:val="left"/>
              <w:rPr>
                <w:rFonts w:ascii="Times New Roman" w:hAnsi="Times New Roman" w:eastAsia="仿宋_GB2312" w:cs="Times New Roman"/>
                <w:kern w:val="0"/>
                <w:szCs w:val="21"/>
              </w:rPr>
            </w:pPr>
          </w:p>
        </w:tc>
        <w:tc>
          <w:tcPr>
            <w:tcW w:w="1907" w:type="dxa"/>
            <w:vMerge w:val="continue"/>
            <w:vAlign w:val="center"/>
          </w:tcPr>
          <w:p>
            <w:pPr>
              <w:widowControl/>
              <w:jc w:val="left"/>
              <w:rPr>
                <w:rFonts w:ascii="Times New Roman" w:hAnsi="Times New Roman" w:eastAsia="仿宋_GB2312" w:cs="Times New Roman"/>
                <w:kern w:val="0"/>
                <w:szCs w:val="21"/>
              </w:rPr>
            </w:pPr>
          </w:p>
        </w:tc>
        <w:tc>
          <w:tcPr>
            <w:tcW w:w="1907" w:type="dxa"/>
            <w:vMerge w:val="continue"/>
            <w:vAlign w:val="center"/>
          </w:tcPr>
          <w:p>
            <w:pPr>
              <w:widowControl/>
              <w:jc w:val="left"/>
              <w:rPr>
                <w:rFonts w:ascii="Times New Roman" w:hAnsi="Times New Roman" w:eastAsia="仿宋_GB2312" w:cs="Times New Roman"/>
                <w:kern w:val="0"/>
                <w:szCs w:val="21"/>
              </w:rPr>
            </w:pPr>
          </w:p>
        </w:tc>
        <w:tc>
          <w:tcPr>
            <w:tcW w:w="1873" w:type="dxa"/>
            <w:vMerge w:val="continue"/>
            <w:vAlign w:val="center"/>
          </w:tcPr>
          <w:p>
            <w:pPr>
              <w:widowControl/>
              <w:jc w:val="left"/>
              <w:rPr>
                <w:rFonts w:ascii="Times New Roman" w:hAnsi="Times New Roman" w:eastAsia="仿宋_GB2312" w:cs="Times New Roman"/>
                <w:kern w:val="0"/>
                <w:szCs w:val="21"/>
              </w:rPr>
            </w:pPr>
          </w:p>
        </w:tc>
        <w:tc>
          <w:tcPr>
            <w:tcW w:w="1839"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1" w:type="dxa"/>
            <w:gridSpan w:val="2"/>
            <w:vMerge w:val="continue"/>
            <w:vAlign w:val="center"/>
          </w:tcPr>
          <w:p>
            <w:pPr>
              <w:widowControl/>
              <w:jc w:val="left"/>
              <w:rPr>
                <w:rFonts w:ascii="Times New Roman" w:hAnsi="Times New Roman" w:eastAsia="仿宋_GB2312" w:cs="Times New Roman"/>
                <w:kern w:val="0"/>
                <w:szCs w:val="21"/>
              </w:rPr>
            </w:pPr>
          </w:p>
        </w:tc>
        <w:tc>
          <w:tcPr>
            <w:tcW w:w="1228" w:type="dxa"/>
            <w:vMerge w:val="continue"/>
            <w:vAlign w:val="center"/>
          </w:tcPr>
          <w:p>
            <w:pPr>
              <w:widowControl/>
              <w:jc w:val="left"/>
              <w:rPr>
                <w:rFonts w:ascii="Times New Roman" w:hAnsi="Times New Roman" w:eastAsia="仿宋_GB2312" w:cs="Times New Roman"/>
                <w:kern w:val="0"/>
                <w:szCs w:val="21"/>
              </w:rPr>
            </w:pPr>
          </w:p>
        </w:tc>
        <w:tc>
          <w:tcPr>
            <w:tcW w:w="1838" w:type="dxa"/>
            <w:vMerge w:val="continue"/>
            <w:vAlign w:val="center"/>
          </w:tcPr>
          <w:p>
            <w:pPr>
              <w:widowControl/>
              <w:jc w:val="left"/>
              <w:rPr>
                <w:rFonts w:ascii="Times New Roman" w:hAnsi="Times New Roman" w:eastAsia="仿宋_GB2312" w:cs="Times New Roman"/>
                <w:kern w:val="0"/>
                <w:szCs w:val="21"/>
              </w:rPr>
            </w:pPr>
          </w:p>
        </w:tc>
        <w:tc>
          <w:tcPr>
            <w:tcW w:w="1907" w:type="dxa"/>
            <w:vMerge w:val="continue"/>
            <w:vAlign w:val="center"/>
          </w:tcPr>
          <w:p>
            <w:pPr>
              <w:widowControl/>
              <w:jc w:val="left"/>
              <w:rPr>
                <w:rFonts w:ascii="Times New Roman" w:hAnsi="Times New Roman" w:eastAsia="仿宋_GB2312" w:cs="Times New Roman"/>
                <w:kern w:val="0"/>
                <w:szCs w:val="21"/>
              </w:rPr>
            </w:pPr>
          </w:p>
        </w:tc>
        <w:tc>
          <w:tcPr>
            <w:tcW w:w="1907" w:type="dxa"/>
            <w:vMerge w:val="continue"/>
            <w:vAlign w:val="center"/>
          </w:tcPr>
          <w:p>
            <w:pPr>
              <w:widowControl/>
              <w:jc w:val="left"/>
              <w:rPr>
                <w:rFonts w:ascii="Times New Roman" w:hAnsi="Times New Roman" w:eastAsia="仿宋_GB2312" w:cs="Times New Roman"/>
                <w:kern w:val="0"/>
                <w:szCs w:val="21"/>
              </w:rPr>
            </w:pPr>
          </w:p>
        </w:tc>
        <w:tc>
          <w:tcPr>
            <w:tcW w:w="1907" w:type="dxa"/>
            <w:vMerge w:val="continue"/>
            <w:vAlign w:val="center"/>
          </w:tcPr>
          <w:p>
            <w:pPr>
              <w:widowControl/>
              <w:jc w:val="left"/>
              <w:rPr>
                <w:rFonts w:ascii="Times New Roman" w:hAnsi="Times New Roman" w:eastAsia="仿宋_GB2312" w:cs="Times New Roman"/>
                <w:kern w:val="0"/>
                <w:szCs w:val="21"/>
              </w:rPr>
            </w:pPr>
          </w:p>
        </w:tc>
        <w:tc>
          <w:tcPr>
            <w:tcW w:w="1873" w:type="dxa"/>
            <w:vMerge w:val="continue"/>
            <w:vAlign w:val="center"/>
          </w:tcPr>
          <w:p>
            <w:pPr>
              <w:widowControl/>
              <w:jc w:val="left"/>
              <w:rPr>
                <w:rFonts w:ascii="Times New Roman" w:hAnsi="Times New Roman" w:eastAsia="仿宋_GB2312" w:cs="Times New Roman"/>
                <w:kern w:val="0"/>
                <w:szCs w:val="21"/>
              </w:rPr>
            </w:pPr>
          </w:p>
        </w:tc>
        <w:tc>
          <w:tcPr>
            <w:tcW w:w="1839"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9"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1838"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1907"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1907"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c>
          <w:tcPr>
            <w:tcW w:w="1907"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w:t>
            </w:r>
          </w:p>
        </w:tc>
        <w:tc>
          <w:tcPr>
            <w:tcW w:w="1873"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w:t>
            </w:r>
          </w:p>
        </w:tc>
        <w:tc>
          <w:tcPr>
            <w:tcW w:w="1839"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9"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1838" w:type="dxa"/>
            <w:shd w:val="clear" w:color="auto" w:fill="auto"/>
            <w:vAlign w:val="center"/>
          </w:tcPr>
          <w:p>
            <w:pPr>
              <w:jc w:val="right"/>
              <w:rPr>
                <w:rFonts w:ascii="Times New Roman" w:hAnsi="Times New Roman" w:eastAsia="仿宋_GB2312" w:cs="Times New Roman"/>
                <w:kern w:val="0"/>
                <w:szCs w:val="21"/>
              </w:rPr>
            </w:pPr>
          </w:p>
        </w:tc>
        <w:tc>
          <w:tcPr>
            <w:tcW w:w="1907"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1,792.57</w:t>
            </w:r>
          </w:p>
        </w:tc>
        <w:tc>
          <w:tcPr>
            <w:tcW w:w="1907"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1,792.57</w:t>
            </w:r>
          </w:p>
        </w:tc>
        <w:tc>
          <w:tcPr>
            <w:tcW w:w="1907"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1,714.17</w:t>
            </w:r>
          </w:p>
        </w:tc>
        <w:tc>
          <w:tcPr>
            <w:tcW w:w="187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78.40</w:t>
            </w:r>
          </w:p>
        </w:tc>
        <w:tc>
          <w:tcPr>
            <w:tcW w:w="1839"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w:t>
            </w:r>
          </w:p>
        </w:tc>
        <w:tc>
          <w:tcPr>
            <w:tcW w:w="2183"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城乡社区支出</w:t>
            </w:r>
          </w:p>
        </w:tc>
        <w:tc>
          <w:tcPr>
            <w:tcW w:w="1838" w:type="dxa"/>
            <w:shd w:val="clear" w:color="auto" w:fill="auto"/>
            <w:vAlign w:val="center"/>
          </w:tcPr>
          <w:p>
            <w:pPr>
              <w:jc w:val="right"/>
              <w:rPr>
                <w:rFonts w:ascii="Times New Roman" w:hAnsi="Times New Roman" w:eastAsia="仿宋_GB2312" w:cs="Times New Roman"/>
                <w:kern w:val="0"/>
                <w:szCs w:val="21"/>
              </w:rPr>
            </w:pPr>
          </w:p>
        </w:tc>
        <w:tc>
          <w:tcPr>
            <w:tcW w:w="1907"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1,792.57</w:t>
            </w:r>
          </w:p>
        </w:tc>
        <w:tc>
          <w:tcPr>
            <w:tcW w:w="1907"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1,792.57</w:t>
            </w:r>
          </w:p>
        </w:tc>
        <w:tc>
          <w:tcPr>
            <w:tcW w:w="1907"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1,714.17</w:t>
            </w:r>
          </w:p>
        </w:tc>
        <w:tc>
          <w:tcPr>
            <w:tcW w:w="187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78.40</w:t>
            </w:r>
          </w:p>
        </w:tc>
        <w:tc>
          <w:tcPr>
            <w:tcW w:w="1839"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21208</w:t>
            </w:r>
          </w:p>
        </w:tc>
        <w:tc>
          <w:tcPr>
            <w:tcW w:w="2183"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国有土地使用权出让收入安排的支出</w:t>
            </w:r>
          </w:p>
        </w:tc>
        <w:tc>
          <w:tcPr>
            <w:tcW w:w="1838" w:type="dxa"/>
            <w:shd w:val="clear" w:color="auto" w:fill="auto"/>
            <w:vAlign w:val="center"/>
          </w:tcPr>
          <w:p>
            <w:pPr>
              <w:jc w:val="right"/>
              <w:rPr>
                <w:rFonts w:ascii="Times New Roman" w:hAnsi="Times New Roman" w:eastAsia="仿宋_GB2312" w:cs="Times New Roman"/>
                <w:kern w:val="0"/>
                <w:szCs w:val="21"/>
              </w:rPr>
            </w:pPr>
          </w:p>
        </w:tc>
        <w:tc>
          <w:tcPr>
            <w:tcW w:w="1907"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1,792.57</w:t>
            </w:r>
          </w:p>
        </w:tc>
        <w:tc>
          <w:tcPr>
            <w:tcW w:w="1907"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1,792.57</w:t>
            </w:r>
          </w:p>
        </w:tc>
        <w:tc>
          <w:tcPr>
            <w:tcW w:w="1907"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1,714.17</w:t>
            </w:r>
          </w:p>
        </w:tc>
        <w:tc>
          <w:tcPr>
            <w:tcW w:w="187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78.40</w:t>
            </w:r>
          </w:p>
        </w:tc>
        <w:tc>
          <w:tcPr>
            <w:tcW w:w="1839"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2120801</w:t>
            </w:r>
          </w:p>
        </w:tc>
        <w:tc>
          <w:tcPr>
            <w:tcW w:w="2183"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征地和拆迁补偿支出</w:t>
            </w:r>
          </w:p>
        </w:tc>
        <w:tc>
          <w:tcPr>
            <w:tcW w:w="1838" w:type="dxa"/>
            <w:shd w:val="clear" w:color="auto" w:fill="auto"/>
            <w:vAlign w:val="center"/>
          </w:tcPr>
          <w:p>
            <w:pPr>
              <w:jc w:val="right"/>
              <w:rPr>
                <w:rFonts w:ascii="Times New Roman" w:hAnsi="Times New Roman" w:eastAsia="仿宋_GB2312" w:cs="Times New Roman"/>
                <w:kern w:val="0"/>
                <w:szCs w:val="21"/>
              </w:rPr>
            </w:pPr>
          </w:p>
        </w:tc>
        <w:tc>
          <w:tcPr>
            <w:tcW w:w="1907"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1907"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1907"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1873" w:type="dxa"/>
            <w:shd w:val="clear" w:color="auto" w:fill="auto"/>
            <w:vAlign w:val="center"/>
          </w:tcPr>
          <w:p>
            <w:pPr>
              <w:jc w:val="right"/>
              <w:rPr>
                <w:rFonts w:ascii="Times New Roman" w:hAnsi="Times New Roman" w:eastAsia="仿宋_GB2312" w:cs="Times New Roman"/>
                <w:kern w:val="0"/>
                <w:szCs w:val="21"/>
              </w:rPr>
            </w:pPr>
          </w:p>
        </w:tc>
        <w:tc>
          <w:tcPr>
            <w:tcW w:w="1839"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2120802</w:t>
            </w:r>
          </w:p>
        </w:tc>
        <w:tc>
          <w:tcPr>
            <w:tcW w:w="2183"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土地开发支出</w:t>
            </w:r>
          </w:p>
        </w:tc>
        <w:tc>
          <w:tcPr>
            <w:tcW w:w="1838" w:type="dxa"/>
            <w:shd w:val="clear" w:color="auto" w:fill="auto"/>
            <w:vAlign w:val="center"/>
          </w:tcPr>
          <w:p>
            <w:pPr>
              <w:jc w:val="right"/>
              <w:rPr>
                <w:rFonts w:ascii="Times New Roman" w:hAnsi="Times New Roman" w:eastAsia="仿宋_GB2312" w:cs="Times New Roman"/>
                <w:kern w:val="0"/>
                <w:szCs w:val="21"/>
              </w:rPr>
            </w:pPr>
          </w:p>
        </w:tc>
        <w:tc>
          <w:tcPr>
            <w:tcW w:w="1907"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1,790.49</w:t>
            </w:r>
          </w:p>
        </w:tc>
        <w:tc>
          <w:tcPr>
            <w:tcW w:w="1907"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1,790.49</w:t>
            </w:r>
          </w:p>
        </w:tc>
        <w:tc>
          <w:tcPr>
            <w:tcW w:w="1907"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1,712.09</w:t>
            </w:r>
          </w:p>
        </w:tc>
        <w:tc>
          <w:tcPr>
            <w:tcW w:w="1873"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78.40</w:t>
            </w:r>
          </w:p>
        </w:tc>
        <w:tc>
          <w:tcPr>
            <w:tcW w:w="1839"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2709"/>
        <w:gridCol w:w="880"/>
        <w:gridCol w:w="495"/>
        <w:gridCol w:w="751"/>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3589"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95"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1"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3589"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部门：湖南月岩国家森林公园管理局</w:t>
            </w:r>
          </w:p>
        </w:tc>
        <w:tc>
          <w:tcPr>
            <w:tcW w:w="495"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1"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408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408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408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408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408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4084"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51"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注：本表反映部门本年度国有资本经营预算财政拨款支出情况。</w:t>
            </w:r>
            <w:r>
              <w:rPr>
                <w:rFonts w:hint="eastAsia" w:ascii="宋体" w:hAnsi="宋体" w:eastAsia="宋体" w:cs="宋体"/>
                <w:kern w:val="0"/>
                <w:sz w:val="24"/>
                <w:szCs w:val="24"/>
                <w:lang w:eastAsia="zh-CN"/>
              </w:rPr>
              <w:t>本部门无国有资本经营情况，故本表无数据。</w:t>
            </w:r>
          </w:p>
        </w:tc>
      </w:tr>
    </w:tbl>
    <w:p>
      <w:pPr>
        <w:pStyle w:val="13"/>
        <w:rPr>
          <w:sz w:val="72"/>
          <w:szCs w:val="72"/>
        </w:rPr>
        <w:sectPr>
          <w:pgSz w:w="16838" w:h="11906" w:orient="landscape"/>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3"/>
        <w:rPr>
          <w:rFonts w:asciiTheme="minorEastAsia" w:hAnsiTheme="minorEastAsia" w:eastAsiaTheme="minorEastAsia"/>
          <w:sz w:val="32"/>
          <w:szCs w:val="32"/>
        </w:rPr>
      </w:pPr>
    </w:p>
    <w:p>
      <w:pPr>
        <w:pStyle w:val="13"/>
        <w:rPr>
          <w:rFonts w:hAnsi="黑体"/>
          <w:b/>
          <w:sz w:val="32"/>
          <w:szCs w:val="32"/>
        </w:rPr>
      </w:pPr>
      <w:r>
        <w:rPr>
          <w:rFonts w:hint="eastAsia" w:hAnsi="黑体"/>
          <w:b/>
          <w:sz w:val="32"/>
          <w:szCs w:val="32"/>
        </w:rPr>
        <w:t>一、收入支出决算总体情况说明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2021年度收、支总计2663.96万元。与上年相比，减少962.38万元，减少26%，主要是因为项目的减少、人员的退休。</w:t>
      </w:r>
    </w:p>
    <w:p>
      <w:pPr>
        <w:pStyle w:val="13"/>
        <w:rPr>
          <w:rFonts w:hAnsi="黑体"/>
          <w:b/>
          <w:sz w:val="32"/>
          <w:szCs w:val="32"/>
        </w:rPr>
      </w:pPr>
      <w:r>
        <w:rPr>
          <w:rFonts w:hint="eastAsia" w:hAnsi="黑体"/>
          <w:b/>
          <w:sz w:val="32"/>
          <w:szCs w:val="32"/>
        </w:rPr>
        <w:t>二、收入决算情况说明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2021年度收入合计2663.96万元，其中：财政拨款收入2663.96万元，占100%；上级补助收入0万元，占0%；事业收入0万元，占0%；经营收入0万元，占0%；附属单位上缴收入0万元，占0%；其他收入0万元，占0%。</w:t>
      </w:r>
    </w:p>
    <w:p>
      <w:pPr>
        <w:pStyle w:val="13"/>
        <w:rPr>
          <w:rFonts w:hAnsi="黑体"/>
          <w:b/>
          <w:sz w:val="32"/>
          <w:szCs w:val="32"/>
        </w:rPr>
      </w:pPr>
      <w:r>
        <w:rPr>
          <w:rFonts w:hint="eastAsia" w:hAnsi="黑体"/>
          <w:b/>
          <w:sz w:val="32"/>
          <w:szCs w:val="32"/>
        </w:rPr>
        <w:t>三、支出决算情况说明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2021年度支出合计2663.96万元，其中：基本支出2053.96万元，占77%；项目支出610万元，占23%；上缴上级支出0万元，占0%；经营支出0万元，占0%；对附属单位补助支出0万元，占0%。</w:t>
      </w:r>
    </w:p>
    <w:p>
      <w:pPr>
        <w:pStyle w:val="13"/>
        <w:rPr>
          <w:rFonts w:hAnsi="黑体"/>
          <w:b/>
          <w:sz w:val="32"/>
          <w:szCs w:val="32"/>
        </w:rPr>
      </w:pPr>
      <w:r>
        <w:rPr>
          <w:rFonts w:hint="eastAsia" w:hAnsi="黑体"/>
          <w:b/>
          <w:sz w:val="32"/>
          <w:szCs w:val="32"/>
        </w:rPr>
        <w:t>四、财政拨款收入支出决算总体情况说明</w:t>
      </w:r>
    </w:p>
    <w:p>
      <w:pPr>
        <w:pStyle w:val="13"/>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2021年度财政拨款收、支总计2663.96万元，与上年相比，减少962.38万元,减少26%，主要是因为项目的减少、人员的退休。</w:t>
      </w:r>
    </w:p>
    <w:p>
      <w:pPr>
        <w:pStyle w:val="13"/>
        <w:ind w:firstLine="640"/>
        <w:rPr>
          <w:rFonts w:hAnsi="黑体"/>
          <w:b/>
          <w:sz w:val="32"/>
          <w:szCs w:val="32"/>
        </w:rPr>
      </w:pPr>
      <w:r>
        <w:rPr>
          <w:rFonts w:hint="eastAsia" w:hAnsi="黑体"/>
          <w:b/>
          <w:sz w:val="32"/>
          <w:szCs w:val="32"/>
        </w:rPr>
        <w:t>五、一般公共预算财政拨款支出决算情况说明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2021年度财政拨款支出2663.96万元，占本年支出合计的100%，与上年相比，财政拨款支出减少962.38万元，减少26%，主要是因为项目的减少、人员的退休。</w:t>
      </w:r>
    </w:p>
    <w:p>
      <w:pPr>
        <w:pStyle w:val="1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2021年度财政拨款支出2663.96万元，主要用于以下方面：一般公共服务支出8.1万元，占0.3%；社会保障和就业支出237.73万元，占8.93%;</w:t>
      </w:r>
      <w:r>
        <w:rPr>
          <w:rFonts w:hint="eastAsia" w:ascii="宋体" w:hAnsi="宋体" w:eastAsia="宋体" w:cs="宋体"/>
          <w:sz w:val="32"/>
          <w:szCs w:val="32"/>
        </w:rPr>
        <w:t>卫生健康支出102.06万元，占3.83%；节能环保支出507.5万元，占19.05%；城乡社区支出1792.57万元，占67.29%；灾害防治及应急管理支出16万元，占0.6%。</w:t>
      </w:r>
    </w:p>
    <w:p>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2021年度财政拨款支出年初预算数为2432.75万元，支出决算数为2663.96万元，完成年初预算的109%，其中：</w:t>
      </w:r>
    </w:p>
    <w:p>
      <w:pPr>
        <w:pStyle w:val="7"/>
        <w:widowControl/>
        <w:spacing w:beforeAutospacing="0" w:after="2" w:afterAutospacing="0"/>
        <w:ind w:firstLine="641"/>
        <w:rPr>
          <w:sz w:val="27"/>
          <w:szCs w:val="27"/>
        </w:rPr>
      </w:pPr>
      <w:r>
        <w:rPr>
          <w:rStyle w:val="10"/>
          <w:rFonts w:hint="eastAsia" w:ascii="宋体" w:hAnsi="宋体" w:eastAsia="宋体" w:cs="宋体"/>
          <w:color w:val="000000"/>
          <w:sz w:val="32"/>
          <w:szCs w:val="32"/>
        </w:rPr>
        <w:t>1、一般公共服务支出（类）纪检监察事务（款）其他纪检监察事务支出（项）</w:t>
      </w:r>
    </w:p>
    <w:p>
      <w:pPr>
        <w:pStyle w:val="7"/>
        <w:widowControl/>
        <w:spacing w:beforeAutospacing="0" w:after="2" w:afterAutospacing="0"/>
        <w:ind w:firstLine="641"/>
        <w:rPr>
          <w:sz w:val="27"/>
          <w:szCs w:val="27"/>
        </w:rPr>
      </w:pPr>
      <w:r>
        <w:rPr>
          <w:rFonts w:hint="eastAsia" w:ascii="宋体" w:hAnsi="宋体" w:eastAsia="宋体" w:cs="宋体"/>
          <w:color w:val="000000"/>
          <w:sz w:val="32"/>
          <w:szCs w:val="32"/>
        </w:rPr>
        <w:t>年初预算为8.1万元，支出决算为8.1万元，完成年初预算的100%。</w:t>
      </w:r>
    </w:p>
    <w:p>
      <w:pPr>
        <w:pStyle w:val="7"/>
        <w:widowControl/>
        <w:spacing w:beforeAutospacing="0" w:after="2" w:afterAutospacing="0"/>
        <w:ind w:firstLine="641"/>
        <w:rPr>
          <w:sz w:val="27"/>
          <w:szCs w:val="27"/>
        </w:rPr>
      </w:pPr>
      <w:r>
        <w:rPr>
          <w:rStyle w:val="10"/>
          <w:rFonts w:hint="eastAsia" w:ascii="宋体" w:hAnsi="宋体" w:eastAsia="宋体" w:cs="宋体"/>
          <w:color w:val="000000"/>
          <w:sz w:val="32"/>
          <w:szCs w:val="32"/>
        </w:rPr>
        <w:t>2、社会保障和就业支出（类）行政事业单位养老支出（款）机关事业单位基本养老保险缴费支出（项）</w:t>
      </w:r>
    </w:p>
    <w:p>
      <w:pPr>
        <w:pStyle w:val="7"/>
        <w:widowControl/>
        <w:spacing w:beforeAutospacing="0" w:after="2" w:afterAutospacing="0"/>
        <w:ind w:firstLine="641"/>
        <w:rPr>
          <w:sz w:val="27"/>
          <w:szCs w:val="27"/>
        </w:rPr>
      </w:pPr>
      <w:r>
        <w:rPr>
          <w:rFonts w:hint="eastAsia" w:ascii="宋体" w:hAnsi="宋体" w:eastAsia="宋体" w:cs="宋体"/>
          <w:color w:val="000000"/>
          <w:sz w:val="32"/>
          <w:szCs w:val="32"/>
        </w:rPr>
        <w:t>年初预算为251.45万元，支出决算为202.32万元，完成年初预算的80%。决算数小于年初预算数的主要原因是：养老保险职业年金单位部分财政没有拨付。</w:t>
      </w:r>
    </w:p>
    <w:p>
      <w:pPr>
        <w:pStyle w:val="7"/>
        <w:widowControl/>
        <w:spacing w:beforeAutospacing="0" w:after="2" w:afterAutospacing="0"/>
        <w:ind w:firstLine="641"/>
        <w:rPr>
          <w:sz w:val="27"/>
          <w:szCs w:val="27"/>
        </w:rPr>
      </w:pPr>
      <w:r>
        <w:rPr>
          <w:rStyle w:val="10"/>
          <w:rFonts w:hint="eastAsia" w:ascii="宋体" w:hAnsi="宋体" w:eastAsia="宋体" w:cs="宋体"/>
          <w:color w:val="000000"/>
          <w:sz w:val="32"/>
          <w:szCs w:val="32"/>
        </w:rPr>
        <w:t>3、社会保障和就业支出（类）抚恤（款）死亡抚恤（项）</w:t>
      </w:r>
    </w:p>
    <w:p>
      <w:pPr>
        <w:pStyle w:val="7"/>
        <w:widowControl/>
        <w:spacing w:beforeAutospacing="0" w:after="2" w:afterAutospacing="0"/>
        <w:ind w:firstLine="641"/>
        <w:rPr>
          <w:sz w:val="27"/>
          <w:szCs w:val="27"/>
        </w:rPr>
      </w:pPr>
      <w:r>
        <w:rPr>
          <w:rFonts w:hint="eastAsia" w:ascii="宋体" w:hAnsi="宋体" w:eastAsia="宋体" w:cs="宋体"/>
          <w:color w:val="000000"/>
          <w:sz w:val="32"/>
          <w:szCs w:val="32"/>
        </w:rPr>
        <w:t>年初预算为0万元，支出决算为35.41万元，超出年初预算的100%。决算数大于年初预算数的主要原因是：财政纳入大预算。</w:t>
      </w:r>
    </w:p>
    <w:p>
      <w:pPr>
        <w:pStyle w:val="7"/>
        <w:widowControl/>
        <w:spacing w:beforeAutospacing="0" w:after="2" w:afterAutospacing="0"/>
        <w:ind w:firstLine="641"/>
        <w:rPr>
          <w:sz w:val="27"/>
          <w:szCs w:val="27"/>
        </w:rPr>
      </w:pPr>
      <w:r>
        <w:rPr>
          <w:rStyle w:val="10"/>
          <w:rFonts w:hint="eastAsia" w:ascii="宋体" w:hAnsi="宋体" w:eastAsia="宋体" w:cs="宋体"/>
          <w:color w:val="000000"/>
          <w:sz w:val="32"/>
          <w:szCs w:val="32"/>
        </w:rPr>
        <w:t>4、卫生健康支出（类）行政事业单位医疗（款）事业单位医疗（项）</w:t>
      </w:r>
    </w:p>
    <w:p>
      <w:pPr>
        <w:pStyle w:val="7"/>
        <w:widowControl/>
        <w:spacing w:beforeAutospacing="0" w:after="2" w:afterAutospacing="0"/>
        <w:ind w:firstLine="641"/>
        <w:rPr>
          <w:sz w:val="27"/>
          <w:szCs w:val="27"/>
        </w:rPr>
      </w:pPr>
      <w:r>
        <w:rPr>
          <w:rFonts w:hint="eastAsia" w:ascii="宋体" w:hAnsi="宋体" w:eastAsia="宋体" w:cs="宋体"/>
          <w:color w:val="000000"/>
          <w:sz w:val="32"/>
          <w:szCs w:val="32"/>
        </w:rPr>
        <w:t>年初预算为125.72万元，支出决算为102.06万元，完成年初预算的81%。决算数小于年初预算数的主要原因是：在职人员退休减少。</w:t>
      </w:r>
    </w:p>
    <w:p>
      <w:pPr>
        <w:pStyle w:val="7"/>
        <w:widowControl/>
        <w:spacing w:beforeAutospacing="0" w:after="2" w:afterAutospacing="0"/>
        <w:ind w:firstLine="641"/>
        <w:rPr>
          <w:sz w:val="27"/>
          <w:szCs w:val="27"/>
        </w:rPr>
      </w:pPr>
      <w:r>
        <w:rPr>
          <w:rStyle w:val="10"/>
          <w:rFonts w:hint="eastAsia" w:ascii="宋体" w:hAnsi="宋体" w:eastAsia="宋体" w:cs="宋体"/>
          <w:color w:val="000000"/>
          <w:sz w:val="32"/>
          <w:szCs w:val="32"/>
        </w:rPr>
        <w:t>5、节能环保支出（类）自然生态保护（款）生态保护（项）</w:t>
      </w:r>
    </w:p>
    <w:p>
      <w:pPr>
        <w:pStyle w:val="7"/>
        <w:widowControl/>
        <w:spacing w:beforeAutospacing="0" w:after="2" w:afterAutospacing="0"/>
        <w:ind w:firstLine="641"/>
        <w:rPr>
          <w:sz w:val="27"/>
          <w:szCs w:val="27"/>
        </w:rPr>
      </w:pPr>
      <w:r>
        <w:rPr>
          <w:rFonts w:hint="eastAsia" w:ascii="宋体" w:hAnsi="宋体" w:eastAsia="宋体" w:cs="宋体"/>
          <w:color w:val="000000"/>
          <w:sz w:val="32"/>
          <w:szCs w:val="32"/>
        </w:rPr>
        <w:t>年初预算为4.5万元，支出决算为4.5万元，完成年初预算的100%。</w:t>
      </w:r>
    </w:p>
    <w:p>
      <w:pPr>
        <w:pStyle w:val="7"/>
        <w:widowControl/>
        <w:spacing w:beforeAutospacing="0" w:after="2" w:afterAutospacing="0"/>
        <w:ind w:firstLine="641"/>
        <w:rPr>
          <w:sz w:val="27"/>
          <w:szCs w:val="27"/>
        </w:rPr>
      </w:pPr>
      <w:r>
        <w:rPr>
          <w:rStyle w:val="10"/>
          <w:rFonts w:hint="eastAsia" w:ascii="宋体" w:hAnsi="宋体" w:eastAsia="宋体" w:cs="宋体"/>
          <w:color w:val="000000"/>
          <w:sz w:val="32"/>
          <w:szCs w:val="32"/>
        </w:rPr>
        <w:t>6、节能环保支出（类）自然生态保护（款）其他节能环保支出（项）</w:t>
      </w:r>
    </w:p>
    <w:p>
      <w:pPr>
        <w:pStyle w:val="7"/>
        <w:widowControl/>
        <w:spacing w:beforeAutospacing="0" w:after="2" w:afterAutospacing="0"/>
        <w:ind w:firstLine="641"/>
        <w:rPr>
          <w:sz w:val="27"/>
          <w:szCs w:val="27"/>
        </w:rPr>
      </w:pPr>
      <w:r>
        <w:rPr>
          <w:rFonts w:hint="eastAsia" w:ascii="宋体" w:hAnsi="宋体" w:eastAsia="宋体" w:cs="宋体"/>
          <w:color w:val="000000"/>
          <w:sz w:val="32"/>
          <w:szCs w:val="32"/>
        </w:rPr>
        <w:t>年初预算为0万元，支出决算为110万元，超出年初预算的100%。决算数大于年初预算数的主要原因是：小水电拆除补偿款未纳入年初预算。</w:t>
      </w:r>
    </w:p>
    <w:p>
      <w:pPr>
        <w:pStyle w:val="7"/>
        <w:widowControl/>
        <w:spacing w:beforeAutospacing="0" w:after="2" w:afterAutospacing="0"/>
        <w:ind w:firstLine="641"/>
        <w:rPr>
          <w:sz w:val="27"/>
          <w:szCs w:val="27"/>
        </w:rPr>
      </w:pPr>
      <w:r>
        <w:rPr>
          <w:rStyle w:val="10"/>
          <w:rFonts w:hint="eastAsia" w:ascii="宋体" w:hAnsi="宋体" w:eastAsia="宋体" w:cs="宋体"/>
          <w:color w:val="000000"/>
          <w:sz w:val="32"/>
          <w:szCs w:val="32"/>
        </w:rPr>
        <w:t>7、节能环保支出（类）天然林保护（款）停伐补助（项）</w:t>
      </w:r>
    </w:p>
    <w:p>
      <w:pPr>
        <w:pStyle w:val="7"/>
        <w:widowControl/>
        <w:spacing w:beforeAutospacing="0" w:after="2" w:afterAutospacing="0"/>
        <w:ind w:firstLine="641"/>
        <w:rPr>
          <w:sz w:val="27"/>
          <w:szCs w:val="27"/>
        </w:rPr>
      </w:pPr>
      <w:r>
        <w:rPr>
          <w:rFonts w:hint="eastAsia" w:ascii="宋体" w:hAnsi="宋体" w:eastAsia="宋体" w:cs="宋体"/>
          <w:color w:val="000000"/>
          <w:sz w:val="32"/>
          <w:szCs w:val="32"/>
        </w:rPr>
        <w:t>年初预算为0万元，支出决算为393万元，超出年初预算的100%。决算数大于年初预算数的主要原因是：天然林禁伐补助，省厅下拨指标，未纳入年初预算。</w:t>
      </w:r>
    </w:p>
    <w:p>
      <w:pPr>
        <w:pStyle w:val="7"/>
        <w:widowControl/>
        <w:spacing w:beforeAutospacing="0" w:after="2" w:afterAutospacing="0"/>
        <w:ind w:firstLine="641"/>
        <w:rPr>
          <w:sz w:val="27"/>
          <w:szCs w:val="27"/>
        </w:rPr>
      </w:pPr>
      <w:r>
        <w:rPr>
          <w:rStyle w:val="10"/>
          <w:rFonts w:hint="eastAsia" w:ascii="宋体" w:hAnsi="宋体" w:eastAsia="宋体" w:cs="宋体"/>
          <w:color w:val="000000"/>
          <w:sz w:val="32"/>
          <w:szCs w:val="32"/>
        </w:rPr>
        <w:t>8、灾害防治及应急管理支出（类）自然灾害防治（款）森林草原防灾减灾（项）</w:t>
      </w:r>
    </w:p>
    <w:p>
      <w:pPr>
        <w:pStyle w:val="7"/>
        <w:widowControl/>
        <w:spacing w:beforeAutospacing="0" w:after="2" w:afterAutospacing="0"/>
        <w:ind w:firstLine="641"/>
        <w:rPr>
          <w:rFonts w:asciiTheme="minorEastAsia" w:hAnsiTheme="minorEastAsia"/>
          <w:sz w:val="32"/>
          <w:szCs w:val="32"/>
        </w:rPr>
      </w:pPr>
      <w:r>
        <w:rPr>
          <w:rFonts w:hint="eastAsia" w:ascii="宋体" w:hAnsi="宋体" w:eastAsia="宋体" w:cs="宋体"/>
          <w:color w:val="000000"/>
          <w:sz w:val="32"/>
          <w:szCs w:val="32"/>
        </w:rPr>
        <w:t>年初预算为16万元，支出决算为16万元，完成年初预算的100%。</w:t>
      </w:r>
    </w:p>
    <w:p>
      <w:pPr>
        <w:pStyle w:val="13"/>
        <w:rPr>
          <w:rFonts w:hAnsi="黑体"/>
          <w:b/>
          <w:sz w:val="32"/>
          <w:szCs w:val="32"/>
        </w:rPr>
      </w:pPr>
      <w:r>
        <w:rPr>
          <w:rFonts w:hint="eastAsia" w:hAnsi="黑体"/>
          <w:b/>
          <w:sz w:val="32"/>
          <w:szCs w:val="32"/>
        </w:rPr>
        <w:t>六、一般公共预算财政拨款基本支出决算情况说明</w:t>
      </w:r>
    </w:p>
    <w:p>
      <w:pPr>
        <w:pStyle w:val="13"/>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2021年度财政拨款基本支出2053.96万元，</w:t>
      </w:r>
      <w:r>
        <w:rPr>
          <w:rFonts w:hint="eastAsia" w:ascii="宋体" w:hAnsi="宋体" w:eastAsia="宋体" w:cs="宋体"/>
          <w:sz w:val="32"/>
          <w:szCs w:val="32"/>
        </w:rPr>
        <w:t>其中：人员经费1962.98万元，占基本支出的95.57%，主要包括：基本工资、津贴补贴、奖金、绩效工资、机关事业单位基本养老保险缴费、职工基本医疗保险缴费、抚恤金。公用经费90.98万元，占基本支出的4.43%，主要包括：办公费、印刷费、电费、邮电费、差旅费、维修（护）费、会议费、培训费、公务接待费、劳务费、工会经费、福利费、公务用车运行维护费、其他交通费用、税金及附加费用。</w:t>
      </w:r>
    </w:p>
    <w:p>
      <w:pPr>
        <w:pStyle w:val="13"/>
        <w:rPr>
          <w:rFonts w:hAnsi="黑体"/>
          <w:b/>
          <w:sz w:val="32"/>
          <w:szCs w:val="32"/>
        </w:rPr>
      </w:pPr>
      <w:r>
        <w:rPr>
          <w:rFonts w:hint="eastAsia" w:hAnsi="黑体"/>
          <w:b/>
          <w:sz w:val="32"/>
          <w:szCs w:val="32"/>
        </w:rPr>
        <w:t>七、一般公共预算财政拨款“三公”经费支出决算情况说明</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2021年度“三公”经费财政拨款支出预算为31.35万元，支出决算为28.74万元，完成预算的91.67%，其中：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公务接待费支出预算为19.35万元，支出决算为16.74万元，完成预算的96.51%，决算数小于预算数的主要原因是提倡节约、精简开支，与上年相比减少0.62万元，减少3.57%,减少的主要原因是提倡节约、精简开支。</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w:t>
      </w:r>
    </w:p>
    <w:p>
      <w:pPr>
        <w:pStyle w:val="13"/>
        <w:ind w:firstLine="640" w:firstLineChars="200"/>
        <w:rPr>
          <w:rFonts w:asciiTheme="minorEastAsia" w:hAnsiTheme="minorEastAsia" w:eastAsiaTheme="minorEastAsia"/>
          <w:sz w:val="32"/>
          <w:szCs w:val="32"/>
        </w:rPr>
      </w:pPr>
      <w:bookmarkStart w:id="3" w:name="_GoBack"/>
      <w:bookmarkEnd w:id="3"/>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公务用车运行维护费支出预算为12万元，支出决算为12万元，完成预算的100%。</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2021年度“三公”经费财政拨款支出决算中，公务接待费支出决算16.74万元，占58.25%,因公出国（境）费支出决算</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rPr>
        <w:t>0，公务用车购置费及运行维护费支出决算12万元，占41.75%。其中：</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2、公务接待费支出决算为16.74万元，全年共接待来访团组210个、来宾2000人次，主要是</w:t>
      </w:r>
      <w:r>
        <w:rPr>
          <w:rFonts w:hint="eastAsia" w:ascii="宋体" w:hAnsi="宋体" w:eastAsia="宋体" w:cs="宋体"/>
          <w:sz w:val="32"/>
          <w:szCs w:val="32"/>
        </w:rPr>
        <w:t>接待上级领导来我局指导、调研、检查工作和招商引资发生的接待支出</w:t>
      </w:r>
      <w:r>
        <w:rPr>
          <w:rFonts w:hint="eastAsia" w:asciiTheme="minorEastAsia" w:hAnsiTheme="minorEastAsia" w:eastAsiaTheme="minorEastAsia"/>
          <w:sz w:val="32"/>
          <w:szCs w:val="32"/>
        </w:rPr>
        <w:t>。</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3、公务用车购置费及运行维护费支出决算为12万元，其中：公务用车购置费0万元，</w:t>
      </w:r>
      <w:r>
        <w:rPr>
          <w:rFonts w:hint="eastAsia" w:asciiTheme="minorEastAsia" w:hAnsiTheme="minorEastAsia"/>
          <w:sz w:val="32"/>
          <w:szCs w:val="32"/>
          <w:lang w:eastAsia="zh-CN"/>
        </w:rPr>
        <w:t>公务用车购置</w:t>
      </w:r>
      <w:r>
        <w:rPr>
          <w:rFonts w:hint="eastAsia" w:asciiTheme="minorEastAsia" w:hAnsiTheme="minorEastAsia"/>
          <w:sz w:val="32"/>
          <w:szCs w:val="32"/>
          <w:lang w:val="en-US" w:eastAsia="zh-CN"/>
        </w:rPr>
        <w:t>0辆，</w:t>
      </w:r>
      <w:r>
        <w:rPr>
          <w:rFonts w:hint="eastAsia" w:asciiTheme="minorEastAsia" w:hAnsiTheme="minorEastAsia"/>
          <w:sz w:val="32"/>
          <w:szCs w:val="32"/>
        </w:rPr>
        <w:t>公务用车运行维护费12万元，主要是</w:t>
      </w:r>
      <w:r>
        <w:rPr>
          <w:rFonts w:hint="eastAsia" w:ascii="宋体" w:hAnsi="宋体" w:eastAsia="宋体" w:cs="宋体"/>
          <w:color w:val="000000"/>
          <w:sz w:val="32"/>
          <w:szCs w:val="32"/>
        </w:rPr>
        <w:t>油料费、保险费、维修费</w:t>
      </w:r>
      <w:r>
        <w:rPr>
          <w:rFonts w:hint="eastAsia" w:asciiTheme="minorEastAsia" w:hAnsiTheme="minorEastAsia"/>
          <w:sz w:val="32"/>
          <w:szCs w:val="32"/>
        </w:rPr>
        <w:t>支出，截止2021年12月31日，我单位开支财政拨款的公务用车保有量为5辆。</w:t>
      </w:r>
    </w:p>
    <w:p>
      <w:pPr>
        <w:pStyle w:val="13"/>
        <w:rPr>
          <w:rFonts w:hAnsi="黑体"/>
          <w:b/>
          <w:sz w:val="32"/>
          <w:szCs w:val="32"/>
        </w:rPr>
      </w:pPr>
      <w:r>
        <w:rPr>
          <w:rFonts w:hint="eastAsia" w:hAnsi="黑体"/>
          <w:b/>
          <w:sz w:val="32"/>
          <w:szCs w:val="32"/>
        </w:rPr>
        <w:t>八、政府性基金预算收入支出决算情况</w:t>
      </w:r>
    </w:p>
    <w:p>
      <w:pPr>
        <w:pStyle w:val="13"/>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2021年度政府性基金预算财政拨款收入1792.57元；年初结转和结余0万元；支出1792.57万元，其中基本支出1714.17万元，项目支出78.4万元；年末结转和结余0万元。具体情况如下：</w:t>
      </w:r>
    </w:p>
    <w:p>
      <w:pPr>
        <w:pStyle w:val="7"/>
        <w:widowControl/>
        <w:spacing w:beforeAutospacing="0" w:after="2" w:afterAutospacing="0"/>
        <w:ind w:firstLine="641"/>
        <w:rPr>
          <w:sz w:val="27"/>
          <w:szCs w:val="27"/>
        </w:rPr>
      </w:pPr>
      <w:r>
        <w:rPr>
          <w:rStyle w:val="10"/>
          <w:rFonts w:hint="eastAsia" w:ascii="宋体" w:hAnsi="宋体" w:eastAsia="宋体" w:cs="宋体"/>
          <w:color w:val="000000"/>
          <w:sz w:val="32"/>
          <w:szCs w:val="32"/>
        </w:rPr>
        <w:t>1、政府性基金财政拨款支出（类）城乡社区支出（室）国有土地使用权出让收入安排的支出（款）征收和拆迁补偿支出（项）</w:t>
      </w:r>
    </w:p>
    <w:p>
      <w:pPr>
        <w:pStyle w:val="7"/>
        <w:widowControl/>
        <w:spacing w:beforeAutospacing="0" w:after="2" w:afterAutospacing="0"/>
        <w:ind w:firstLine="641"/>
        <w:rPr>
          <w:sz w:val="27"/>
          <w:szCs w:val="27"/>
        </w:rPr>
      </w:pPr>
      <w:r>
        <w:rPr>
          <w:rFonts w:hint="eastAsia" w:ascii="宋体" w:hAnsi="宋体" w:eastAsia="宋体" w:cs="宋体"/>
          <w:color w:val="000000"/>
          <w:sz w:val="32"/>
          <w:szCs w:val="32"/>
        </w:rPr>
        <w:t>年初预算为0万元，支出决算为2.08万元，超出年初预算的100%。决算数大于年初预算数的主要原因是：年初预算列入农林水支出。</w:t>
      </w:r>
    </w:p>
    <w:p>
      <w:pPr>
        <w:pStyle w:val="7"/>
        <w:widowControl/>
        <w:spacing w:beforeAutospacing="0" w:after="2" w:afterAutospacing="0"/>
        <w:ind w:firstLine="641"/>
        <w:rPr>
          <w:sz w:val="27"/>
          <w:szCs w:val="27"/>
        </w:rPr>
      </w:pPr>
      <w:r>
        <w:rPr>
          <w:rStyle w:val="10"/>
          <w:rFonts w:hint="eastAsia" w:ascii="宋体" w:hAnsi="宋体" w:eastAsia="宋体" w:cs="宋体"/>
          <w:color w:val="000000"/>
          <w:sz w:val="32"/>
          <w:szCs w:val="32"/>
        </w:rPr>
        <w:t>2、政府性基金财政拨款支出（类）城乡社区支出（室）国有土地使用权出让收入安排的支出（款）土地开发支出（项）</w:t>
      </w:r>
    </w:p>
    <w:p>
      <w:pPr>
        <w:pStyle w:val="7"/>
        <w:widowControl/>
        <w:spacing w:beforeAutospacing="0" w:after="2" w:afterAutospacing="0"/>
        <w:ind w:firstLine="641"/>
        <w:rPr>
          <w:sz w:val="27"/>
          <w:szCs w:val="27"/>
        </w:rPr>
      </w:pPr>
      <w:r>
        <w:rPr>
          <w:rFonts w:hint="eastAsia" w:ascii="宋体" w:hAnsi="宋体" w:eastAsia="宋体" w:cs="宋体"/>
          <w:color w:val="000000"/>
          <w:sz w:val="32"/>
          <w:szCs w:val="32"/>
        </w:rPr>
        <w:t>年初预算为0万元，支出决算为1790.49万元，超出年初预算的100%。决算数大于年初预算数的主要原因是：年初预算列入农林水支出。</w:t>
      </w:r>
    </w:p>
    <w:p>
      <w:pPr>
        <w:pStyle w:val="13"/>
        <w:rPr>
          <w:rFonts w:hAnsi="黑体"/>
          <w:b/>
          <w:sz w:val="32"/>
          <w:szCs w:val="32"/>
        </w:rPr>
      </w:pPr>
      <w:r>
        <w:rPr>
          <w:rFonts w:hint="eastAsia" w:hAnsi="黑体"/>
          <w:b/>
          <w:sz w:val="32"/>
          <w:szCs w:val="32"/>
        </w:rPr>
        <w:t>九、机关运行经费支出说明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本部门2021年度机关运行经费支出90.98万元，比年初预算数减少0.51万元，降低0.55%。主要原因是：精简费用。</w:t>
      </w:r>
    </w:p>
    <w:p>
      <w:pPr>
        <w:pStyle w:val="13"/>
        <w:rPr>
          <w:rFonts w:hAnsi="黑体"/>
          <w:b/>
          <w:sz w:val="32"/>
          <w:szCs w:val="32"/>
        </w:rPr>
      </w:pPr>
      <w:r>
        <w:rPr>
          <w:rFonts w:hint="eastAsia" w:hAnsi="黑体"/>
          <w:b/>
          <w:sz w:val="32"/>
          <w:szCs w:val="32"/>
        </w:rPr>
        <w:t>十、一般性支出情况说明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2021年本部门开支会议3.57万元，用于召开</w:t>
      </w:r>
      <w:r>
        <w:rPr>
          <w:rFonts w:hint="eastAsia" w:ascii="宋体" w:hAnsi="宋体" w:eastAsia="宋体" w:cs="宋体"/>
          <w:sz w:val="32"/>
          <w:szCs w:val="32"/>
        </w:rPr>
        <w:t>召开森林防火会、安全生产会、月例会、工作经济会议</w:t>
      </w:r>
      <w:r>
        <w:rPr>
          <w:rFonts w:hint="eastAsia" w:asciiTheme="minorEastAsia" w:hAnsiTheme="minorEastAsia" w:eastAsiaTheme="minorEastAsia"/>
          <w:sz w:val="32"/>
          <w:szCs w:val="32"/>
        </w:rPr>
        <w:t>会议，人数400人，内容为</w:t>
      </w:r>
      <w:r>
        <w:rPr>
          <w:rFonts w:hint="eastAsia" w:ascii="宋体" w:hAnsi="宋体" w:eastAsia="宋体" w:cs="宋体"/>
          <w:sz w:val="32"/>
          <w:szCs w:val="32"/>
        </w:rPr>
        <w:t>森林防火宣传、巡护、安全生产落实、日常工作安排等</w:t>
      </w:r>
      <w:r>
        <w:rPr>
          <w:rFonts w:hint="eastAsia" w:asciiTheme="minorEastAsia" w:hAnsiTheme="minorEastAsia" w:eastAsiaTheme="minorEastAsia"/>
          <w:sz w:val="32"/>
          <w:szCs w:val="32"/>
        </w:rPr>
        <w:t>；开支培训费2.48万元，用于开展</w:t>
      </w:r>
      <w:r>
        <w:rPr>
          <w:rFonts w:hint="eastAsia" w:ascii="宋体" w:hAnsi="宋体" w:eastAsia="宋体" w:cs="宋体"/>
          <w:sz w:val="32"/>
          <w:szCs w:val="32"/>
        </w:rPr>
        <w:t>开展防火演练、专业技能、业务培训等</w:t>
      </w:r>
      <w:r>
        <w:rPr>
          <w:rFonts w:hint="eastAsia" w:asciiTheme="minorEastAsia" w:hAnsiTheme="minorEastAsia" w:eastAsiaTheme="minorEastAsia"/>
          <w:sz w:val="32"/>
          <w:szCs w:val="32"/>
        </w:rPr>
        <w:t>培训，人数310人，内容为</w:t>
      </w:r>
      <w:r>
        <w:rPr>
          <w:rFonts w:hint="eastAsia" w:ascii="宋体" w:hAnsi="宋体" w:eastAsia="宋体" w:cs="宋体"/>
          <w:sz w:val="32"/>
          <w:szCs w:val="32"/>
        </w:rPr>
        <w:t>防火演练、专业技能、工作业务等培训；没有举办节庆、晚会、论坛等活动开支；</w:t>
      </w:r>
    </w:p>
    <w:p>
      <w:pPr>
        <w:pStyle w:val="13"/>
        <w:rPr>
          <w:rFonts w:hAnsi="黑体"/>
          <w:b/>
          <w:sz w:val="32"/>
          <w:szCs w:val="32"/>
        </w:rPr>
      </w:pPr>
      <w:r>
        <w:rPr>
          <w:rFonts w:hint="eastAsia" w:hAnsi="黑体"/>
          <w:b/>
          <w:sz w:val="32"/>
          <w:szCs w:val="32"/>
        </w:rPr>
        <w:t>十一、政府采购支出说明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 万元、政府采购工程支出0万元、政府采购服务支出0万元。授予中小企业合同金额0万元。</w:t>
      </w:r>
    </w:p>
    <w:p>
      <w:pPr>
        <w:pStyle w:val="13"/>
        <w:rPr>
          <w:rFonts w:hAnsi="黑体"/>
          <w:b/>
          <w:sz w:val="32"/>
          <w:szCs w:val="32"/>
        </w:rPr>
      </w:pPr>
      <w:r>
        <w:rPr>
          <w:rFonts w:hint="eastAsia" w:hAnsi="黑体"/>
          <w:b/>
          <w:sz w:val="32"/>
          <w:szCs w:val="32"/>
        </w:rPr>
        <w:t>十二、国有资产占用情况说明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eastAsia="zh-CN"/>
        </w:rPr>
        <w:t>本</w:t>
      </w:r>
      <w:r>
        <w:rPr>
          <w:rFonts w:hint="eastAsia" w:asciiTheme="minorEastAsia" w:hAnsiTheme="minorEastAsia" w:eastAsiaTheme="minorEastAsia"/>
          <w:sz w:val="32"/>
          <w:szCs w:val="32"/>
        </w:rPr>
        <w:t>单位共有车辆5辆，其中，主要领导干部用车2辆，机要通信用车0辆、应急保障用车0辆、执法执勤用车3辆、特种专业技术用车0辆、其他用车0辆；单位价值50万元以上通用设备0台（套）；单位价值100万元以上专用设备0台（套）。</w:t>
      </w:r>
    </w:p>
    <w:p>
      <w:pPr>
        <w:pStyle w:val="13"/>
        <w:rPr>
          <w:rFonts w:hAnsi="黑体"/>
          <w:b/>
          <w:sz w:val="32"/>
          <w:szCs w:val="32"/>
        </w:rPr>
      </w:pPr>
      <w:r>
        <w:rPr>
          <w:rFonts w:hint="eastAsia" w:hAnsi="黑体"/>
          <w:b/>
          <w:sz w:val="32"/>
          <w:szCs w:val="32"/>
        </w:rPr>
        <w:t>十三、2021年度预算绩效情况说明</w:t>
      </w:r>
    </w:p>
    <w:p>
      <w:pPr>
        <w:pStyle w:val="13"/>
        <w:jc w:val="center"/>
        <w:rPr>
          <w:rFonts w:ascii="宋体" w:hAnsi="宋体" w:eastAsia="宋体" w:cs="宋体"/>
          <w:sz w:val="32"/>
          <w:szCs w:val="32"/>
        </w:rPr>
      </w:pPr>
      <w:r>
        <w:rPr>
          <w:rFonts w:ascii="宋体" w:hAnsi="宋体" w:eastAsia="宋体" w:cs="宋体"/>
          <w:sz w:val="32"/>
          <w:szCs w:val="32"/>
        </w:rPr>
        <w:t>按照财政部门预算绩效管理工作部署，202年我单位推行部门整体和20万元以上项目绩效目标全覆盖，涉及一般公共预算拨款2</w:t>
      </w:r>
      <w:r>
        <w:rPr>
          <w:rFonts w:hint="eastAsia" w:ascii="宋体" w:hAnsi="宋体" w:eastAsia="宋体" w:cs="宋体"/>
          <w:sz w:val="32"/>
          <w:szCs w:val="32"/>
        </w:rPr>
        <w:t>663.96</w:t>
      </w:r>
      <w:r>
        <w:rPr>
          <w:rFonts w:ascii="宋体" w:hAnsi="宋体" w:eastAsia="宋体" w:cs="宋体"/>
          <w:sz w:val="32"/>
          <w:szCs w:val="32"/>
        </w:rPr>
        <w:t>万元。其</w:t>
      </w:r>
      <w:r>
        <w:rPr>
          <w:rFonts w:hint="eastAsia" w:ascii="宋体" w:hAnsi="宋体" w:eastAsia="宋体" w:cs="宋体"/>
          <w:sz w:val="32"/>
          <w:szCs w:val="32"/>
        </w:rPr>
        <w:t>中</w:t>
      </w:r>
    </w:p>
    <w:p>
      <w:pPr>
        <w:pStyle w:val="13"/>
        <w:jc w:val="both"/>
        <w:rPr>
          <w:sz w:val="72"/>
          <w:szCs w:val="72"/>
        </w:rPr>
      </w:pPr>
      <w:r>
        <w:rPr>
          <w:rFonts w:ascii="宋体" w:hAnsi="宋体" w:eastAsia="宋体" w:cs="宋体"/>
          <w:sz w:val="32"/>
          <w:szCs w:val="32"/>
        </w:rPr>
        <w:t>20万元以上项目绩效目标</w:t>
      </w:r>
      <w:r>
        <w:rPr>
          <w:rFonts w:hint="eastAsia" w:ascii="宋体" w:hAnsi="宋体" w:eastAsia="宋体" w:cs="宋体"/>
          <w:sz w:val="32"/>
          <w:szCs w:val="32"/>
        </w:rPr>
        <w:t>3</w:t>
      </w:r>
      <w:r>
        <w:rPr>
          <w:rFonts w:ascii="宋体" w:hAnsi="宋体" w:eastAsia="宋体" w:cs="宋体"/>
          <w:sz w:val="32"/>
          <w:szCs w:val="32"/>
        </w:rPr>
        <w:t>个，涉及一般公共预算拨款</w:t>
      </w:r>
      <w:r>
        <w:rPr>
          <w:rFonts w:hint="eastAsia" w:ascii="宋体" w:hAnsi="宋体" w:eastAsia="宋体" w:cs="宋体"/>
          <w:sz w:val="32"/>
          <w:szCs w:val="32"/>
        </w:rPr>
        <w:t>571.4</w:t>
      </w:r>
      <w:r>
        <w:rPr>
          <w:rFonts w:ascii="宋体" w:hAnsi="宋体" w:eastAsia="宋体" w:cs="宋体"/>
          <w:sz w:val="32"/>
          <w:szCs w:val="32"/>
        </w:rPr>
        <w:t>万元。</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p>
    <w:p>
      <w:pPr>
        <w:pStyle w:val="2"/>
        <w:ind w:firstLine="1400"/>
        <w:rPr>
          <w:rFonts w:ascii="黑体" w:eastAsia="黑体" w:cs="黑体"/>
          <w:color w:val="000000"/>
          <w:sz w:val="70"/>
          <w:szCs w:val="70"/>
        </w:rPr>
      </w:pPr>
    </w:p>
    <w:p>
      <w:pPr>
        <w:pStyle w:val="2"/>
        <w:ind w:firstLine="1400"/>
        <w:rPr>
          <w:rFonts w:ascii="黑体" w:eastAsia="黑体" w:cs="黑体"/>
          <w:color w:val="000000"/>
          <w:sz w:val="70"/>
          <w:szCs w:val="70"/>
        </w:rPr>
      </w:pPr>
    </w:p>
    <w:p>
      <w:pPr>
        <w:ind w:firstLine="640" w:firstLineChars="200"/>
        <w:jc w:val="left"/>
        <w:rPr>
          <w:rFonts w:cs="黑体" w:asciiTheme="minorEastAsia" w:hAnsiTheme="minorEastAsia"/>
          <w:color w:val="000000"/>
          <w:kern w:val="0"/>
          <w:sz w:val="32"/>
          <w:szCs w:val="32"/>
        </w:rPr>
      </w:pP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both"/>
        <w:rPr>
          <w:sz w:val="72"/>
          <w:szCs w:val="72"/>
        </w:rPr>
      </w:pPr>
    </w:p>
    <w:p>
      <w:pPr>
        <w:pStyle w:val="13"/>
        <w:jc w:val="both"/>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pStyle w:val="2"/>
      </w:pPr>
    </w:p>
    <w:p>
      <w:pPr>
        <w:jc w:val="center"/>
        <w:rPr>
          <w:rFonts w:ascii="黑体" w:eastAsia="黑体" w:cs="黑体"/>
          <w:color w:val="000000"/>
          <w:kern w:val="0"/>
          <w:sz w:val="70"/>
          <w:szCs w:val="70"/>
        </w:rPr>
      </w:pPr>
    </w:p>
    <w:p>
      <w:pPr>
        <w:adjustRightInd w:val="0"/>
        <w:spacing w:line="600" w:lineRule="exact"/>
        <w:jc w:val="center"/>
        <w:rPr>
          <w:rFonts w:ascii="宋体" w:hAnsi="宋体" w:eastAsia="宋体" w:cs="宋体"/>
          <w:b/>
          <w:bCs/>
          <w:sz w:val="36"/>
          <w:szCs w:val="36"/>
        </w:rPr>
      </w:pPr>
      <w:r>
        <w:rPr>
          <w:rFonts w:hint="eastAsia" w:ascii="宋体" w:hAnsi="宋体" w:eastAsia="宋体" w:cs="宋体"/>
          <w:b/>
          <w:bCs/>
          <w:sz w:val="36"/>
          <w:szCs w:val="36"/>
        </w:rPr>
        <w:t>2021年度湖南月岩国家森林公园管理局整体支出绩效评价报告</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C6149"/>
    <w:multiLevelType w:val="singleLevel"/>
    <w:tmpl w:val="9E3C6149"/>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2628"/>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97A61"/>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4CB6831"/>
    <w:rsid w:val="04D62921"/>
    <w:rsid w:val="09B6063D"/>
    <w:rsid w:val="19B34DB0"/>
    <w:rsid w:val="1B6D438A"/>
    <w:rsid w:val="225F806F"/>
    <w:rsid w:val="2A434F93"/>
    <w:rsid w:val="2DC12474"/>
    <w:rsid w:val="2F5E1232"/>
    <w:rsid w:val="36850489"/>
    <w:rsid w:val="39602377"/>
    <w:rsid w:val="46C2478C"/>
    <w:rsid w:val="499424F2"/>
    <w:rsid w:val="49C9543F"/>
    <w:rsid w:val="59987F3E"/>
    <w:rsid w:val="6115265A"/>
    <w:rsid w:val="68127984"/>
    <w:rsid w:val="6A5335E3"/>
    <w:rsid w:val="6EFF74AE"/>
    <w:rsid w:val="7D5CD471"/>
    <w:rsid w:val="7F3B289A"/>
    <w:rsid w:val="9DBB3FB4"/>
    <w:rsid w:val="BF775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adjustRightInd w:val="0"/>
      <w:snapToGrid w:val="0"/>
      <w:spacing w:line="660" w:lineRule="exact"/>
      <w:ind w:firstLine="645"/>
    </w:pPr>
    <w:rPr>
      <w:rFonts w:ascii="??_GB2312" w:eastAsia="Times New Roman"/>
      <w:kern w:val="0"/>
      <w:sz w:val="32"/>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 w:type="paragraph" w:styleId="16">
    <w:name w:val="No Spacing"/>
    <w:qFormat/>
    <w:uiPriority w:val="1"/>
    <w:pPr>
      <w:widowControl w:val="0"/>
      <w:jc w:val="both"/>
    </w:pPr>
    <w:rPr>
      <w:rFonts w:ascii="Calibri" w:hAnsi="Calibri" w:eastAsia="微软雅黑"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28</Pages>
  <Words>7907</Words>
  <Characters>10199</Characters>
  <Lines>103</Lines>
  <Paragraphs>29</Paragraphs>
  <TotalTime>0</TotalTime>
  <ScaleCrop>false</ScaleCrop>
  <LinksUpToDate>false</LinksUpToDate>
  <CharactersWithSpaces>10863</CharactersWithSpaces>
  <Application>WPS Office_11.1.0.12763_F1E327BC-269C-435d-A152-05C5408002CA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2023-09-07T23:07:00Z</dcterms:created>
  <dc:creator>李航 null</dc:creator>
  <cp:lastModifiedBy>Administrator</cp:lastModifiedBy>
  <cp:lastPrinted>2023-09-07T19:04:00Z</cp:lastPrinted>
  <dcterms:modified xsi:type="dcterms:W3CDTF">2023-09-28T04:51:45Z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31A0DB8E63FE40EB854E887D4FCDC616</vt:lpwstr>
  </property>
</Properties>
</file>