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2021年道县白芒铺镇人民政府部门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bookmarkEnd w:id="0"/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（4）为居民提供有效的科技、教育、文化、信息、卫生、体育、医疗、人才开发、劳动就业、安全生产等方面的服务。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（7）推行乡村振兴，推进新农村建设与美丽乡村建设。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我单位为正科级全额拨款行政单位，内设党政办公室、财务室、民政室、退役军人事务站、综治办等5个职能部室。行政编制27人，事业编制27人。现实有在编人数54人。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3.部门整体支出规模、使用方向和主要内容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1、收入决算:2021年收入决算数1673.23万元；其中：财政拨款收入1673.23万元。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2、支出决算：2021年支出决算数1673.23万元；其中：一般公共服务支出912.98万元，社会保障和就业支出94.19万元，卫生健康支出36.28万元，农林水支出629.78万元。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用于为保障我单位正常运转、完成日常工作任务而发生的支出，包括人员经费和公用经费。2021年一般公共预算拨款支出1673.23万元，具体安排情况如下：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1、基本支出：1129.73万元。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2、项目支出：543.5万元。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/>
          <w:color w:val="010101"/>
          <w:sz w:val="30"/>
          <w:szCs w:val="30"/>
        </w:rPr>
        <w:t>3、</w:t>
      </w:r>
      <w:r>
        <w:rPr>
          <w:rFonts w:hint="eastAsia" w:ascii="仿宋_GB2312" w:hAnsi="黑体" w:eastAsia="仿宋_GB2312"/>
          <w:sz w:val="32"/>
          <w:szCs w:val="32"/>
        </w:rPr>
        <w:t>机关运行经费情况</w:t>
      </w:r>
      <w:r>
        <w:rPr>
          <w:rFonts w:hint="eastAsia" w:ascii="仿宋_GB2312" w:hAnsi="宋体"/>
          <w:b/>
          <w:sz w:val="30"/>
          <w:szCs w:val="30"/>
        </w:rPr>
        <w:t>：</w:t>
      </w:r>
      <w:r>
        <w:rPr>
          <w:rFonts w:hint="eastAsia" w:ascii="仿宋_GB2312"/>
          <w:sz w:val="30"/>
          <w:szCs w:val="30"/>
        </w:rPr>
        <w:t>2021年机关运行经费199.42万元，主要包括办公费27.82万元，印刷费72.08万元，咨询费2.1，电费3.96万元，差旅费5.8万元，维修费5.07万元，租赁费0.15万元，会议费2.58万元，培训费0.65万元，公务接待费2.63万元，劳务费35.58万元，工会经费8.26万元，公务用车运行维护费2.88万元，其他交通费用20.17万元，其他商品服务支出9.69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（二）项目支出情况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一般公共预算财政拨款项目支出543.5万元，具体使用情况如下: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美丽乡村建设298.49万元；五保供养36.23万元；公益性岗位3.8万元；烟农补贴9.8万元；农村综合服务平台195.18万元。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2021年度本单位“三公”经费总额为5.51万元，其中公务用车运行及维护费用2.88万元，公务接待费2.63万元。与预算相比减少了18.49万元。2021年公务用车购置数0台，车辆保有量1台，国内公务接待43批次，接待人数126人。</w:t>
      </w:r>
    </w:p>
    <w:p>
      <w:pPr>
        <w:pStyle w:val="5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道县白芒铺镇人民政府2021年无政府性基金预算。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道县白芒铺镇人民政府2021年无国有资本经营预算支出。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道县白芒铺镇人民政府</w:t>
      </w:r>
      <w:r>
        <w:rPr>
          <w:rFonts w:hint="eastAsia" w:ascii="宋体" w:hAnsi="宋体"/>
          <w:bCs/>
          <w:color w:val="010101"/>
          <w:sz w:val="30"/>
          <w:szCs w:val="30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numPr>
          <w:ilvl w:val="0"/>
          <w:numId w:val="3"/>
        </w:numPr>
        <w:spacing w:line="620" w:lineRule="exact"/>
        <w:ind w:firstLine="643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以乡村振兴为根本，夯实发展基础。一是政策落实。</w:t>
      </w:r>
      <w:r>
        <w:rPr>
          <w:rFonts w:hint="eastAsia" w:ascii="宋体" w:hAnsi="宋体"/>
          <w:sz w:val="30"/>
          <w:szCs w:val="30"/>
        </w:rPr>
        <w:t>今年是乡村振兴战略衔接精准扶贫战略正式实施的第一年，为确保脱贫户稳固脱贫成果，我镇继续保持政策落实力度和精准度，纳入国家防返贫监测信息系统内监测对象19户28人，落实教育补助1047人次共计514200元，落实雨露计划补助195人次共计292500元，落实交通补贴156人共计31200元等，争取乡村振兴项目14个共计160万元，保证国家的脱贫巩固政策都能实实在在的落地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二是基础改善。</w:t>
      </w:r>
      <w:r>
        <w:rPr>
          <w:rFonts w:hint="eastAsia" w:ascii="宋体" w:hAnsi="宋体"/>
          <w:sz w:val="30"/>
          <w:szCs w:val="30"/>
        </w:rPr>
        <w:t>白芒铺市场长久以来内部破烂不堪，公共厕所脏乱差严重，群众及商户意见比较大。且白芒铺居委会周家牌坊处水沟塌方堵塞，常年严重积水，给周边居民和过往车辆带来严重影响。今年我镇将这两个工程纳入民生微实事，在上级部门的大力支持下，争取项目资金50余万元，硬化了白芒铺市场内部道路，修建了新的公共厕所，安装了太阳能路灯，粉刷了市场内部，白芒铺市场焕然一新。周家牌坊处排水渠也建好通水，周边老百姓拍手称赞，消除了雨天积水行车不安全隐患。白芒铺片区高标准农田建设已经启动，预计投资2000余万元，高标准农田建设的完善将大大的改变我镇农业基础设施落后的局面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三是发展加速。</w:t>
      </w:r>
      <w:r>
        <w:rPr>
          <w:rFonts w:hint="eastAsia" w:ascii="宋体" w:hAnsi="宋体"/>
          <w:sz w:val="30"/>
          <w:szCs w:val="30"/>
        </w:rPr>
        <w:t>2021年，政府决心以烟-稻模式破解我镇农业发展困境，集中力量加大技术与基础设施投入，先后投入20余万元修缮了白芒铺、岩口、彭家等烤烟房群，并修复修建了配套水渠、水沟、变压器等相关基层设施，最终交付烤烟3100担，超额完成了县政府下达的烟草收购任务，预计还税35余万元。粮食生产步入新台阶，全镇培育本地种粮大户29个，引进外地种粮大户8个，共流转农田面积7300余亩，约占全镇农田面积的36%，其中治理抛荒面积1300亩，粮食专业化、规模化种植已经初步形成并快速发展。今年脐橙、茶油等经济作物实现了大丰收且效益客观，脐橙单价普遍在3元左右，是去年的一倍。茶油也稳价在70至90元之间，种植户种植技术普遍提高，专业性更强。</w:t>
      </w:r>
    </w:p>
    <w:p>
      <w:pPr>
        <w:numPr>
          <w:ilvl w:val="0"/>
          <w:numId w:val="3"/>
        </w:numPr>
        <w:spacing w:line="620" w:lineRule="exact"/>
        <w:ind w:firstLine="643" w:firstLineChars="200"/>
        <w:rPr>
          <w:rFonts w:ascii="宋体" w:hAnsi="宋体"/>
          <w:sz w:val="30"/>
          <w:szCs w:val="30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以社会稳定为要务，推进综合治理。一是抓实疫情防控。</w:t>
      </w:r>
      <w:r>
        <w:rPr>
          <w:rFonts w:hint="eastAsia" w:ascii="宋体" w:hAnsi="宋体"/>
          <w:sz w:val="30"/>
          <w:szCs w:val="30"/>
        </w:rPr>
        <w:t>我镇认真贯彻落实中央、省、市、县关于疫情防控工作相关部署和会议精神，压实镇村干部责任，一刻也不放松抓实疫情防控工作。截止12月我镇12岁以上人群累计接种29184人，3至11岁人群累计接种4272人，18岁以上人群加强针累计接种2465人，真正做到在道人员应急尽接，加大对入境和中高风险返乡人员摸排力度，根据情况落实相应的管控政策，没有发现一例失控失联人员，保证了全镇疫情零发生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>二是抓紧安全生产。</w:t>
      </w:r>
      <w:r>
        <w:rPr>
          <w:rFonts w:hint="eastAsia" w:ascii="宋体" w:hAnsi="宋体"/>
          <w:sz w:val="30"/>
          <w:szCs w:val="30"/>
        </w:rPr>
        <w:t>每季度召开一次专题会研究部署安全生产工作，根据上级文件会议精神并结合本镇实际情况出台相关方案，进一步加强对学校、马路市场、村民活动场所、敬老院等重点领域的监管力度，特别是针对安全生产三年行动、安全生产百日大会战、防溺水、“小火亡人”、雨雪冰冻天气的安全防范、农村道路交通和农村在建工程进行了专项检查督查，确保安全生产形势持续稳定；</w:t>
      </w:r>
      <w:r>
        <w:rPr>
          <w:rFonts w:hint="eastAsia" w:ascii="仿宋" w:hAnsi="仿宋" w:eastAsia="仿宋" w:cs="仿宋"/>
          <w:b/>
          <w:sz w:val="32"/>
          <w:szCs w:val="32"/>
        </w:rPr>
        <w:t>三是抓好社会综合治理。</w:t>
      </w:r>
      <w:r>
        <w:rPr>
          <w:rFonts w:hint="eastAsia" w:ascii="宋体" w:hAnsi="宋体"/>
          <w:sz w:val="30"/>
          <w:szCs w:val="30"/>
        </w:rPr>
        <w:t>本年全镇调处各类矛盾纠纷20余起，其中群体性矛盾纠纷2起，信访积案1起，非正常死亡事件3起，保持连续六年无一例赴省进京非访挂号。五类犯罪打击预防力度成效明显，今年以来，外流贩毒人数、吸毒及社戒社康新增人数均为零，禁毒宣传及重点人员管控收到明显成效；涉诈案件稳步下降、涉缅人员劝返收到明显实效，已劝还回国5人。四是抓严综合执法。紧紧围绕国务院2020年7月3日会议精神，严格农村建房审批程序，控增量挖存量，全年共审批户宅47座，坚决遏制土地乱占乱建现象，确保基本农田受到最严格的保护，合理布局做好规划，集约节约用地，实行耕地占补平衡。同时严厉打击各类违规乱建行为，今年3月在何家村综合执法1处房屋，拆除房屋面积近300平方米，在全镇起到很好的震慑作用。</w:t>
      </w:r>
    </w:p>
    <w:p>
      <w:pPr>
        <w:numPr>
          <w:ilvl w:val="0"/>
          <w:numId w:val="3"/>
        </w:numPr>
        <w:spacing w:line="620" w:lineRule="exact"/>
        <w:ind w:firstLine="643" w:firstLineChars="200"/>
        <w:rPr>
          <w:rFonts w:ascii="宋体" w:hAnsi="宋体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以改善民生为核心，抓好社会事业。一是扶危救困。</w:t>
      </w:r>
      <w:r>
        <w:rPr>
          <w:rFonts w:hint="eastAsia" w:ascii="宋体" w:hAnsi="宋体"/>
          <w:sz w:val="30"/>
          <w:szCs w:val="30"/>
        </w:rPr>
        <w:t>全年共批准城乡低保救助申请270户，688人，发放救助金额2112264元；城乡特困供养人员526人，发放救助金额为3874896元；残疾人两项补贴惠及323人次，发放补贴金额343560元；临时性生活救助119人次，发放救助金额176100元，牢牢兜住了民生底线；二是环境卫生整治。积极开展厕所革命，全镇19个村全部整体推进改厕工作，2021年我镇改厕任务203个，实际完成216个。临时性垃圾中转站已经选址建设，清理各类沉积垃圾1200余吨，各村的生活垃圾可以得到有效处理，不再随意填埋、焚烧处理，环境卫生得到了较大改善。</w:t>
      </w:r>
    </w:p>
    <w:p>
      <w:pPr>
        <w:numPr>
          <w:ilvl w:val="0"/>
          <w:numId w:val="3"/>
        </w:numPr>
        <w:spacing w:line="620" w:lineRule="exact"/>
        <w:ind w:firstLine="643" w:firstLineChars="200"/>
        <w:rPr>
          <w:rFonts w:ascii="宋体" w:hAnsi="宋体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以强化队伍为抓手，提升行政效能。</w:t>
      </w:r>
      <w:r>
        <w:rPr>
          <w:rFonts w:hint="eastAsia" w:ascii="宋体" w:hAnsi="宋体"/>
          <w:sz w:val="30"/>
          <w:szCs w:val="30"/>
        </w:rPr>
        <w:t>严格抓好政府党风廉政建设，扛牢党风廉政建设主体责任，时刻围绕党委中心工作开展工作，大力支持县派出监察室（镇纪委）履职履责，强化对各项重点工作进行监督、督查，形成督查通报7期，交办各类问题75个，退回不合格资料33次，对2名政府工作人员因违法违规问题依法对其解除人事（劳动）关系并取消工资福利等待遇。深入开展党史学习教育，依托主题党日、“三会一课”等载体组织党员干部学习党史，深入开展红色教育“六进”活动，切实开展“我为群众办实事”实践活动，为基层群众解决各类疑难问题100余个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七、存在的主要问题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少部分票据附件不太齐全。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八、下一步改进措施和有关建议</w:t>
      </w:r>
    </w:p>
    <w:p>
      <w:pPr>
        <w:ind w:firstLine="750" w:firstLineChars="25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（一）规范账务处理，提高财务信息质量</w:t>
      </w:r>
      <w:r>
        <w:rPr>
          <w:rFonts w:ascii="宋体" w:hAnsi="宋体"/>
          <w:color w:val="010101"/>
          <w:sz w:val="30"/>
          <w:szCs w:val="30"/>
        </w:rPr>
        <w:t> </w:t>
      </w:r>
      <w:r>
        <w:rPr>
          <w:rFonts w:hint="eastAsia" w:ascii="宋体" w:hAnsi="宋体"/>
          <w:color w:val="010101"/>
          <w:sz w:val="30"/>
          <w:szCs w:val="30"/>
        </w:rPr>
        <w:t>。</w:t>
      </w:r>
    </w:p>
    <w:p>
      <w:pPr>
        <w:ind w:firstLine="750" w:firstLineChars="25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750" w:firstLineChars="25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按照《中华人民共和国会计法》要求建立会计机关，配备齐会计人员，做到不相容岗位分设，加强会计监督。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（四）对大额无说明支出补充附件及说明，完善手续，各项专项资金纳入专项资金专户核算，工程项目按规定进行招投标。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color w:val="010101"/>
          <w:sz w:val="30"/>
          <w:szCs w:val="30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九、自评结果拟应用和公开情况</w:t>
      </w:r>
    </w:p>
    <w:p>
      <w:pPr>
        <w:pStyle w:val="5"/>
        <w:widowControl/>
        <w:spacing w:before="0" w:beforeAutospacing="0" w:after="0" w:afterAutospacing="0"/>
        <w:ind w:right="11" w:firstLine="6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积极探索评价结果与预算编制相结合，做好资金使用的及时公开和有效监管。</w:t>
      </w:r>
    </w:p>
    <w:p>
      <w:pPr>
        <w:pStyle w:val="5"/>
        <w:widowControl/>
        <w:spacing w:before="0" w:beforeAutospacing="0" w:after="0" w:afterAutospacing="0"/>
        <w:ind w:right="11" w:firstLine="600"/>
        <w:rPr>
          <w:rFonts w:hint="eastAsia" w:ascii="宋体" w:hAnsi="宋体"/>
          <w:color w:val="010101"/>
          <w:sz w:val="30"/>
          <w:szCs w:val="30"/>
        </w:rPr>
      </w:pPr>
    </w:p>
    <w:p>
      <w:pPr>
        <w:pStyle w:val="5"/>
        <w:widowControl/>
        <w:spacing w:before="0" w:beforeAutospacing="0" w:after="0" w:afterAutospacing="0"/>
        <w:ind w:right="11" w:firstLine="600"/>
        <w:rPr>
          <w:rFonts w:ascii="宋体" w:hAnsi="宋体"/>
          <w:color w:val="010101"/>
          <w:sz w:val="30"/>
          <w:szCs w:val="30"/>
        </w:rPr>
      </w:pPr>
    </w:p>
    <w:p>
      <w:pPr>
        <w:spacing w:beforeLines="50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道县白芒铺镇人民政府</w:t>
      </w:r>
    </w:p>
    <w:p>
      <w:pPr>
        <w:spacing w:beforeLines="50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2022年7月1日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7B7513B"/>
    <w:multiLevelType w:val="singleLevel"/>
    <w:tmpl w:val="57B7513B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2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hkMTA4NjkxZWJhMmU0NTg2YTQ4MjAyNWFjODkifQ=="/>
  </w:docVars>
  <w:rsids>
    <w:rsidRoot w:val="706D39CB"/>
    <w:rsid w:val="000232EC"/>
    <w:rsid w:val="002B374E"/>
    <w:rsid w:val="00580445"/>
    <w:rsid w:val="00664222"/>
    <w:rsid w:val="007F068B"/>
    <w:rsid w:val="00915FE9"/>
    <w:rsid w:val="00920598"/>
    <w:rsid w:val="00B16762"/>
    <w:rsid w:val="00CE69EC"/>
    <w:rsid w:val="00D700F3"/>
    <w:rsid w:val="00DF6CA5"/>
    <w:rsid w:val="02915E86"/>
    <w:rsid w:val="08B514C2"/>
    <w:rsid w:val="0EC705E9"/>
    <w:rsid w:val="1D901D5D"/>
    <w:rsid w:val="217648FE"/>
    <w:rsid w:val="24E8169B"/>
    <w:rsid w:val="3057258C"/>
    <w:rsid w:val="363D0E07"/>
    <w:rsid w:val="376E3DCC"/>
    <w:rsid w:val="43864B27"/>
    <w:rsid w:val="43A52DA8"/>
    <w:rsid w:val="445E3723"/>
    <w:rsid w:val="45B6258A"/>
    <w:rsid w:val="4670321D"/>
    <w:rsid w:val="4710453E"/>
    <w:rsid w:val="539E64EB"/>
    <w:rsid w:val="541A0126"/>
    <w:rsid w:val="56A73064"/>
    <w:rsid w:val="5C29540A"/>
    <w:rsid w:val="627D0960"/>
    <w:rsid w:val="640E3B36"/>
    <w:rsid w:val="64E35B79"/>
    <w:rsid w:val="67D3465B"/>
    <w:rsid w:val="6B547589"/>
    <w:rsid w:val="706D39CB"/>
    <w:rsid w:val="74A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qFormat/>
    <w:uiPriority w:val="99"/>
    <w:rPr>
      <w:rFonts w:ascii="Calibri" w:hAnsi="Calibri"/>
      <w:szCs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8">
    <w:name w:val="批注框文本 Char"/>
    <w:basedOn w:val="7"/>
    <w:link w:val="3"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正文文本 Char"/>
    <w:basedOn w:val="7"/>
    <w:link w:val="2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3517</Words>
  <Characters>343</Characters>
  <Lines>2</Lines>
  <Paragraphs>7</Paragraphs>
  <TotalTime>42</TotalTime>
  <ScaleCrop>false</ScaleCrop>
  <LinksUpToDate>false</LinksUpToDate>
  <CharactersWithSpaces>3853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2022-06-13T03:13:00Z</dcterms:created>
  <dc:creator>Administrator</dc:creator>
  <cp:lastModifiedBy>周周~~</cp:lastModifiedBy>
  <dcterms:modified xsi:type="dcterms:W3CDTF">2023-09-26T05:52:01Z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6605AB37BB7E4F51A12A01F5D867955F_13</vt:lpwstr>
  </property>
</Properties>
</file>