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道县县委党校部门决算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道县县委党校</w:t>
      </w:r>
      <w:r>
        <w:rPr>
          <w:rFonts w:hint="eastAsia"/>
          <w:b/>
          <w:sz w:val="28"/>
          <w:szCs w:val="28"/>
        </w:rPr>
        <w:t>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w:t>
      </w:r>
      <w:r>
        <w:rPr>
          <w:rFonts w:hint="eastAsia"/>
          <w:b/>
          <w:sz w:val="28"/>
          <w:szCs w:val="28"/>
          <w:lang w:val="en-US" w:eastAsia="zh-CN"/>
        </w:rPr>
        <w:t>道县县委党校</w:t>
      </w:r>
      <w:r>
        <w:rPr>
          <w:rFonts w:hint="eastAsia" w:hAnsi="仿宋_GB2312"/>
          <w:b/>
          <w:sz w:val="28"/>
          <w:szCs w:val="28"/>
        </w:rPr>
        <w:t>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w:t>
      </w:r>
      <w:r>
        <w:rPr>
          <w:rFonts w:hint="eastAsia"/>
          <w:b/>
          <w:sz w:val="28"/>
          <w:szCs w:val="28"/>
          <w:lang w:val="en-US" w:eastAsia="zh-CN"/>
        </w:rPr>
        <w:t>道县县委党校</w:t>
      </w:r>
      <w:r>
        <w:rPr>
          <w:rFonts w:hint="eastAsia" w:hAnsi="仿宋_GB2312"/>
          <w:b/>
          <w:sz w:val="28"/>
          <w:szCs w:val="28"/>
        </w:rPr>
        <w:t>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道县县委党校</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一）</w:t>
      </w:r>
      <w:r>
        <w:rPr>
          <w:rFonts w:hint="eastAsia" w:asciiTheme="minorEastAsia" w:hAnsiTheme="minorEastAsia"/>
          <w:bCs/>
          <w:kern w:val="0"/>
          <w:sz w:val="32"/>
          <w:szCs w:val="32"/>
        </w:rPr>
        <w:t xml:space="preserve">宣传马列主义、毛泽东思想、邓小平理论、“三个代表”重要思想、科学发展观，特别是宣传习近平新时代中国特色社会主义思想，宣传党的路线、方针、政策。 </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二）</w:t>
      </w:r>
      <w:r>
        <w:rPr>
          <w:rFonts w:hint="eastAsia" w:asciiTheme="minorEastAsia" w:hAnsiTheme="minorEastAsia"/>
          <w:bCs/>
          <w:kern w:val="0"/>
          <w:sz w:val="32"/>
          <w:szCs w:val="32"/>
        </w:rPr>
        <w:t>在县委组织部的指导和有关部门的配合下，制定党员干部的培训规划 。</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三）</w:t>
      </w:r>
      <w:r>
        <w:rPr>
          <w:rFonts w:hint="eastAsia" w:asciiTheme="minorEastAsia" w:hAnsiTheme="minorEastAsia"/>
          <w:bCs/>
          <w:kern w:val="0"/>
          <w:sz w:val="32"/>
          <w:szCs w:val="32"/>
        </w:rPr>
        <w:t>负责落实县委下达的党员干部的培训计划，并认真组织实施，且将执行情况向县委报告。</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四）</w:t>
      </w:r>
      <w:r>
        <w:rPr>
          <w:rFonts w:hint="eastAsia" w:asciiTheme="minorEastAsia" w:hAnsiTheme="minorEastAsia"/>
          <w:bCs/>
          <w:kern w:val="0"/>
          <w:sz w:val="32"/>
          <w:szCs w:val="32"/>
        </w:rPr>
        <w:t xml:space="preserve">协同组织人社部门对党员干部在校期间表现进行考核考察。 </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五）</w:t>
      </w:r>
      <w:r>
        <w:rPr>
          <w:rFonts w:hint="eastAsia" w:asciiTheme="minorEastAsia" w:hAnsiTheme="minorEastAsia"/>
          <w:bCs/>
          <w:kern w:val="0"/>
          <w:sz w:val="32"/>
          <w:szCs w:val="32"/>
        </w:rPr>
        <w:t>围绕国际国内出现的新情况、新问题和县委、县政府的中心工作与重大决策，开展调查研究 。</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六）</w:t>
      </w:r>
      <w:r>
        <w:rPr>
          <w:rFonts w:hint="eastAsia" w:asciiTheme="minorEastAsia" w:hAnsiTheme="minorEastAsia"/>
          <w:bCs/>
          <w:kern w:val="0"/>
          <w:sz w:val="32"/>
          <w:szCs w:val="32"/>
        </w:rPr>
        <w:t>承办县委、县政府交办的其他工作。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2"/>
        <w:snapToGrid w:val="0"/>
        <w:spacing w:line="600" w:lineRule="atLeast"/>
        <w:ind w:firstLine="640" w:firstLineChars="200"/>
        <w:jc w:val="lef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宋体" w:hAnsi="宋体"/>
          <w:sz w:val="32"/>
          <w:szCs w:val="32"/>
        </w:rPr>
        <w:t>党校内设室机构包括：综合办公室、教</w:t>
      </w:r>
      <w:r>
        <w:rPr>
          <w:rFonts w:hint="eastAsia" w:ascii="宋体" w:hAnsi="宋体"/>
          <w:sz w:val="32"/>
          <w:szCs w:val="32"/>
          <w:lang w:val="en-US" w:eastAsia="zh-CN"/>
        </w:rPr>
        <w:t>研室、外联室、</w:t>
      </w:r>
      <w:r>
        <w:rPr>
          <w:rFonts w:hint="eastAsia" w:ascii="宋体" w:hAnsi="宋体"/>
          <w:sz w:val="32"/>
          <w:szCs w:val="32"/>
        </w:rPr>
        <w:t>后勤科。</w:t>
      </w: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党校</w:t>
      </w:r>
      <w:r>
        <w:rPr>
          <w:rFonts w:hint="eastAsia" w:asciiTheme="minorEastAsia" w:hAnsiTheme="minorEastAsia"/>
          <w:bCs/>
          <w:kern w:val="0"/>
          <w:sz w:val="32"/>
          <w:szCs w:val="32"/>
        </w:rPr>
        <w:t>只有本级，没有其他二级预算单位，因此，纳入202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年部门预算编制范围的只有单位本级</w:t>
      </w:r>
      <w:r>
        <w:rPr>
          <w:rFonts w:hint="eastAsia" w:asciiTheme="minorEastAsia" w:hAnsiTheme="minorEastAsia"/>
          <w:bCs/>
          <w:kern w:val="0"/>
          <w:sz w:val="32"/>
          <w:szCs w:val="32"/>
          <w:lang w:eastAsia="zh-CN"/>
        </w:rPr>
        <w:t>。</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三）</w:t>
      </w:r>
      <w:r>
        <w:rPr>
          <w:rFonts w:hint="eastAsia" w:asciiTheme="minorEastAsia" w:hAnsiTheme="minorEastAsia"/>
          <w:bCs/>
          <w:kern w:val="0"/>
          <w:sz w:val="32"/>
          <w:szCs w:val="32"/>
        </w:rPr>
        <w:t>人员情况，包括当年变动情况及原因。</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编制数27人，2021年现有在职人员23人。无公务用车。</w:t>
      </w:r>
    </w:p>
    <w:p>
      <w:pPr>
        <w:widowControl/>
        <w:spacing w:line="600" w:lineRule="exact"/>
        <w:ind w:firstLine="640" w:firstLineChars="200"/>
        <w:rPr>
          <w:rFonts w:hint="eastAsia" w:asciiTheme="minorEastAsia" w:hAnsiTheme="minorEastAsia"/>
          <w:bCs/>
          <w:kern w:val="0"/>
          <w:sz w:val="32"/>
          <w:szCs w:val="32"/>
          <w:lang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道县县委党校</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463.32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17.46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504.69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504.69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634"/>
        <w:gridCol w:w="119"/>
        <w:gridCol w:w="1799"/>
        <w:gridCol w:w="1600"/>
        <w:gridCol w:w="1600"/>
        <w:gridCol w:w="1600"/>
        <w:gridCol w:w="1600"/>
        <w:gridCol w:w="1600"/>
        <w:gridCol w:w="1600"/>
        <w:gridCol w:w="2276"/>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道县县委党校</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504.69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504.69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7.88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2013150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普通教育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463.06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463.06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463.06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463.06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17.46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道县县委党校</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504.69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278.56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226.13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2013150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普通教育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463.06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道县县委党校</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7.88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463.32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463.32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17.46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504.69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道县县委党校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1"/>
        <w:gridCol w:w="3296"/>
        <w:gridCol w:w="2825"/>
        <w:gridCol w:w="3276"/>
        <w:gridCol w:w="2825"/>
      </w:tblGrid>
      <w:tr>
        <w:tblPrEx>
          <w:tblCellMar>
            <w:top w:w="0" w:type="dxa"/>
            <w:left w:w="108" w:type="dxa"/>
            <w:bottom w:w="0" w:type="dxa"/>
            <w:right w:w="108" w:type="dxa"/>
          </w:tblCellMar>
        </w:tblPrEx>
        <w:trPr>
          <w:trHeight w:val="405" w:hRule="atLeast"/>
          <w:jc w:val="center"/>
        </w:trPr>
        <w:tc>
          <w:tcPr>
            <w:tcW w:w="529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504.69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278.56</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226.13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2013150</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463.32</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238.45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224.87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学前教育</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463.06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238.45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463.06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238.45</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224.61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30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48" w:type="dxa"/>
        <w:tblInd w:w="0" w:type="dxa"/>
        <w:tblLayout w:type="fixed"/>
        <w:tblCellMar>
          <w:top w:w="0" w:type="dxa"/>
          <w:left w:w="108" w:type="dxa"/>
          <w:bottom w:w="0" w:type="dxa"/>
          <w:right w:w="108" w:type="dxa"/>
        </w:tblCellMar>
      </w:tblPr>
      <w:tblGrid>
        <w:gridCol w:w="1301"/>
        <w:gridCol w:w="3056"/>
        <w:gridCol w:w="1095"/>
        <w:gridCol w:w="1154"/>
        <w:gridCol w:w="2247"/>
        <w:gridCol w:w="765"/>
        <w:gridCol w:w="1190"/>
        <w:gridCol w:w="3629"/>
        <w:gridCol w:w="1211"/>
      </w:tblGrid>
      <w:tr>
        <w:tblPrEx>
          <w:tblCellMar>
            <w:top w:w="0" w:type="dxa"/>
            <w:left w:w="108" w:type="dxa"/>
            <w:bottom w:w="0" w:type="dxa"/>
            <w:right w:w="108" w:type="dxa"/>
          </w:tblCellMar>
        </w:tblPrEx>
        <w:trPr>
          <w:trHeight w:val="113" w:hRule="atLeast"/>
        </w:trPr>
        <w:tc>
          <w:tcPr>
            <w:tcW w:w="1564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道县县委党校</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227.97</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34.56</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98.90</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48.14</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10.18</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13.45</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22.68</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5.82</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11.34</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17.46</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16.03</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16.03</w:t>
            </w: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6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16.56</w:t>
            </w:r>
          </w:p>
        </w:tc>
        <w:tc>
          <w:tcPr>
            <w:tcW w:w="119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62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0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62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05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10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19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62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21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35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10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244.00</w:t>
            </w:r>
          </w:p>
        </w:tc>
        <w:tc>
          <w:tcPr>
            <w:tcW w:w="898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2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34.56</w:t>
            </w:r>
          </w:p>
        </w:tc>
      </w:tr>
      <w:tr>
        <w:tblPrEx>
          <w:tblCellMar>
            <w:top w:w="0" w:type="dxa"/>
            <w:left w:w="108" w:type="dxa"/>
            <w:bottom w:w="0" w:type="dxa"/>
            <w:right w:w="108" w:type="dxa"/>
          </w:tblCellMar>
        </w:tblPrEx>
        <w:trPr>
          <w:trHeight w:val="284" w:hRule="exact"/>
        </w:trPr>
        <w:tc>
          <w:tcPr>
            <w:tcW w:w="15648"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道县县委党校</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val="en-US" w:eastAsia="zh-CN"/>
        </w:rPr>
        <w:t>道县县委党校</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道县县委党校无政府性基金预算财政拨款收入，也没有安排政府性基金预算财政拨款支</w:t>
      </w:r>
      <w:r>
        <w:rPr>
          <w:rFonts w:hint="eastAsia" w:ascii="Times New Roman" w:hAnsi="Times New Roman" w:eastAsia="仿宋_GB2312" w:cs="Times New Roman"/>
          <w:kern w:val="0"/>
          <w:szCs w:val="21"/>
        </w:rPr>
        <w:t>出</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lang w:val="en-US" w:eastAsia="zh-CN"/>
        </w:rPr>
        <w:t>故本表格无数据）。</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both"/>
              <w:rPr>
                <w:rFonts w:ascii="宋体" w:hAnsi="宋体" w:eastAsia="宋体" w:cs="宋体"/>
                <w:kern w:val="0"/>
                <w:sz w:val="20"/>
                <w:szCs w:val="20"/>
              </w:rPr>
            </w:pPr>
            <w:r>
              <w:rPr>
                <w:rFonts w:hint="eastAsia" w:ascii="宋体" w:hAnsi="宋体" w:eastAsia="宋体" w:cs="宋体"/>
                <w:color w:val="000000"/>
                <w:kern w:val="0"/>
                <w:sz w:val="20"/>
                <w:szCs w:val="20"/>
                <w:lang w:val="en-US" w:eastAsia="zh-CN"/>
              </w:rPr>
              <w:t>道县县委党校</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（道县县委党校无</w:t>
            </w:r>
            <w:r>
              <w:rPr>
                <w:rFonts w:hint="eastAsia" w:ascii="宋体" w:hAnsi="宋体" w:eastAsia="宋体" w:cs="宋体"/>
                <w:kern w:val="0"/>
                <w:sz w:val="24"/>
                <w:szCs w:val="24"/>
              </w:rPr>
              <w:t>国有资本经营预算财政拨款</w:t>
            </w:r>
            <w:r>
              <w:rPr>
                <w:rFonts w:hint="eastAsia" w:ascii="宋体" w:hAnsi="宋体" w:eastAsia="宋体" w:cs="宋体"/>
                <w:kern w:val="0"/>
                <w:sz w:val="24"/>
                <w:szCs w:val="24"/>
                <w:lang w:val="en-US" w:eastAsia="zh-CN"/>
              </w:rPr>
              <w:t>收入，也没有安排</w:t>
            </w:r>
            <w:r>
              <w:rPr>
                <w:rFonts w:hint="eastAsia" w:ascii="宋体" w:hAnsi="宋体" w:eastAsia="宋体" w:cs="宋体"/>
                <w:kern w:val="0"/>
                <w:sz w:val="24"/>
                <w:szCs w:val="24"/>
              </w:rPr>
              <w:t>国有资本经营预算财政拨款支出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31.78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其他收入。</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278.56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55.19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226.13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44.81</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31.78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31.78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6.72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7.88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教育支出463.32有万元，占91.80%，社会保障和就业支出16.03万元，占3.18%，住房保障支出17.46，占3.46%。</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905.35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504.69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55.75</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政府办公厅（室）及相关机构事务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 xml:space="preserve">  其他政府办公厅（室）及相关机构事务支出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0.96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0.96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党委办公厅（室）及相关机构事务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事业运行</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一般公共服务支出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其他一般公共服务支出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其他一般公共服务支出</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教育支出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普通教育</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 xml:space="preserve"> 学前教育</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教育支出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进修及培训</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干部教育</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848.20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463.06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比年初预算减少385.14万元，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54.59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实际业务有变化，培训班次和培训经费减少。</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抚恤</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死亡抚恤</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0.51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比年初预算增加15.52万元，原因是实际业务有变化，本单位有新增死亡人员，因此一次性抚恤金增加15.52万元</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、一般公共服务支出</w:t>
      </w:r>
      <w:r>
        <w:rPr>
          <w:rFonts w:hint="eastAsia" w:asciiTheme="minorEastAsia" w:hAnsiTheme="minorEastAsia" w:eastAsiaTheme="minorEastAsia"/>
          <w:sz w:val="32"/>
          <w:szCs w:val="32"/>
          <w:lang w:val="en-US" w:eastAsia="zh-CN"/>
        </w:rPr>
        <w:t>住房保障支出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val="en-US" w:eastAsia="zh-CN"/>
        </w:rPr>
        <w:t>住房改革支出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住房公积金</w:t>
      </w:r>
      <w:r>
        <w:rPr>
          <w:rFonts w:hint="eastAsia" w:asciiTheme="minorEastAsia" w:hAnsiTheme="minorEastAsia" w:eastAsiaTheme="minorEastAsia"/>
          <w:sz w:val="32"/>
          <w:szCs w:val="32"/>
        </w:rPr>
        <w:t>（项）。</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int="eastAsia" w:asciiTheme="minorEastAsia" w:hAnsiTheme="minorEastAsia" w:eastAsiaTheme="minorEastAsia"/>
          <w:sz w:val="32"/>
          <w:szCs w:val="32"/>
          <w:lang w:eastAsia="zh-CN"/>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278.56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227.97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81.84</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98.90万元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48.14万元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10.18万元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绩效工资13.45万元，养老保险22.68万元、职业年金5.82万元、医疗保险11.34万元、住房公积金17.46万元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34.56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18.16</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0.20万元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水费0.10万元、电费0.30万元、会议费0.18万元、培训费0.20万元、公务接待费0.80万元、工会经费8.00万元、其他交通费16.56万元、其他商品与服务支出0.40万元</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2021年度“三公”经费财政拨款支出预算为</w:t>
      </w:r>
      <w:r>
        <w:rPr>
          <w:rFonts w:hint="eastAsia" w:asciiTheme="minorEastAsia" w:hAnsiTheme="minorEastAsia" w:eastAsiaTheme="minorEastAsia"/>
          <w:sz w:val="32"/>
          <w:szCs w:val="32"/>
          <w:lang w:val="en-US" w:eastAsia="zh-CN"/>
        </w:rPr>
        <w:t>3.40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86.76</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86.76</w:t>
      </w:r>
      <w:r>
        <w:rPr>
          <w:rFonts w:hint="eastAsia" w:asciiTheme="minorEastAsia" w:hAnsiTheme="minorEastAsia" w:eastAsiaTheme="minorEastAsia"/>
          <w:sz w:val="32"/>
          <w:szCs w:val="32"/>
        </w:rPr>
        <w:t>%，决算数小于预算数的主要原因是厉行节约，控制接待规模，要求接待用餐一律从简安排，反对铺张浪费，严格控制开支项目，与上年相比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 xml:space="preserve">      </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9"/>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2.95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2021年我单位未开展因公出国业务。</w:t>
      </w:r>
    </w:p>
    <w:p>
      <w:pPr>
        <w:pStyle w:val="9"/>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2.95</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25</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326</w:t>
      </w:r>
      <w:r>
        <w:rPr>
          <w:rFonts w:hint="eastAsia" w:asciiTheme="minorEastAsia" w:hAnsiTheme="minorEastAsia" w:eastAsiaTheme="minorEastAsia"/>
          <w:color w:val="auto"/>
          <w:sz w:val="32"/>
          <w:szCs w:val="32"/>
        </w:rPr>
        <w:t>人次，主要是</w:t>
      </w:r>
      <w:r>
        <w:rPr>
          <w:rFonts w:hint="eastAsia" w:asciiTheme="minorEastAsia" w:hAnsiTheme="minorEastAsia" w:eastAsiaTheme="minorEastAsia"/>
          <w:color w:val="auto"/>
          <w:sz w:val="32"/>
          <w:szCs w:val="32"/>
          <w:lang w:val="en-US" w:eastAsia="zh-CN"/>
        </w:rPr>
        <w:t>市委党校和各县委党校来本单位进行业务交流、开展业务活动</w:t>
      </w:r>
      <w:r>
        <w:rPr>
          <w:rFonts w:hint="eastAsia" w:asciiTheme="minorEastAsia" w:hAnsiTheme="minorEastAsia" w:eastAsiaTheme="minorEastAsia"/>
          <w:color w:val="auto"/>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w:t>
      </w:r>
      <w:r>
        <w:rPr>
          <w:rFonts w:hint="eastAsia" w:asciiTheme="minorEastAsia" w:hAnsiTheme="minorEastAsia"/>
          <w:color w:val="auto"/>
          <w:sz w:val="32"/>
          <w:szCs w:val="32"/>
          <w:lang w:eastAsia="zh-CN"/>
        </w:rPr>
        <w:t>公务用车购置</w:t>
      </w:r>
      <w:r>
        <w:rPr>
          <w:rFonts w:hint="eastAsia" w:asciiTheme="minorEastAsia" w:hAnsiTheme="minorEastAsia"/>
          <w:color w:val="auto"/>
          <w:sz w:val="32"/>
          <w:szCs w:val="32"/>
          <w:lang w:val="en-US" w:eastAsia="zh-CN"/>
        </w:rPr>
        <w:t>0辆，</w:t>
      </w:r>
      <w:r>
        <w:rPr>
          <w:rFonts w:hint="eastAsia" w:asciiTheme="minorEastAsia" w:hAnsiTheme="minorEastAsia"/>
          <w:color w:val="auto"/>
          <w:sz w:val="32"/>
          <w:szCs w:val="32"/>
        </w:rPr>
        <w:t>公务用车运行维护费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万元，截止2021年12月31日，我单位开支财政拨款的公务用</w:t>
      </w:r>
      <w:r>
        <w:rPr>
          <w:rFonts w:hint="eastAsia" w:asciiTheme="minorEastAsia" w:hAnsiTheme="minorEastAsia"/>
          <w:sz w:val="32"/>
          <w:szCs w:val="32"/>
        </w:rPr>
        <w:t>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34.56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干部职工</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23</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安排各项日常及临时性工作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84.12</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参加上级部门举办的业务</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val="en-US" w:eastAsia="zh-CN"/>
        </w:rPr>
        <w:t>及本单位主体班培训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2340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次</w:t>
      </w:r>
      <w:r>
        <w:rPr>
          <w:rFonts w:hint="eastAsia" w:asciiTheme="minorEastAsia" w:hAnsiTheme="minorEastAsia" w:eastAsiaTheme="minorEastAsia"/>
          <w:sz w:val="32"/>
          <w:szCs w:val="32"/>
        </w:rPr>
        <w:t>，内容为</w:t>
      </w:r>
      <w:r>
        <w:rPr>
          <w:rFonts w:hint="eastAsia" w:asciiTheme="minorEastAsia" w:hAnsiTheme="minorEastAsia" w:eastAsiaTheme="minorEastAsia"/>
          <w:sz w:val="32"/>
          <w:szCs w:val="32"/>
          <w:lang w:val="en-US" w:eastAsia="zh-CN"/>
        </w:rPr>
        <w:t>业务培训和主体班培训</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pacing w:line="600" w:lineRule="exact"/>
        <w:jc w:val="center"/>
        <w:rPr>
          <w:rFonts w:hint="eastAsia" w:eastAsia="黑体"/>
          <w:bCs/>
          <w:kern w:val="0"/>
          <w:sz w:val="36"/>
          <w:szCs w:val="36"/>
        </w:rPr>
      </w:pPr>
      <w:r>
        <w:rPr>
          <w:rFonts w:hint="eastAsia" w:eastAsia="黑体"/>
          <w:bCs/>
          <w:kern w:val="0"/>
          <w:sz w:val="36"/>
          <w:szCs w:val="36"/>
        </w:rPr>
        <w:t>第四部分 名词解释</w:t>
      </w:r>
    </w:p>
    <w:p>
      <w:pPr>
        <w:widowControl/>
        <w:jc w:val="left"/>
        <w:rPr>
          <w:rFonts w:hint="eastAsia" w:ascii="Cambria Math" w:hAnsi="Cambria Math" w:cs="等线"/>
          <w:color w:val="000000"/>
          <w:kern w:val="0"/>
          <w:sz w:val="32"/>
          <w:szCs w:val="32"/>
        </w:rPr>
      </w:pPr>
    </w:p>
    <w:p>
      <w:pPr>
        <w:tabs>
          <w:tab w:val="left" w:pos="246"/>
        </w:tabs>
        <w:spacing w:line="500" w:lineRule="atLeas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rPr>
        <w:t>、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pPr>
        <w:tabs>
          <w:tab w:val="left" w:pos="246"/>
        </w:tabs>
        <w:spacing w:line="500" w:lineRule="atLeas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tabs>
          <w:tab w:val="left" w:pos="246"/>
        </w:tabs>
        <w:spacing w:line="500" w:lineRule="atLeast"/>
        <w:ind w:firstLine="640" w:firstLineChars="200"/>
        <w:jc w:val="left"/>
        <w:rPr>
          <w:rFonts w:hint="eastAsia" w:ascii="Times New Roman" w:hAnsi="Times New Roman" w:eastAsia="仿宋_GB2312" w:cs="Times New Roman"/>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等线" w:cs="等线"/>
          <w:color w:val="000000"/>
          <w:kern w:val="0"/>
          <w:sz w:val="70"/>
          <w:szCs w:val="70"/>
        </w:rPr>
      </w:pPr>
      <w:r>
        <w:rPr>
          <w:rFonts w:ascii="黑体" w:eastAsia="黑体" w:cs="黑体"/>
          <w:color w:val="000000"/>
          <w:kern w:val="0"/>
          <w:sz w:val="70"/>
          <w:szCs w:val="70"/>
        </w:rPr>
        <w:br w:type="page"/>
      </w:r>
    </w:p>
    <w:p>
      <w:pPr>
        <w:ind w:firstLine="880" w:firstLineChars="200"/>
        <w:jc w:val="center"/>
        <w:rPr>
          <w:rFonts w:hint="eastAsia" w:cs="黑体" w:asciiTheme="minorEastAsia" w:hAnsiTheme="minorEastAsia"/>
          <w:b/>
          <w:color w:val="000000"/>
          <w:kern w:val="0"/>
          <w:sz w:val="44"/>
          <w:szCs w:val="44"/>
        </w:rPr>
      </w:pPr>
    </w:p>
    <w:p>
      <w:pPr>
        <w:ind w:firstLine="880" w:firstLineChars="200"/>
        <w:jc w:val="center"/>
        <w:rPr>
          <w:rFonts w:hint="eastAsia" w:cs="黑体" w:asciiTheme="minorEastAsia" w:hAnsiTheme="minorEastAsia"/>
          <w:b/>
          <w:color w:val="000000"/>
          <w:kern w:val="0"/>
          <w:sz w:val="44"/>
          <w:szCs w:val="44"/>
        </w:rPr>
      </w:pPr>
    </w:p>
    <w:p>
      <w:pPr>
        <w:ind w:firstLine="880" w:firstLineChars="200"/>
        <w:jc w:val="center"/>
        <w:rPr>
          <w:rFonts w:hint="eastAsia" w:cs="黑体" w:asciiTheme="minorEastAsia" w:hAnsiTheme="minorEastAsia"/>
          <w:b/>
          <w:color w:val="000000"/>
          <w:kern w:val="0"/>
          <w:sz w:val="44"/>
          <w:szCs w:val="44"/>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E964A5F"/>
    <w:rsid w:val="12CE31E8"/>
    <w:rsid w:val="17AC064B"/>
    <w:rsid w:val="17F2772F"/>
    <w:rsid w:val="26F178E9"/>
    <w:rsid w:val="27A80711"/>
    <w:rsid w:val="343B235E"/>
    <w:rsid w:val="387673DA"/>
    <w:rsid w:val="3C5F4465"/>
    <w:rsid w:val="536A4E0C"/>
    <w:rsid w:val="564D5B0B"/>
    <w:rsid w:val="59987F3E"/>
    <w:rsid w:val="642A5317"/>
    <w:rsid w:val="6C572C3A"/>
    <w:rsid w:val="6FE65EFA"/>
    <w:rsid w:val="70B95ECD"/>
    <w:rsid w:val="72914B21"/>
    <w:rsid w:val="739E464C"/>
    <w:rsid w:val="755216D0"/>
    <w:rsid w:val="7903757E"/>
    <w:rsid w:val="7A54328F"/>
    <w:rsid w:val="7C41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6991</Words>
  <Characters>8777</Characters>
  <Lines>69</Lines>
  <Paragraphs>19</Paragraphs>
  <TotalTime>0</TotalTime>
  <ScaleCrop>false</ScaleCrop>
  <LinksUpToDate>false</LinksUpToDate>
  <CharactersWithSpaces>9802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2023-09-28T05:23:32Z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C6A27E095E504600BB7C7993700DB6B3_13</vt:lpwstr>
  </property>
</Properties>
</file>