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道县供销社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部门整体支出绩效评价报告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一、基本情况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（一）部门基本情况：正科级单位，</w:t>
      </w: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21年底共有在职人员21人。内设机构</w:t>
      </w:r>
      <w:r>
        <w:rPr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个，分别为办公室、信访维稳办公室、政工人事股、财务审计股、合作指导股，主要工作职能如下：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贯彻执行党和政府有关农村经济的方针、政策、法规，研究制定农村合作经济组织的发展计划，指导农村合作经济组织规范发展，加快供销合作社系统的改革步伐，把供销合作社真正办成农村合作经济组织的主体；组织协调农业生产资料的供应和各项为农服务工作，按照县人民政府授权承担重要农业生产资料、农副产品的储备，适时调控市场；协调有关部门的关系，推动全县供销社组织农民进入市场，参与大流通、大市场，发展农业产业化经营，为农业、农村和农民提供综合服务，建立和完善本系统为农业生产资料和农村经济发展服务的体系，预测预报相关的市场信息；指导供销社系统的科技开发和推广应用工作，引进、推广农业产销所需的新品种、新设施、新技术，推进科教兴社战略。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(二)部门整体支出绩效目标：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坚持以党的</w:t>
      </w:r>
      <w:r>
        <w:fldChar w:fldCharType="begin"/>
      </w:r>
      <w:r>
        <w:instrText xml:space="preserve"> HYPERLINK "http://www.wm114.cn/0o/32/index.html" </w:instrText>
      </w:r>
      <w:r>
        <w:fldChar w:fldCharType="separate"/>
      </w:r>
      <w:r>
        <w:rPr>
          <w:rFonts w:hint="eastAsia"/>
          <w:color w:val="000000"/>
          <w:sz w:val="32"/>
          <w:szCs w:val="32"/>
        </w:rPr>
        <w:t>“十九”届五</w:t>
      </w:r>
      <w:r>
        <w:rPr>
          <w:rFonts w:hint="eastAsia"/>
        </w:rPr>
        <w:t>中会</w:t>
      </w:r>
      <w:r>
        <w:rPr>
          <w:rFonts w:hint="eastAsia"/>
        </w:rPr>
        <w:fldChar w:fldCharType="end"/>
      </w:r>
      <w:r>
        <w:rPr>
          <w:rFonts w:hint="eastAsia"/>
          <w:color w:val="000000"/>
          <w:sz w:val="32"/>
          <w:szCs w:val="32"/>
        </w:rPr>
        <w:t>精神为指导，继续推进供销合作社综合改革，紧紧围绕县委、县政府的发展战略，坚持为农服务宗旨，进一步夯实改革发展的内生动力，增强服务功能，努力把供销合作社打造成服务“三农”的生力军和主阵地。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1、兴建供销室10家。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2、以粮安水稻种植农民专业合作社联合社为龙头，引导农户种植标准化农田1.5亩，增加农民收入。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3、以市“供销惠万家一网通”运营平台为依托，在全县22个乡镇（街道）建设“供销惠万家一网通”服务中心站点，构建市、县、乡、村四级贯通“供销惠万家一网通”服务体系。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二、一般公共预算支出情况</w:t>
      </w:r>
    </w:p>
    <w:p>
      <w:pPr>
        <w:adjustRightInd w:val="0"/>
        <w:snapToGrid w:val="0"/>
        <w:spacing w:line="60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21年供销社共支出233.11万元，其中工资福利支出173.2万元、一般商品服务支出28.6万元，主要用于机关日常工作开支，对个人和家庭的补助31.26万元。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部门整体支出使用情况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（一）基本支出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费用名称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在职人员基本工资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60.2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津贴补贴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奖金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养老保险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其他社会保障缴费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医疗保险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住房公积金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办公费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电费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水费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邮电费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差旅费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维修费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会议费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培训费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公务接待费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工会经费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福利费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其他交通费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其他商品和服务支出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抚恤金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04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233.11</w:t>
            </w:r>
          </w:p>
        </w:tc>
      </w:tr>
    </w:tbl>
    <w:p>
      <w:pPr>
        <w:adjustRightInd w:val="0"/>
        <w:snapToGrid w:val="0"/>
        <w:spacing w:line="6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（二）项目支出</w:t>
      </w:r>
    </w:p>
    <w:p>
      <w:pPr>
        <w:adjustRightInd w:val="0"/>
        <w:snapToGrid w:val="0"/>
        <w:spacing w:line="600" w:lineRule="exact"/>
        <w:ind w:firstLine="960" w:firstLineChars="3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2021年本单位没有项目支出。</w:t>
      </w:r>
    </w:p>
    <w:p>
      <w:pPr>
        <w:adjustRightInd w:val="0"/>
        <w:snapToGrid w:val="0"/>
        <w:spacing w:line="6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三、部门整体支出绩效情况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1、兴建供销室10家。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2、以粮安水稻种植农民专业合作社联合社为龙头，引导农户种植标准化农田1.5亩，增加农民收入。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3、以市“供销惠万家一网通”运营平台为依托，在全县22个乡镇（街道）建设“供销惠万家一网通”服务中心站点，构建市、县、乡、村四级贯通“供销惠万家一网通”服务体系。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4、建章建制，完善制度。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根据《会计法》、《预算法》、《事业单位会计制度》等法律法规及有关财务规章制度，明确了经费审批权限及程序，经费预算、核算管理、资产购置与处置、财务监督等，针对“三公”经费建立公用经费标准，开展公用经费使用监督和绩效评估。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5、制度执行比较到位，提高了资金使用效率</w:t>
      </w:r>
    </w:p>
    <w:p>
      <w:pPr>
        <w:adjustRightInd w:val="0"/>
        <w:snapToGrid w:val="0"/>
        <w:spacing w:line="600" w:lineRule="exact"/>
        <w:ind w:left="159" w:leftChars="76" w:firstLine="480" w:firstLineChars="1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21年度加强了财务管理，落实了厉行节约的各项规定。</w:t>
      </w: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21年“三公”经费实际支出6.9万元，公务接待费6.9万元，“三公”经费的公务接待费与上年持平。</w:t>
      </w:r>
    </w:p>
    <w:p>
      <w:pPr>
        <w:adjustRightInd w:val="0"/>
        <w:snapToGrid w:val="0"/>
        <w:spacing w:line="6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四、存在问题及原因分析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主要存在预算资金不够细，支出与预算不够专的问题。</w:t>
      </w:r>
    </w:p>
    <w:p>
      <w:pPr>
        <w:adjustRightInd w:val="0"/>
        <w:snapToGrid w:val="0"/>
        <w:spacing w:line="6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五、改进措施和有关建议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针对存在的问题，提出以下改进措施：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规范财务管理，提高财务管理水平。严格执行《会计法》、《事业单位财务规定》、《预算法》等规定，执行财务核算，结合实际情况，做好部门预算，严格按照年初资金的预算用途使用资金。</w:t>
      </w:r>
    </w:p>
    <w:p>
      <w:pPr>
        <w:adjustRightInd w:val="0"/>
        <w:snapToGrid w:val="0"/>
        <w:spacing w:line="600" w:lineRule="exact"/>
        <w:ind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（二）落实管理制度，进一步加强资产管理。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880" w:firstLineChars="215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道县供销社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>
        <w:rPr>
          <w:rFonts w:hint="eastAsia"/>
          <w:color w:val="000000"/>
          <w:sz w:val="32"/>
          <w:szCs w:val="32"/>
        </w:rPr>
        <w:t xml:space="preserve">                     </w:t>
      </w: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</w:rPr>
        <w:t>2年5月31日</w:t>
      </w:r>
    </w:p>
    <w:p>
      <w:pPr>
        <w:ind w:firstLine="640" w:firstLineChars="200"/>
        <w:jc w:val="left"/>
        <w:rPr>
          <w:color w:val="00000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3145E"/>
    <w:multiLevelType w:val="singleLevel"/>
    <w:tmpl w:val="5953145E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zNiMzhiOGEzOWUxY2VmNjYzMjc1ZDBlNjcyMTQifQ=="/>
  </w:docVars>
  <w:rsids>
    <w:rsidRoot w:val="6CB723A9"/>
    <w:rsid w:val="6CB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2023-09-25T08:29:00Z</dcterms:created>
  <dc:creator>き堇色安年ぷ</dc:creator>
  <cp:lastModifiedBy>き堇色安年ぷ</cp:lastModifiedBy>
  <dcterms:modified xsi:type="dcterms:W3CDTF">2023-09-25T08:30:58Z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D7F467581BBF491BBA5447A1DDE87EE6_11</vt:lpwstr>
  </property>
</Properties>
</file>