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rFonts w:hint="eastAsia"/>
          <w:sz w:val="84"/>
          <w:szCs w:val="84"/>
        </w:rPr>
      </w:pPr>
      <w:r>
        <w:rPr>
          <w:rFonts w:hint="eastAsia"/>
          <w:sz w:val="84"/>
          <w:szCs w:val="84"/>
        </w:rPr>
        <w:t>道县人民政府办公室</w:t>
      </w:r>
    </w:p>
    <w:p>
      <w:pPr>
        <w:pStyle w:val="12"/>
        <w:jc w:val="center"/>
        <w:rPr>
          <w:sz w:val="84"/>
          <w:szCs w:val="84"/>
        </w:rPr>
      </w:pP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道县人民政府办公室</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pStyle w:val="2"/>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rFonts w:hint="eastAsia"/>
          <w:sz w:val="84"/>
          <w:szCs w:val="84"/>
          <w:lang w:val="en-US" w:eastAsia="zh-CN"/>
        </w:rPr>
      </w:pPr>
      <w:r>
        <w:rPr>
          <w:rFonts w:hint="eastAsia"/>
          <w:sz w:val="84"/>
          <w:szCs w:val="84"/>
          <w:lang w:val="en-US" w:eastAsia="zh-CN"/>
        </w:rPr>
        <w:t>道县人民政府办公室</w:t>
      </w: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rPr>
      </w:pPr>
      <w:r>
        <w:rPr>
          <w:rFonts w:hint="eastAsia" w:asciiTheme="minorEastAsia" w:hAnsiTheme="minorEastAsia"/>
          <w:bCs/>
          <w:kern w:val="0"/>
          <w:sz w:val="32"/>
          <w:szCs w:val="32"/>
        </w:rPr>
        <w:t>根据《中共道县县委办公室道县人民政府办公室关于道县人民政府办公室职责和机构编制调整的通知》（道办发〔2019〕33号）规定，道县人民政府办公室主要工作职责是：</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    ⑴协助县政府领导同志组织起草或审核以县政府、县政府办公室名义发布的公文。</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    ⑵负责县政府会务工作，协助县政府领导同志组织实施会议决定事项。</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    ⑶督促检查县直部门和乡镇场、街道办事处对县政府决定事项及县政府领导同志有关指示的贯彻实施情况，促进工作落实。</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    ⑷组织办理人大代表建议、政协委员提案。</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    ⑸负责县政府值班工作，及时报告重要情况，传达和督促落实县政府领导同志指示；协助县政府领导同志组织处理突发事件的应急处理工作。</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    ⑹根据县政府的工作部署和县政府领导同志的指示，对涉及全县经济建设、社会发展、改革开放和社会稳定等全局性工作的重大课题进行调查研究，提出政策建议。</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    ⑺搜集、研究和综合经济社会发展的重要信息、动态，为县政府领导决策提供参考。</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 xml:space="preserve">    ⑻贯彻执行国家和省市有关金融工作的方针、政策和法律法规，组织拟定金融领域有关规范性文件。指导和协调全县金融工作。</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⑼办理县政府和县政府领导同志交办的其它事项。</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snapToGrid w:val="0"/>
        <w:spacing w:line="52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道县人民政府办公室</w:t>
      </w:r>
      <w:r>
        <w:rPr>
          <w:rFonts w:hint="eastAsia" w:asciiTheme="minorEastAsia" w:hAnsiTheme="minorEastAsia"/>
          <w:bCs/>
          <w:kern w:val="0"/>
          <w:sz w:val="32"/>
          <w:szCs w:val="32"/>
        </w:rPr>
        <w:t>内设机构包括：文秘室、县人民政府总值班室、综合调研室、督查室（道县人民政府督查室）、金融室（道县人民政府金融办公室）、机要保密室、政工室（党建室）、行政室、政务联络室</w:t>
      </w:r>
      <w:r>
        <w:rPr>
          <w:rFonts w:hint="eastAsia" w:asciiTheme="minorEastAsia" w:hAnsiTheme="minorEastAsia"/>
          <w:bCs/>
          <w:kern w:val="0"/>
          <w:sz w:val="32"/>
          <w:szCs w:val="32"/>
          <w:lang w:val="en-US" w:eastAsia="zh-CN"/>
        </w:rPr>
        <w:t>等</w:t>
      </w:r>
      <w:r>
        <w:rPr>
          <w:rFonts w:hint="eastAsia" w:asciiTheme="minorEastAsia" w:hAnsiTheme="minorEastAsia"/>
          <w:bCs/>
          <w:kern w:val="0"/>
          <w:sz w:val="32"/>
          <w:szCs w:val="32"/>
        </w:rPr>
        <w:t>9个内部机构。</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val="en-US" w:eastAsia="zh-CN"/>
        </w:rPr>
        <w:t>道县人民政府办公室</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val="en-US" w:eastAsia="zh-CN"/>
        </w:rPr>
        <w:t>道县人民政府办公室</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both"/>
        <w:rPr>
          <w:rFonts w:hint="eastAsia"/>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1,022.00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44.87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7.14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1,089.00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1,089.00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428" w:type="dxa"/>
        <w:tblInd w:w="0" w:type="dxa"/>
        <w:tblLayout w:type="autofit"/>
        <w:tblCellMar>
          <w:top w:w="0" w:type="dxa"/>
          <w:left w:w="0" w:type="dxa"/>
          <w:bottom w:w="0" w:type="dxa"/>
          <w:right w:w="0" w:type="dxa"/>
        </w:tblCellMar>
      </w:tblPr>
      <w:tblGrid>
        <w:gridCol w:w="2091"/>
        <w:gridCol w:w="152"/>
        <w:gridCol w:w="1734"/>
        <w:gridCol w:w="1543"/>
        <w:gridCol w:w="1543"/>
        <w:gridCol w:w="1543"/>
        <w:gridCol w:w="1543"/>
        <w:gridCol w:w="1543"/>
        <w:gridCol w:w="1543"/>
        <w:gridCol w:w="2193"/>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3977"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p>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4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4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1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24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73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4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1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97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1,089.00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1,089.00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1,022.00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1,022.00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1,022.00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1,022.00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801.49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801.49</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2010304</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专项服务</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2010399</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212.51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212.51</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44.87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44.87</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21.42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21.42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21.42</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23.45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23.45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23.45</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7.14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7.14</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2130122</w:t>
            </w:r>
          </w:p>
        </w:tc>
        <w:tc>
          <w:tcPr>
            <w:tcW w:w="1886"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15.00</w:t>
            </w: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4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1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1,089.00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839.39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249.61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1,022.00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787.39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1,022.00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787.39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234.61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801.49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767.39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专项服务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212.51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192.51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44.87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44.87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2130122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1"/>
        <w:gridCol w:w="436"/>
        <w:gridCol w:w="1095"/>
        <w:gridCol w:w="495"/>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1,022.00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1,022.00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44.87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44.87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1,089.00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1010"/>
        <w:gridCol w:w="3291"/>
        <w:gridCol w:w="2840"/>
        <w:gridCol w:w="3271"/>
        <w:gridCol w:w="2821"/>
      </w:tblGrid>
      <w:tr>
        <w:tblPrEx>
          <w:tblCellMar>
            <w:top w:w="0" w:type="dxa"/>
            <w:left w:w="108" w:type="dxa"/>
            <w:bottom w:w="0" w:type="dxa"/>
            <w:right w:w="108" w:type="dxa"/>
          </w:tblCellMar>
        </w:tblPrEx>
        <w:trPr>
          <w:trHeight w:val="405" w:hRule="atLeast"/>
          <w:jc w:val="center"/>
        </w:trPr>
        <w:tc>
          <w:tcPr>
            <w:tcW w:w="528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6"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1"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6"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1"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8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1,089.00</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839.39</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249.61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1,022.00</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787.39</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234.61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1,022.00</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787.39</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234.61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801.49</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767.39</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2010304</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专项服务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2010399</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212.51</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192.51</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44.87</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44.87</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21.42</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21.42</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21.42</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21.42</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23.45</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23.45</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23.45</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w:t>
            </w:r>
          </w:p>
        </w:tc>
        <w:tc>
          <w:tcPr>
            <w:tcW w:w="32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7.14</w:t>
            </w:r>
          </w:p>
        </w:tc>
        <w:tc>
          <w:tcPr>
            <w:tcW w:w="2821"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2130122</w:t>
            </w:r>
          </w:p>
        </w:tc>
        <w:tc>
          <w:tcPr>
            <w:tcW w:w="430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农业生产发展</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271"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21"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0" w:type="auto"/>
        <w:tblInd w:w="0" w:type="dxa"/>
        <w:tblLayout w:type="autofit"/>
        <w:tblCellMar>
          <w:top w:w="0" w:type="dxa"/>
          <w:left w:w="108" w:type="dxa"/>
          <w:bottom w:w="0" w:type="dxa"/>
          <w:right w:w="108" w:type="dxa"/>
        </w:tblCellMar>
      </w:tblPr>
      <w:tblGrid>
        <w:gridCol w:w="1287"/>
        <w:gridCol w:w="3206"/>
        <w:gridCol w:w="851"/>
        <w:gridCol w:w="1177"/>
        <w:gridCol w:w="2212"/>
        <w:gridCol w:w="851"/>
        <w:gridCol w:w="1178"/>
        <w:gridCol w:w="4001"/>
        <w:gridCol w:w="851"/>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508.44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307.50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239.88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37.23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125.68</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23.93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17.20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57.12</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28.56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15.15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23.45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19.96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16.32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25.07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22.25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63.53</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67.18</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531.89</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307.50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26.77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26.77</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道县人民政府办公室</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val="en-US" w:eastAsia="zh-CN"/>
              </w:rPr>
              <w:t>道县人民政府办公室</w:t>
            </w:r>
            <w:r>
              <w:rPr>
                <w:rFonts w:ascii="宋体" w:hAnsi="宋体" w:eastAsia="宋体" w:cs="宋体"/>
                <w:color w:val="000000"/>
                <w:kern w:val="0"/>
                <w:sz w:val="20"/>
                <w:szCs w:val="20"/>
              </w:rPr>
              <w:t xml:space="preserve">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道县人民政府办公室没有国有资本经营收入，也没有使用国有资本经营安排的支</w:t>
            </w:r>
            <w:r>
              <w:rPr>
                <w:rFonts w:hint="eastAsia" w:ascii="Times New Roman" w:hAnsi="Times New Roman" w:eastAsia="仿宋_GB2312" w:cs="Times New Roman"/>
                <w:kern w:val="0"/>
                <w:szCs w:val="21"/>
              </w:rPr>
              <w:t>出，故本表无数据</w:t>
            </w:r>
            <w:r>
              <w:rPr>
                <w:rFonts w:ascii="Times New Roman" w:hAnsi="Times New Roman" w:eastAsia="仿宋_GB2312" w:cs="Times New Roman"/>
                <w:kern w:val="0"/>
                <w:szCs w:val="21"/>
              </w:rPr>
              <w:t>)。</w:t>
            </w:r>
          </w:p>
          <w:p>
            <w:pPr>
              <w:pStyle w:val="2"/>
            </w:pP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rPr>
          <w:rFonts w:hAnsi="黑体"/>
          <w:b/>
          <w:sz w:val="32"/>
          <w:szCs w:val="32"/>
        </w:rPr>
      </w:pPr>
      <w:r>
        <w:rPr>
          <w:rFonts w:hint="eastAsia" w:hAnsi="黑体"/>
          <w:b/>
          <w:sz w:val="32"/>
          <w:szCs w:val="32"/>
        </w:rPr>
        <w:t>一、收入支出决算总体情况说明</w:t>
      </w:r>
    </w:p>
    <w:p>
      <w:pPr>
        <w:snapToGrid w:val="0"/>
        <w:spacing w:line="560" w:lineRule="exact"/>
        <w:ind w:firstLine="6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万元。与上年1033.33万元相比，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55.67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5.38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人员增加，导致收支增加。</w:t>
      </w:r>
    </w:p>
    <w:p>
      <w:pPr>
        <w:pStyle w:val="12"/>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1089万元，其中：基本支出839.39万元，占77.08%；项目支出249.61万元，占22.92%；上缴上级支出0万元，占0%；经营支出0万元，占0%；对附属单位补助支出0万元，占0%。</w:t>
      </w:r>
    </w:p>
    <w:p>
      <w:pPr>
        <w:pStyle w:val="12"/>
        <w:rPr>
          <w:rFonts w:hAnsi="黑体"/>
          <w:b/>
          <w:sz w:val="32"/>
          <w:szCs w:val="32"/>
        </w:rPr>
      </w:pPr>
      <w:r>
        <w:rPr>
          <w:rFonts w:hint="eastAsia" w:hAnsi="黑体"/>
          <w:b/>
          <w:sz w:val="32"/>
          <w:szCs w:val="32"/>
        </w:rPr>
        <w:t>四、财政拨款收入支出决算总体情况说明</w:t>
      </w:r>
    </w:p>
    <w:p>
      <w:pPr>
        <w:pStyle w:val="12"/>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万元，与上年1033.33万元相比，</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55.67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5.38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人员增加，导致收支增加。</w:t>
      </w:r>
    </w:p>
    <w:p>
      <w:pPr>
        <w:pStyle w:val="12"/>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%，与上年1033.33万元相比，财政拨款支出增加</w:t>
      </w:r>
      <w:r>
        <w:rPr>
          <w:rFonts w:hint="eastAsia" w:asciiTheme="minorEastAsia" w:hAnsiTheme="minorEastAsia" w:eastAsiaTheme="minorEastAsia"/>
          <w:sz w:val="32"/>
          <w:szCs w:val="32"/>
          <w:lang w:val="en-US" w:eastAsia="zh-CN"/>
        </w:rPr>
        <w:t>55.67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5.38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人员增加，导致收支增加。</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snapToGrid w:val="0"/>
        <w:spacing w:line="560" w:lineRule="exact"/>
        <w:ind w:firstLine="600"/>
        <w:rPr>
          <w:rFonts w:hint="eastAsia" w:ascii="仿宋" w:hAnsi="仿宋" w:eastAsia="仿宋"/>
          <w:spacing w:val="-6"/>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1022</w:t>
      </w:r>
      <w:r>
        <w:rPr>
          <w:rFonts w:hint="eastAsia" w:asciiTheme="minorEastAsia" w:hAnsiTheme="minorEastAsia" w:eastAsiaTheme="minorEastAsia"/>
          <w:sz w:val="32"/>
          <w:szCs w:val="32"/>
        </w:rPr>
        <w:t>万元，占9</w:t>
      </w:r>
      <w:r>
        <w:rPr>
          <w:rFonts w:hint="eastAsia" w:asciiTheme="minorEastAsia" w:hAnsiTheme="minorEastAsia" w:eastAsiaTheme="minorEastAsia"/>
          <w:sz w:val="32"/>
          <w:szCs w:val="32"/>
          <w:lang w:val="en-US" w:eastAsia="zh-CN"/>
        </w:rPr>
        <w:t>3.85</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44.86</w:t>
      </w:r>
      <w:r>
        <w:rPr>
          <w:rFonts w:hint="eastAsia" w:asciiTheme="minorEastAsia" w:hAnsiTheme="minorEastAsia" w:eastAsiaTheme="minorEastAsia"/>
          <w:sz w:val="32"/>
          <w:szCs w:val="32"/>
        </w:rPr>
        <w:t>万元，占总收入比重是</w:t>
      </w:r>
      <w:r>
        <w:rPr>
          <w:rFonts w:hint="eastAsia" w:asciiTheme="minorEastAsia" w:hAnsiTheme="minorEastAsia" w:eastAsiaTheme="minorEastAsia"/>
          <w:sz w:val="32"/>
          <w:szCs w:val="32"/>
          <w:lang w:val="en-US" w:eastAsia="zh-CN"/>
        </w:rPr>
        <w:t>4.12</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7.14</w:t>
      </w:r>
      <w:r>
        <w:rPr>
          <w:rFonts w:hint="eastAsia" w:asciiTheme="minorEastAsia" w:hAnsiTheme="minorEastAsia" w:eastAsiaTheme="minorEastAsia"/>
          <w:sz w:val="32"/>
          <w:szCs w:val="32"/>
        </w:rPr>
        <w:t>万元，占总收入比重是</w:t>
      </w:r>
      <w:r>
        <w:rPr>
          <w:rFonts w:hint="eastAsia" w:asciiTheme="minorEastAsia" w:hAnsiTheme="minorEastAsia" w:eastAsiaTheme="minorEastAsia"/>
          <w:sz w:val="32"/>
          <w:szCs w:val="32"/>
          <w:lang w:val="en-US" w:eastAsia="zh-CN"/>
        </w:rPr>
        <w:t>0.65</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；农林水支出</w:t>
      </w:r>
      <w:r>
        <w:rPr>
          <w:rFonts w:hint="eastAsia" w:asciiTheme="minorEastAsia" w:hAnsiTheme="minorEastAsia" w:eastAsiaTheme="minorEastAsia"/>
          <w:sz w:val="32"/>
          <w:szCs w:val="32"/>
          <w:lang w:val="en-US" w:eastAsia="zh-CN"/>
        </w:rPr>
        <w:t>15万元，</w:t>
      </w:r>
      <w:r>
        <w:rPr>
          <w:rFonts w:hint="eastAsia" w:asciiTheme="minorEastAsia" w:hAnsiTheme="minorEastAsia" w:eastAsiaTheme="minorEastAsia"/>
          <w:sz w:val="32"/>
          <w:szCs w:val="32"/>
        </w:rPr>
        <w:t>占总收入比重是</w:t>
      </w:r>
      <w:r>
        <w:rPr>
          <w:rFonts w:hint="eastAsia" w:asciiTheme="minorEastAsia" w:hAnsiTheme="minorEastAsia" w:eastAsiaTheme="minorEastAsia"/>
          <w:sz w:val="32"/>
          <w:szCs w:val="32"/>
          <w:lang w:val="en-US" w:eastAsia="zh-CN"/>
        </w:rPr>
        <w:t>1.38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868.99</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1089</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125.32</w:t>
      </w:r>
      <w:r>
        <w:rPr>
          <w:rFonts w:hint="eastAsia" w:asciiTheme="minorEastAsia" w:hAnsiTheme="minorEastAsia" w:eastAsiaTheme="minorEastAsia"/>
          <w:sz w:val="32"/>
          <w:szCs w:val="32"/>
        </w:rPr>
        <w:t>%，其中：</w:t>
      </w:r>
      <w:r>
        <w:rPr>
          <w:rFonts w:hint="eastAsia" w:asciiTheme="minorEastAsia" w:hAnsiTheme="minorEastAsia" w:eastAsiaTheme="minorEastAsia"/>
          <w:sz w:val="32"/>
          <w:szCs w:val="32"/>
          <w:lang w:val="en-US" w:eastAsia="zh-CN"/>
        </w:rPr>
        <w:t xml:space="preserve"> </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asciiTheme="minorEastAsia" w:hAnsiTheme="minorEastAsia" w:eastAsiaTheme="minorEastAsia"/>
          <w:sz w:val="32"/>
          <w:szCs w:val="32"/>
          <w:lang w:eastAsia="zh-CN"/>
        </w:rPr>
        <w:t>政府办公</w:t>
      </w:r>
      <w:r>
        <w:rPr>
          <w:rFonts w:hint="eastAsia" w:asciiTheme="minorEastAsia" w:hAnsiTheme="minorEastAsia" w:eastAsiaTheme="minorEastAsia"/>
          <w:sz w:val="32"/>
          <w:szCs w:val="32"/>
          <w:lang w:val="en-US" w:eastAsia="zh-CN"/>
        </w:rPr>
        <w:t>厅（</w:t>
      </w:r>
      <w:r>
        <w:rPr>
          <w:rFonts w:hint="eastAsia" w:asciiTheme="minorEastAsia" w:hAnsiTheme="minorEastAsia" w:eastAsiaTheme="minorEastAsia"/>
          <w:sz w:val="32"/>
          <w:szCs w:val="32"/>
          <w:lang w:eastAsia="zh-CN"/>
        </w:rPr>
        <w:t>室</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及相关机构事务</w:t>
      </w:r>
      <w:r>
        <w:rPr>
          <w:rFonts w:hint="eastAsia" w:asciiTheme="minorEastAsia" w:hAnsiTheme="minorEastAsia" w:eastAsiaTheme="minorEastAsia"/>
          <w:sz w:val="32"/>
          <w:szCs w:val="32"/>
        </w:rPr>
        <w:t>（款）行政运行（项）。</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仿宋" w:hAnsi="仿宋" w:eastAsia="仿宋"/>
          <w:sz w:val="32"/>
          <w:szCs w:val="32"/>
          <w:lang w:val="en-US" w:eastAsia="zh-CN"/>
        </w:rPr>
        <w:t>765.53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801.48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104.7</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lang w:val="en-US" w:eastAsia="zh-CN"/>
        </w:rPr>
        <w:t>年中有临时增加的项目。</w:t>
      </w:r>
    </w:p>
    <w:p>
      <w:pPr>
        <w:pStyle w:val="12"/>
        <w:ind w:firstLine="640" w:firstLineChars="20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2、一般公共服务</w:t>
      </w:r>
      <w:r>
        <w:rPr>
          <w:rFonts w:hint="eastAsia" w:asciiTheme="minorEastAsia" w:hAnsiTheme="minorEastAsia" w:eastAsiaTheme="minorEastAsia"/>
          <w:color w:val="auto"/>
          <w:sz w:val="32"/>
          <w:szCs w:val="32"/>
        </w:rPr>
        <w:t>支出（类）</w:t>
      </w:r>
      <w:r>
        <w:rPr>
          <w:rFonts w:hint="eastAsia" w:asciiTheme="minorEastAsia" w:hAnsiTheme="minorEastAsia" w:eastAsiaTheme="minorEastAsia"/>
          <w:color w:val="auto"/>
          <w:sz w:val="32"/>
          <w:szCs w:val="32"/>
          <w:lang w:eastAsia="zh-CN"/>
        </w:rPr>
        <w:t>政府办公</w:t>
      </w:r>
      <w:r>
        <w:rPr>
          <w:rFonts w:hint="eastAsia" w:asciiTheme="minorEastAsia" w:hAnsiTheme="minorEastAsia" w:eastAsiaTheme="minorEastAsia"/>
          <w:color w:val="auto"/>
          <w:sz w:val="32"/>
          <w:szCs w:val="32"/>
          <w:lang w:val="en-US" w:eastAsia="zh-CN"/>
        </w:rPr>
        <w:t>厅（</w:t>
      </w:r>
      <w:r>
        <w:rPr>
          <w:rFonts w:hint="eastAsia" w:asciiTheme="minorEastAsia" w:hAnsiTheme="minorEastAsia" w:eastAsiaTheme="minorEastAsia"/>
          <w:color w:val="auto"/>
          <w:sz w:val="32"/>
          <w:szCs w:val="32"/>
          <w:lang w:eastAsia="zh-CN"/>
        </w:rPr>
        <w:t>室</w:t>
      </w:r>
      <w:r>
        <w:rPr>
          <w:rFonts w:hint="eastAsia" w:asciiTheme="minorEastAsia" w:hAnsiTheme="minorEastAsia" w:eastAsiaTheme="minorEastAsia"/>
          <w:color w:val="auto"/>
          <w:sz w:val="32"/>
          <w:szCs w:val="32"/>
          <w:lang w:val="en-US" w:eastAsia="zh-CN"/>
        </w:rPr>
        <w:t>）</w:t>
      </w:r>
      <w:r>
        <w:rPr>
          <w:rFonts w:hint="eastAsia" w:asciiTheme="minorEastAsia" w:hAnsiTheme="minorEastAsia" w:eastAsiaTheme="minorEastAsia"/>
          <w:color w:val="auto"/>
          <w:sz w:val="32"/>
          <w:szCs w:val="32"/>
          <w:lang w:eastAsia="zh-CN"/>
        </w:rPr>
        <w:t>及相关机构事务</w:t>
      </w:r>
      <w:r>
        <w:rPr>
          <w:rFonts w:hint="eastAsia" w:asciiTheme="minorEastAsia" w:hAnsiTheme="minorEastAsia" w:eastAsiaTheme="minorEastAsia"/>
          <w:color w:val="auto"/>
          <w:sz w:val="32"/>
          <w:szCs w:val="32"/>
        </w:rPr>
        <w:t>（款）专项服务（项）。</w:t>
      </w:r>
    </w:p>
    <w:p>
      <w:pPr>
        <w:pStyle w:val="12"/>
        <w:ind w:firstLine="640" w:firstLineChars="200"/>
        <w:rPr>
          <w:rFonts w:hint="default" w:asciiTheme="minorEastAsia" w:hAnsiTheme="minorEastAsia" w:eastAsiaTheme="minorEastAsia"/>
          <w:color w:val="auto"/>
          <w:sz w:val="32"/>
          <w:szCs w:val="32"/>
          <w:lang w:val="en-US" w:eastAsia="zh-CN"/>
        </w:rPr>
      </w:pPr>
      <w:r>
        <w:rPr>
          <w:rFonts w:hint="eastAsia" w:asciiTheme="minorEastAsia" w:hAnsiTheme="minorEastAsia" w:eastAsiaTheme="minorEastAsia"/>
          <w:color w:val="auto"/>
          <w:sz w:val="32"/>
          <w:szCs w:val="32"/>
        </w:rPr>
        <w:t>年初预算为</w:t>
      </w:r>
      <w:r>
        <w:rPr>
          <w:rFonts w:hint="eastAsia" w:asciiTheme="minorEastAsia" w:hAnsiTheme="minorEastAsia" w:eastAsiaTheme="minorEastAsia"/>
          <w:color w:val="auto"/>
          <w:sz w:val="32"/>
          <w:szCs w:val="32"/>
          <w:lang w:val="en-US" w:eastAsia="zh-CN"/>
        </w:rPr>
        <w:t>0</w:t>
      </w:r>
      <w:r>
        <w:rPr>
          <w:rFonts w:hint="eastAsia" w:asciiTheme="minorEastAsia" w:hAnsiTheme="minorEastAsia" w:eastAsiaTheme="minorEastAsia"/>
          <w:color w:val="auto"/>
          <w:sz w:val="32"/>
          <w:szCs w:val="32"/>
        </w:rPr>
        <w:t>万元</w:t>
      </w:r>
      <w:r>
        <w:rPr>
          <w:rFonts w:hint="eastAsia" w:asciiTheme="minorEastAsia" w:hAnsiTheme="minorEastAsia" w:eastAsiaTheme="minorEastAsia"/>
          <w:sz w:val="32"/>
          <w:szCs w:val="32"/>
        </w:rPr>
        <w:t>（调整预算为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万元，不存在年初预算完成率，完成调整预算的100%，</w:t>
      </w:r>
      <w:r>
        <w:rPr>
          <w:rFonts w:hint="eastAsia" w:asciiTheme="minorEastAsia" w:hAnsiTheme="minorEastAsia" w:eastAsiaTheme="minorEastAsia"/>
          <w:color w:val="auto"/>
          <w:sz w:val="32"/>
          <w:szCs w:val="32"/>
        </w:rPr>
        <w:t>决算数大于年初预算数的主要原因是：</w:t>
      </w:r>
      <w:r>
        <w:rPr>
          <w:rFonts w:hint="eastAsia" w:asciiTheme="minorEastAsia" w:hAnsiTheme="minorEastAsia" w:eastAsiaTheme="minorEastAsia"/>
          <w:color w:val="auto"/>
          <w:sz w:val="32"/>
          <w:szCs w:val="32"/>
          <w:lang w:val="en-US" w:eastAsia="zh-CN"/>
        </w:rPr>
        <w:t>此项经费是</w:t>
      </w:r>
      <w:r>
        <w:rPr>
          <w:rFonts w:hint="eastAsia" w:asciiTheme="minorEastAsia" w:hAnsiTheme="minorEastAsia" w:eastAsiaTheme="minorEastAsia"/>
          <w:color w:val="auto"/>
          <w:sz w:val="32"/>
          <w:szCs w:val="32"/>
        </w:rPr>
        <w:t>民生微实事工作经费</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属于临时增加项目，年初未做预算。</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color w:val="auto"/>
          <w:sz w:val="32"/>
          <w:szCs w:val="32"/>
          <w:lang w:val="en-US" w:eastAsia="zh-CN"/>
        </w:rPr>
        <w:t>3</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政府办公</w:t>
      </w:r>
      <w:r>
        <w:rPr>
          <w:rFonts w:hint="eastAsia" w:asciiTheme="minorEastAsia" w:hAnsiTheme="minorEastAsia" w:eastAsiaTheme="minorEastAsia"/>
          <w:sz w:val="32"/>
          <w:szCs w:val="32"/>
          <w:lang w:val="en-US" w:eastAsia="zh-CN"/>
        </w:rPr>
        <w:t>厅（</w:t>
      </w:r>
      <w:r>
        <w:rPr>
          <w:rFonts w:hint="eastAsia" w:asciiTheme="minorEastAsia" w:hAnsiTheme="minorEastAsia" w:eastAsiaTheme="minorEastAsia"/>
          <w:sz w:val="32"/>
          <w:szCs w:val="32"/>
          <w:lang w:eastAsia="zh-CN"/>
        </w:rPr>
        <w:t>室</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及相关机构事务</w:t>
      </w:r>
      <w:r>
        <w:rPr>
          <w:rFonts w:hint="eastAsia" w:asciiTheme="minorEastAsia" w:hAnsiTheme="minorEastAsia" w:eastAsiaTheme="minorEastAsia"/>
          <w:sz w:val="32"/>
          <w:szCs w:val="32"/>
        </w:rPr>
        <w:t>（款）其他政府办公厅（室）及相关机构事务支出（项）。</w:t>
      </w:r>
    </w:p>
    <w:p>
      <w:pPr>
        <w:pStyle w:val="12"/>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212.51</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val="en-US" w:eastAsia="zh-CN"/>
        </w:rPr>
        <w:t>大部分是本单位临时增加项目，小部分是挂靠指挥部的经费支出；</w:t>
      </w:r>
      <w:r>
        <w:rPr>
          <w:rFonts w:hint="eastAsia" w:asciiTheme="minorEastAsia" w:hAnsiTheme="minorEastAsia" w:eastAsiaTheme="minorEastAsia"/>
          <w:sz w:val="32"/>
          <w:szCs w:val="32"/>
        </w:rPr>
        <w:t>挂靠</w:t>
      </w:r>
      <w:r>
        <w:rPr>
          <w:rFonts w:hint="eastAsia" w:asciiTheme="minorEastAsia" w:hAnsiTheme="minorEastAsia" w:eastAsiaTheme="minorEastAsia"/>
          <w:sz w:val="32"/>
          <w:szCs w:val="32"/>
          <w:lang w:val="en-US" w:eastAsia="zh-CN"/>
        </w:rPr>
        <w:t>指挥部的</w:t>
      </w:r>
      <w:r>
        <w:rPr>
          <w:rFonts w:hint="eastAsia" w:asciiTheme="minorEastAsia" w:hAnsiTheme="minorEastAsia" w:eastAsiaTheme="minorEastAsia"/>
          <w:sz w:val="32"/>
          <w:szCs w:val="32"/>
        </w:rPr>
        <w:t>支出，不在本单位年初预算范围内，按县财政局要求，挂靠</w:t>
      </w:r>
      <w:r>
        <w:rPr>
          <w:rFonts w:hint="eastAsia" w:asciiTheme="minorEastAsia" w:hAnsiTheme="minorEastAsia" w:eastAsiaTheme="minorEastAsia"/>
          <w:sz w:val="32"/>
          <w:szCs w:val="32"/>
          <w:lang w:val="en-US" w:eastAsia="zh-CN"/>
        </w:rPr>
        <w:t>指挥部</w:t>
      </w:r>
      <w:r>
        <w:rPr>
          <w:rFonts w:hint="eastAsia" w:asciiTheme="minorEastAsia" w:hAnsiTheme="minorEastAsia" w:eastAsiaTheme="minorEastAsia"/>
          <w:sz w:val="32"/>
          <w:szCs w:val="32"/>
        </w:rPr>
        <w:t>的经费支出要列入我单位决算。</w:t>
      </w:r>
      <w:r>
        <w:rPr>
          <w:rFonts w:hint="eastAsia" w:asciiTheme="minorEastAsia" w:hAnsiTheme="minorEastAsia" w:eastAsiaTheme="minorEastAsia"/>
          <w:sz w:val="32"/>
          <w:szCs w:val="32"/>
          <w:lang w:eastAsia="zh-CN"/>
        </w:rPr>
        <w:t>另，</w:t>
      </w:r>
      <w:r>
        <w:rPr>
          <w:rFonts w:hint="eastAsia" w:asciiTheme="minorEastAsia" w:hAnsiTheme="minorEastAsia" w:eastAsiaTheme="minorEastAsia"/>
          <w:sz w:val="32"/>
          <w:szCs w:val="32"/>
        </w:rPr>
        <w:t>一般公共服务支出（类）</w:t>
      </w:r>
      <w:r>
        <w:rPr>
          <w:rFonts w:hint="eastAsia" w:asciiTheme="minorEastAsia" w:hAnsiTheme="minorEastAsia" w:eastAsiaTheme="minorEastAsia"/>
          <w:sz w:val="32"/>
          <w:szCs w:val="32"/>
          <w:lang w:eastAsia="zh-CN"/>
        </w:rPr>
        <w:t>政府办公</w:t>
      </w:r>
      <w:r>
        <w:rPr>
          <w:rFonts w:hint="eastAsia" w:asciiTheme="minorEastAsia" w:hAnsiTheme="minorEastAsia" w:eastAsiaTheme="minorEastAsia"/>
          <w:sz w:val="32"/>
          <w:szCs w:val="32"/>
          <w:lang w:val="en-US" w:eastAsia="zh-CN"/>
        </w:rPr>
        <w:t>厅（</w:t>
      </w:r>
      <w:r>
        <w:rPr>
          <w:rFonts w:hint="eastAsia" w:asciiTheme="minorEastAsia" w:hAnsiTheme="minorEastAsia" w:eastAsiaTheme="minorEastAsia"/>
          <w:sz w:val="32"/>
          <w:szCs w:val="32"/>
          <w:lang w:eastAsia="zh-CN"/>
        </w:rPr>
        <w:t>室</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lang w:eastAsia="zh-CN"/>
        </w:rPr>
        <w:t>及相关机构事务</w:t>
      </w:r>
      <w:r>
        <w:rPr>
          <w:rFonts w:hint="eastAsia" w:asciiTheme="minorEastAsia" w:hAnsiTheme="minorEastAsia" w:eastAsiaTheme="minorEastAsia"/>
          <w:sz w:val="32"/>
          <w:szCs w:val="32"/>
        </w:rPr>
        <w:t>（款）其他政府办公厅（室）及相关机构事务支出（项）</w:t>
      </w:r>
      <w:r>
        <w:rPr>
          <w:rFonts w:hint="eastAsia" w:asciiTheme="minorEastAsia" w:hAnsiTheme="minorEastAsia" w:eastAsiaTheme="minorEastAsia"/>
          <w:sz w:val="32"/>
          <w:szCs w:val="32"/>
          <w:lang w:eastAsia="zh-CN"/>
        </w:rPr>
        <w:t>在预算时，</w:t>
      </w:r>
      <w:r>
        <w:rPr>
          <w:rFonts w:hint="eastAsia" w:asciiTheme="minorEastAsia" w:hAnsiTheme="minorEastAsia" w:eastAsiaTheme="minorEastAsia"/>
          <w:sz w:val="32"/>
          <w:szCs w:val="32"/>
        </w:rPr>
        <w:t>包含在一般公共服务（类）政府办公</w:t>
      </w:r>
      <w:r>
        <w:rPr>
          <w:rFonts w:hint="eastAsia" w:asciiTheme="minorEastAsia" w:hAnsiTheme="minorEastAsia" w:eastAsiaTheme="minorEastAsia"/>
          <w:sz w:val="32"/>
          <w:szCs w:val="32"/>
          <w:lang w:val="en-US" w:eastAsia="zh-CN"/>
        </w:rPr>
        <w:t>厅（</w:t>
      </w:r>
      <w:r>
        <w:rPr>
          <w:rFonts w:hint="eastAsia" w:asciiTheme="minorEastAsia" w:hAnsiTheme="minorEastAsia" w:eastAsiaTheme="minorEastAsia"/>
          <w:sz w:val="32"/>
          <w:szCs w:val="32"/>
        </w:rPr>
        <w:t>室</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及相关机构事务（款）行政运行（项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中</w:t>
      </w:r>
      <w:r>
        <w:rPr>
          <w:rFonts w:hint="eastAsia" w:asciiTheme="minorEastAsia" w:hAnsiTheme="minorEastAsia" w:eastAsiaTheme="minorEastAsia"/>
          <w:sz w:val="32"/>
          <w:szCs w:val="32"/>
          <w:lang w:eastAsia="zh-CN"/>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68.97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21.42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31.06</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人员有异动及缴交基数在年中有所调整。另，社会保障和就业支出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w:t>
      </w:r>
      <w:r>
        <w:rPr>
          <w:rFonts w:hint="eastAsia" w:asciiTheme="minorEastAsia" w:hAnsiTheme="minorEastAsia" w:eastAsiaTheme="minorEastAsia"/>
          <w:sz w:val="32"/>
          <w:szCs w:val="32"/>
        </w:rPr>
        <w:t>养老支出（款）机关事业单位基本养老保险缴费支出（项）</w:t>
      </w:r>
      <w:r>
        <w:rPr>
          <w:rFonts w:hint="eastAsia" w:asciiTheme="minorEastAsia" w:hAnsiTheme="minorEastAsia" w:eastAsiaTheme="minorEastAsia"/>
          <w:sz w:val="32"/>
          <w:szCs w:val="32"/>
          <w:lang w:eastAsia="zh-CN"/>
        </w:rPr>
        <w:t>在预算时，</w:t>
      </w:r>
      <w:r>
        <w:rPr>
          <w:rFonts w:hint="eastAsia" w:asciiTheme="minorEastAsia" w:hAnsiTheme="minorEastAsia" w:eastAsiaTheme="minorEastAsia"/>
          <w:sz w:val="32"/>
          <w:szCs w:val="32"/>
        </w:rPr>
        <w:t>包含在一般公共服务（类）政府办公</w:t>
      </w:r>
      <w:r>
        <w:rPr>
          <w:rFonts w:hint="eastAsia" w:asciiTheme="minorEastAsia" w:hAnsiTheme="minorEastAsia" w:eastAsiaTheme="minorEastAsia"/>
          <w:sz w:val="32"/>
          <w:szCs w:val="32"/>
          <w:lang w:val="en-US" w:eastAsia="zh-CN"/>
        </w:rPr>
        <w:t>厅</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室</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及相关机构事务（款）行政运行（项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中。</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、社会保障和就业支出（类）抚恤（款）死亡抚恤（项）。</w:t>
      </w:r>
    </w:p>
    <w:p>
      <w:pPr>
        <w:pStyle w:val="12"/>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万元（调整预算为</w:t>
      </w:r>
      <w:r>
        <w:rPr>
          <w:rFonts w:hint="eastAsia" w:asciiTheme="minorEastAsia" w:hAnsiTheme="minorEastAsia" w:eastAsiaTheme="minorEastAsia"/>
          <w:sz w:val="32"/>
          <w:szCs w:val="32"/>
          <w:lang w:val="en-US" w:eastAsia="zh-CN"/>
        </w:rPr>
        <w:t>23.45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23.45</w:t>
      </w:r>
      <w:r>
        <w:rPr>
          <w:rFonts w:hint="eastAsia" w:asciiTheme="minorEastAsia" w:hAnsiTheme="minorEastAsia" w:eastAsiaTheme="minorEastAsia"/>
          <w:sz w:val="32"/>
          <w:szCs w:val="32"/>
        </w:rPr>
        <w:t>万元，不存在年初预算完成率，完成调整预算的100%，决算数大于年初预算数的主要原因是：死亡抚恤</w:t>
      </w:r>
      <w:r>
        <w:rPr>
          <w:rFonts w:hint="eastAsia" w:asciiTheme="minorEastAsia" w:hAnsiTheme="minorEastAsia" w:eastAsiaTheme="minorEastAsia"/>
          <w:sz w:val="32"/>
          <w:szCs w:val="32"/>
          <w:lang w:eastAsia="zh-CN"/>
        </w:rPr>
        <w:t>是在全县的大预算中列支的，单位没有单独做预算</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、卫生健康支出（类）行政事业单位医疗（款）行政单位医疗（项）。</w:t>
      </w:r>
    </w:p>
    <w:p>
      <w:pPr>
        <w:pStyle w:val="12"/>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34.49</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7.14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20.7</w:t>
      </w:r>
      <w:r>
        <w:rPr>
          <w:rFonts w:hint="eastAsia" w:asciiTheme="minorEastAsia" w:hAnsiTheme="minorEastAsia" w:eastAsiaTheme="minorEastAsia"/>
          <w:sz w:val="32"/>
          <w:szCs w:val="32"/>
        </w:rPr>
        <w:t>%，决算数小于年初预算数的主要原因是：</w:t>
      </w:r>
      <w:r>
        <w:rPr>
          <w:rFonts w:hint="eastAsia" w:asciiTheme="minorEastAsia" w:hAnsiTheme="minorEastAsia" w:eastAsiaTheme="minorEastAsia"/>
          <w:sz w:val="32"/>
          <w:szCs w:val="32"/>
          <w:lang w:eastAsia="zh-CN"/>
        </w:rPr>
        <w:t>人员有异动及缴交基数在年中有所调整。另，医疗卫生与计划生育支出</w:t>
      </w:r>
      <w:r>
        <w:rPr>
          <w:rFonts w:hint="eastAsia" w:asciiTheme="minorEastAsia" w:hAnsiTheme="minorEastAsia" w:eastAsiaTheme="minorEastAsia"/>
          <w:sz w:val="32"/>
          <w:szCs w:val="32"/>
        </w:rPr>
        <w:t>（类）</w:t>
      </w:r>
      <w:r>
        <w:rPr>
          <w:rFonts w:hint="eastAsia" w:asciiTheme="minorEastAsia" w:hAnsiTheme="minorEastAsia" w:eastAsiaTheme="minorEastAsia"/>
          <w:sz w:val="32"/>
          <w:szCs w:val="32"/>
          <w:lang w:eastAsia="zh-CN"/>
        </w:rPr>
        <w:t>行政事业单位医疗</w:t>
      </w:r>
      <w:r>
        <w:rPr>
          <w:rFonts w:hint="eastAsia" w:asciiTheme="minorEastAsia" w:hAnsiTheme="minorEastAsia" w:eastAsiaTheme="minorEastAsia"/>
          <w:sz w:val="32"/>
          <w:szCs w:val="32"/>
        </w:rPr>
        <w:t>（款）行政单位医疗（项）</w:t>
      </w:r>
      <w:r>
        <w:rPr>
          <w:rFonts w:hint="eastAsia" w:asciiTheme="minorEastAsia" w:hAnsiTheme="minorEastAsia" w:eastAsiaTheme="minorEastAsia"/>
          <w:sz w:val="32"/>
          <w:szCs w:val="32"/>
          <w:lang w:eastAsia="zh-CN"/>
        </w:rPr>
        <w:t>在预算时，</w:t>
      </w:r>
      <w:r>
        <w:rPr>
          <w:rFonts w:hint="eastAsia" w:asciiTheme="minorEastAsia" w:hAnsiTheme="minorEastAsia" w:eastAsiaTheme="minorEastAsia"/>
          <w:sz w:val="32"/>
          <w:szCs w:val="32"/>
        </w:rPr>
        <w:t>包含在一般公共服务（类）政府办公</w:t>
      </w:r>
      <w:r>
        <w:rPr>
          <w:rFonts w:hint="eastAsia" w:asciiTheme="minorEastAsia" w:hAnsiTheme="minorEastAsia" w:eastAsiaTheme="minorEastAsia"/>
          <w:sz w:val="32"/>
          <w:szCs w:val="32"/>
          <w:lang w:val="en-US" w:eastAsia="zh-CN"/>
        </w:rPr>
        <w:t>厅（</w:t>
      </w:r>
      <w:r>
        <w:rPr>
          <w:rFonts w:hint="eastAsia" w:asciiTheme="minorEastAsia" w:hAnsiTheme="minorEastAsia" w:eastAsiaTheme="minorEastAsia"/>
          <w:sz w:val="32"/>
          <w:szCs w:val="32"/>
        </w:rPr>
        <w:t>室</w:t>
      </w:r>
      <w:r>
        <w:rPr>
          <w:rFonts w:hint="eastAsia" w:asciiTheme="minorEastAsia" w:hAnsiTheme="minorEastAsia" w:eastAsiaTheme="minorEastAsia"/>
          <w:sz w:val="32"/>
          <w:szCs w:val="32"/>
          <w:lang w:val="en-US" w:eastAsia="zh-CN"/>
        </w:rPr>
        <w:t>）</w:t>
      </w:r>
      <w:r>
        <w:rPr>
          <w:rFonts w:hint="eastAsia" w:asciiTheme="minorEastAsia" w:hAnsiTheme="minorEastAsia" w:eastAsiaTheme="minorEastAsia"/>
          <w:sz w:val="32"/>
          <w:szCs w:val="32"/>
        </w:rPr>
        <w:t>及相关机构事务（款）行政运行（项</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中</w:t>
      </w:r>
      <w:r>
        <w:rPr>
          <w:rFonts w:hint="eastAsia" w:asciiTheme="minorEastAsia" w:hAnsiTheme="minorEastAsia" w:eastAsiaTheme="minorEastAsia"/>
          <w:sz w:val="32"/>
          <w:szCs w:val="32"/>
          <w:lang w:eastAsia="zh-CN"/>
        </w:rPr>
        <w:t>。</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、农林水支出（类）农业农村（款）农业生产发展（项）。</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万元（调整预算为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万元，不存在年初预算完成率，完成调整预算的100%，决算数大于年初预算数的主要原因是：该项支出为挂靠</w:t>
      </w:r>
      <w:r>
        <w:rPr>
          <w:rFonts w:hint="eastAsia" w:asciiTheme="minorEastAsia" w:hAnsiTheme="minorEastAsia" w:eastAsiaTheme="minorEastAsia"/>
          <w:sz w:val="32"/>
          <w:szCs w:val="32"/>
          <w:lang w:val="en-US" w:eastAsia="zh-CN"/>
        </w:rPr>
        <w:t>指挥部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柑橘黄龙病防治指挥部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支出，不在本单位年初预算范围内，按县财政局要求，挂靠</w:t>
      </w:r>
      <w:r>
        <w:rPr>
          <w:rFonts w:hint="eastAsia" w:asciiTheme="minorEastAsia" w:hAnsiTheme="minorEastAsia" w:eastAsiaTheme="minorEastAsia"/>
          <w:sz w:val="32"/>
          <w:szCs w:val="32"/>
          <w:lang w:val="en-US" w:eastAsia="zh-CN"/>
        </w:rPr>
        <w:t>指挥部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柑橘黄龙病防治指挥部</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的经费支出要列入我单位决算。</w:t>
      </w:r>
    </w:p>
    <w:p>
      <w:pPr>
        <w:pStyle w:val="12"/>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2021年度财政拨款基本支出</w:t>
      </w:r>
      <w:r>
        <w:rPr>
          <w:rFonts w:hint="eastAsia" w:ascii="仿宋" w:hAnsi="仿宋" w:eastAsia="仿宋"/>
          <w:spacing w:val="-6"/>
          <w:sz w:val="32"/>
          <w:szCs w:val="32"/>
          <w:lang w:val="en-US" w:eastAsia="zh-CN"/>
        </w:rPr>
        <w:t>839.39</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531.89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63.37</w:t>
      </w:r>
      <w:r>
        <w:rPr>
          <w:rFonts w:hint="eastAsia" w:asciiTheme="minorEastAsia" w:hAnsiTheme="minorEastAsia" w:eastAsiaTheme="minorEastAsia"/>
          <w:sz w:val="32"/>
          <w:szCs w:val="32"/>
        </w:rPr>
        <w:t>%,主要包括基本工资、津贴补贴、奖金、</w:t>
      </w:r>
      <w:r>
        <w:rPr>
          <w:rFonts w:hint="eastAsia" w:asciiTheme="minorEastAsia" w:hAnsiTheme="minorEastAsia" w:eastAsiaTheme="minorEastAsia"/>
          <w:sz w:val="32"/>
          <w:szCs w:val="32"/>
          <w:lang w:val="en-US" w:eastAsia="zh-CN"/>
        </w:rPr>
        <w:t>绩效工资、机关事业单位基本养老保险缴费、职工基本医疗保险缴费、</w:t>
      </w:r>
      <w:r>
        <w:rPr>
          <w:rFonts w:hint="eastAsia" w:asciiTheme="minorEastAsia" w:hAnsiTheme="minorEastAsia" w:eastAsiaTheme="minorEastAsia"/>
          <w:sz w:val="32"/>
          <w:szCs w:val="32"/>
        </w:rPr>
        <w:t>抚恤金；公用经费</w:t>
      </w:r>
      <w:r>
        <w:rPr>
          <w:rFonts w:hint="eastAsia" w:asciiTheme="minorEastAsia" w:hAnsiTheme="minorEastAsia" w:eastAsiaTheme="minorEastAsia"/>
          <w:sz w:val="32"/>
          <w:szCs w:val="32"/>
          <w:lang w:val="en-US" w:eastAsia="zh-CN"/>
        </w:rPr>
        <w:t>307.5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36.63</w:t>
      </w:r>
      <w:r>
        <w:rPr>
          <w:rFonts w:hint="eastAsia" w:asciiTheme="minorEastAsia" w:hAnsiTheme="minorEastAsia" w:eastAsiaTheme="minorEastAsia"/>
          <w:sz w:val="32"/>
          <w:szCs w:val="32"/>
        </w:rPr>
        <w:t>%，主要包括办公费、印刷费、</w:t>
      </w:r>
      <w:r>
        <w:rPr>
          <w:rFonts w:hint="eastAsia" w:asciiTheme="minorEastAsia" w:hAnsiTheme="minorEastAsia" w:eastAsiaTheme="minorEastAsia"/>
          <w:sz w:val="32"/>
          <w:szCs w:val="32"/>
          <w:lang w:val="en-US" w:eastAsia="zh-CN"/>
        </w:rPr>
        <w:t>邮电</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val="en-US" w:eastAsia="zh-CN"/>
        </w:rPr>
        <w:t>差旅</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、维修（护）费、培训费、公务接待费、劳务费、委托业务费、工会经费、福利费、其他交通费用、其他商品和服务支出</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七、一般公共预算财政拨款“三公”经费支出决算情况说明</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26.77</w:t>
      </w:r>
      <w:r>
        <w:rPr>
          <w:rFonts w:hint="eastAsia" w:asciiTheme="minorEastAsia" w:hAnsiTheme="minorEastAsia" w:eastAsiaTheme="minorEastAsia"/>
          <w:sz w:val="32"/>
          <w:szCs w:val="32"/>
        </w:rPr>
        <w:t>万元，支出决算为</w:t>
      </w:r>
      <w:r>
        <w:rPr>
          <w:rFonts w:hint="eastAsia" w:ascii="仿宋" w:hAnsi="仿宋" w:eastAsia="仿宋"/>
          <w:sz w:val="32"/>
          <w:szCs w:val="32"/>
          <w:lang w:val="en-US" w:eastAsia="zh-CN"/>
        </w:rPr>
        <w:t>21.42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80.01%，其中：</w:t>
      </w:r>
    </w:p>
    <w:p>
      <w:pPr>
        <w:pStyle w:val="12"/>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因公出国（境）费支出预算为0万元，支出决算为0万元，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公务接待费支出预算为26.77万元，支出决算为21.42万元，完成预算的80.01%，与上年11.01万元相比增加10.41万元，增长194.55%。</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bookmarkStart w:id="3" w:name="_GoBack"/>
      <w:bookmarkEnd w:id="3"/>
      <w:r>
        <w:rPr>
          <w:rFonts w:hint="eastAsia" w:asciiTheme="minorEastAsia" w:hAnsiTheme="minorEastAsia" w:eastAsiaTheme="minorEastAsia"/>
          <w:sz w:val="32"/>
          <w:szCs w:val="32"/>
        </w:rPr>
        <w:t>与上年</w:t>
      </w:r>
      <w:r>
        <w:rPr>
          <w:rFonts w:hint="eastAsia" w:ascii="仿宋" w:hAnsi="仿宋" w:eastAsia="仿宋"/>
          <w:sz w:val="32"/>
          <w:szCs w:val="32"/>
        </w:rPr>
        <w:t>11.1万元</w:t>
      </w:r>
      <w:r>
        <w:rPr>
          <w:rFonts w:hint="eastAsia" w:asciiTheme="minorEastAsia" w:hAnsiTheme="minorEastAsia" w:eastAsiaTheme="minorEastAsia"/>
          <w:sz w:val="32"/>
          <w:szCs w:val="32"/>
        </w:rPr>
        <w:t>相比减少</w:t>
      </w:r>
      <w:r>
        <w:rPr>
          <w:rFonts w:hint="eastAsia" w:asciiTheme="minorEastAsia" w:hAnsiTheme="minorEastAsia" w:eastAsiaTheme="minorEastAsia"/>
          <w:sz w:val="32"/>
          <w:szCs w:val="32"/>
          <w:lang w:val="en-US" w:eastAsia="zh-CN"/>
        </w:rPr>
        <w:t>11.1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2021年度我单位未产生</w:t>
      </w:r>
      <w:r>
        <w:rPr>
          <w:rFonts w:hint="eastAsia" w:asciiTheme="minorEastAsia" w:hAnsiTheme="minorEastAsia" w:eastAsiaTheme="minorEastAsia"/>
          <w:sz w:val="32"/>
          <w:szCs w:val="32"/>
        </w:rPr>
        <w:t>公务用车运行维护费。</w:t>
      </w:r>
    </w:p>
    <w:p>
      <w:pPr>
        <w:pStyle w:val="12"/>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21.42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2021年度我单位未开展因公出国（境）活动。</w:t>
      </w:r>
    </w:p>
    <w:p>
      <w:pPr>
        <w:pStyle w:val="12"/>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21.42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205</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1546</w:t>
      </w:r>
      <w:r>
        <w:rPr>
          <w:rFonts w:hint="eastAsia" w:asciiTheme="minorEastAsia" w:hAnsiTheme="minorEastAsia" w:eastAsiaTheme="minorEastAsia"/>
          <w:sz w:val="32"/>
          <w:szCs w:val="32"/>
        </w:rPr>
        <w:t>人次，主要是开展公务及客商往来发生的接待支出发生的接待支出。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val="en-US" w:eastAsia="zh-CN"/>
        </w:rPr>
        <w:t>购置0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rPr>
          <w:rFonts w:hAnsi="黑体"/>
          <w:b/>
          <w:sz w:val="32"/>
          <w:szCs w:val="32"/>
        </w:rPr>
      </w:pPr>
      <w:r>
        <w:rPr>
          <w:rFonts w:hint="eastAsia" w:hAnsi="黑体"/>
          <w:b/>
          <w:sz w:val="32"/>
          <w:szCs w:val="32"/>
        </w:rPr>
        <w:t>八、政府性基金预算收入支出决算情况</w:t>
      </w:r>
    </w:p>
    <w:p>
      <w:pPr>
        <w:pStyle w:val="12"/>
        <w:spacing w:line="600" w:lineRule="exact"/>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2021年度本单位无政府性基金收支</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307.5</w:t>
      </w:r>
      <w:r>
        <w:rPr>
          <w:rFonts w:hint="eastAsia" w:asciiTheme="minorEastAsia" w:hAnsiTheme="minorEastAsia" w:eastAsiaTheme="minorEastAsia"/>
          <w:sz w:val="32"/>
          <w:szCs w:val="32"/>
        </w:rPr>
        <w:t>万元，比上年决算数</w:t>
      </w:r>
      <w:r>
        <w:rPr>
          <w:rFonts w:hint="eastAsia" w:asciiTheme="minorEastAsia" w:hAnsiTheme="minorEastAsia" w:eastAsiaTheme="minorEastAsia"/>
          <w:sz w:val="32"/>
          <w:szCs w:val="32"/>
          <w:lang w:val="en-US" w:eastAsia="zh-CN"/>
        </w:rPr>
        <w:t>256.45万元</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51.05</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19.91</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人员</w:t>
      </w:r>
      <w:r>
        <w:rPr>
          <w:rFonts w:hint="eastAsia" w:asciiTheme="minorEastAsia" w:hAnsiTheme="minorEastAsia" w:eastAsiaTheme="minorEastAsia"/>
          <w:sz w:val="32"/>
          <w:szCs w:val="32"/>
          <w:lang w:val="en-US" w:eastAsia="zh-CN"/>
        </w:rPr>
        <w:t>及临时项目的增加</w:t>
      </w:r>
      <w:r>
        <w:rPr>
          <w:rFonts w:hint="eastAsia" w:asciiTheme="minorEastAsia" w:hAnsiTheme="minorEastAsia" w:eastAsiaTheme="minorEastAsia"/>
          <w:sz w:val="32"/>
          <w:szCs w:val="32"/>
          <w:lang w:eastAsia="zh-CN"/>
        </w:rPr>
        <w:t>，导致收支增加</w:t>
      </w:r>
      <w:r>
        <w:rPr>
          <w:rFonts w:hint="eastAsia" w:asciiTheme="minorEastAsia" w:hAnsiTheme="minorEastAsia" w:eastAsiaTheme="minorEastAsia"/>
          <w:sz w:val="32"/>
          <w:szCs w:val="32"/>
        </w:rPr>
        <w:t>。</w:t>
      </w:r>
    </w:p>
    <w:p>
      <w:pPr>
        <w:pStyle w:val="12"/>
        <w:rPr>
          <w:rFonts w:hAnsi="黑体"/>
          <w:b/>
          <w:sz w:val="32"/>
          <w:szCs w:val="32"/>
        </w:rPr>
      </w:pPr>
      <w:r>
        <w:rPr>
          <w:rFonts w:hint="eastAsia" w:hAnsi="黑体"/>
          <w:b/>
          <w:sz w:val="32"/>
          <w:szCs w:val="32"/>
        </w:rPr>
        <w:t>十、一般性支出情况说明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2021年本部门开支会议费7.45万元，用于召开县政府廉政工作会、经济形势分析会</w:t>
      </w:r>
      <w:r>
        <w:rPr>
          <w:rFonts w:hint="eastAsia" w:asciiTheme="minorEastAsia" w:hAnsiTheme="minorEastAsia" w:eastAsiaTheme="minorEastAsia"/>
          <w:sz w:val="32"/>
          <w:szCs w:val="32"/>
          <w:lang w:val="en-US" w:eastAsia="zh-CN"/>
        </w:rPr>
        <w:t>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990</w:t>
      </w:r>
      <w:r>
        <w:rPr>
          <w:rFonts w:hint="eastAsia" w:asciiTheme="minorEastAsia" w:hAnsiTheme="minorEastAsia" w:eastAsiaTheme="minorEastAsia"/>
          <w:sz w:val="32"/>
          <w:szCs w:val="32"/>
        </w:rPr>
        <w:t>人，内容为县政府廉政工作会、经济形势分析会、新政府工作报告撰写工作会等；开支培训费</w:t>
      </w:r>
      <w:r>
        <w:rPr>
          <w:rFonts w:hint="eastAsia" w:asciiTheme="minorEastAsia" w:hAnsiTheme="minorEastAsia" w:eastAsiaTheme="minorEastAsia"/>
          <w:sz w:val="32"/>
          <w:szCs w:val="32"/>
          <w:lang w:val="en-US" w:eastAsia="zh-CN"/>
        </w:rPr>
        <w:t>3.31</w:t>
      </w:r>
      <w:r>
        <w:rPr>
          <w:rFonts w:hint="eastAsia" w:asciiTheme="minorEastAsia" w:hAnsiTheme="minorEastAsia" w:eastAsiaTheme="minorEastAsia"/>
          <w:sz w:val="32"/>
          <w:szCs w:val="32"/>
        </w:rPr>
        <w:t>万元，用于开展金融工作业务等培训，人数</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人，内容为融资、经济形势分析等；未举办节庆、晚会、论坛、赛事活动。（注：三类会议、培训活动，节庆、晚会、论坛、赛事等活动，请分项列明活动计划及经费预算情况）</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w:t>
      </w:r>
      <w:r>
        <w:rPr>
          <w:rFonts w:hint="eastAsia" w:asciiTheme="minorEastAsia" w:hAnsiTheme="minorEastAsia" w:eastAsiaTheme="minorEastAsia"/>
          <w:color w:val="auto"/>
          <w:sz w:val="32"/>
          <w:szCs w:val="32"/>
        </w:rPr>
        <w:t>元。</w:t>
      </w:r>
    </w:p>
    <w:p>
      <w:pPr>
        <w:pStyle w:val="12"/>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w:t>
      </w:r>
      <w:r>
        <w:rPr>
          <w:rFonts w:hint="eastAsia" w:asciiTheme="minorEastAsia" w:hAnsiTheme="minorEastAsia" w:eastAsiaTheme="minorEastAsia"/>
          <w:sz w:val="32"/>
          <w:szCs w:val="32"/>
          <w:lang w:val="en-US" w:eastAsia="zh-CN"/>
        </w:rPr>
        <w:t>本单位</w:t>
      </w:r>
      <w:r>
        <w:rPr>
          <w:rFonts w:hint="eastAsia" w:asciiTheme="minorEastAsia" w:hAnsiTheme="minorEastAsia" w:eastAsiaTheme="minorEastAsia"/>
          <w:sz w:val="32"/>
          <w:szCs w:val="32"/>
        </w:rPr>
        <w:t>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辆，其中，主要领导干部用车XX辆，机要通信用车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rPr>
          <w:rFonts w:hAnsi="黑体"/>
          <w:b/>
          <w:sz w:val="32"/>
          <w:szCs w:val="32"/>
        </w:rPr>
      </w:pPr>
      <w:r>
        <w:rPr>
          <w:rFonts w:hint="eastAsia" w:hAnsi="黑体"/>
          <w:b/>
          <w:sz w:val="32"/>
          <w:szCs w:val="32"/>
        </w:rPr>
        <w:t>十三、2021年度预算绩效情况说明</w:t>
      </w:r>
    </w:p>
    <w:p>
      <w:pPr>
        <w:numPr>
          <w:ilvl w:val="0"/>
          <w:numId w:val="0"/>
        </w:num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本部门预算绩效管理开展情况、绩效目标和绩效评价报告等见附件。</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是指本级的公用经费，包括办公及印刷费、邮电费、差旅费、会议费、福利费、日常维修费、专用资料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道县人民政府办公室2021年度部门整体支出绩效评价报告</w:t>
      </w: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0D39"/>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81D22"/>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9538E"/>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AE3EA8"/>
    <w:rsid w:val="0266777B"/>
    <w:rsid w:val="03B15391"/>
    <w:rsid w:val="0465083F"/>
    <w:rsid w:val="05140234"/>
    <w:rsid w:val="05164F23"/>
    <w:rsid w:val="05516DE3"/>
    <w:rsid w:val="06530F0A"/>
    <w:rsid w:val="06BA27AF"/>
    <w:rsid w:val="07126147"/>
    <w:rsid w:val="07603356"/>
    <w:rsid w:val="077E3989"/>
    <w:rsid w:val="07B45450"/>
    <w:rsid w:val="09FE0C04"/>
    <w:rsid w:val="0AE278DF"/>
    <w:rsid w:val="0B835347"/>
    <w:rsid w:val="0BEF4CA9"/>
    <w:rsid w:val="0C2D004A"/>
    <w:rsid w:val="0D4261F9"/>
    <w:rsid w:val="0D931D58"/>
    <w:rsid w:val="0FBE0154"/>
    <w:rsid w:val="0FF039E1"/>
    <w:rsid w:val="116E2B13"/>
    <w:rsid w:val="13034A02"/>
    <w:rsid w:val="13866278"/>
    <w:rsid w:val="142923F2"/>
    <w:rsid w:val="147572D6"/>
    <w:rsid w:val="14FD67B5"/>
    <w:rsid w:val="171C3113"/>
    <w:rsid w:val="18854736"/>
    <w:rsid w:val="188D1AD1"/>
    <w:rsid w:val="1A887955"/>
    <w:rsid w:val="1B0A1272"/>
    <w:rsid w:val="1B9D0308"/>
    <w:rsid w:val="1F5E1950"/>
    <w:rsid w:val="1F947F7A"/>
    <w:rsid w:val="20531852"/>
    <w:rsid w:val="208337BA"/>
    <w:rsid w:val="20F55779"/>
    <w:rsid w:val="21C36564"/>
    <w:rsid w:val="223B07F0"/>
    <w:rsid w:val="22C72917"/>
    <w:rsid w:val="22E91FFA"/>
    <w:rsid w:val="248512CD"/>
    <w:rsid w:val="24FF2735"/>
    <w:rsid w:val="27542AF7"/>
    <w:rsid w:val="27DB3EDB"/>
    <w:rsid w:val="29137201"/>
    <w:rsid w:val="2A1D6A2D"/>
    <w:rsid w:val="2A5613B4"/>
    <w:rsid w:val="2A704DAF"/>
    <w:rsid w:val="2C3F2BE4"/>
    <w:rsid w:val="2CA61530"/>
    <w:rsid w:val="2D142369"/>
    <w:rsid w:val="2D287BC3"/>
    <w:rsid w:val="2EA3431A"/>
    <w:rsid w:val="2EE87609"/>
    <w:rsid w:val="2EF4119E"/>
    <w:rsid w:val="2F847541"/>
    <w:rsid w:val="302A24D4"/>
    <w:rsid w:val="32D16665"/>
    <w:rsid w:val="32F84615"/>
    <w:rsid w:val="340F5638"/>
    <w:rsid w:val="342F2E1F"/>
    <w:rsid w:val="34622994"/>
    <w:rsid w:val="34A915E9"/>
    <w:rsid w:val="3577448D"/>
    <w:rsid w:val="36B50719"/>
    <w:rsid w:val="36E10B0C"/>
    <w:rsid w:val="370B7B68"/>
    <w:rsid w:val="38565265"/>
    <w:rsid w:val="38B14F10"/>
    <w:rsid w:val="38B54369"/>
    <w:rsid w:val="39B008C4"/>
    <w:rsid w:val="39EC1FC0"/>
    <w:rsid w:val="3A26548A"/>
    <w:rsid w:val="3A9B19D4"/>
    <w:rsid w:val="3AA54031"/>
    <w:rsid w:val="3B053544"/>
    <w:rsid w:val="3B64270E"/>
    <w:rsid w:val="3C937993"/>
    <w:rsid w:val="3E060836"/>
    <w:rsid w:val="3F010273"/>
    <w:rsid w:val="3FAC055B"/>
    <w:rsid w:val="3FDC3E5A"/>
    <w:rsid w:val="3FF23327"/>
    <w:rsid w:val="3FFE0E31"/>
    <w:rsid w:val="402266F3"/>
    <w:rsid w:val="422C3C9B"/>
    <w:rsid w:val="42A10549"/>
    <w:rsid w:val="42EB1A36"/>
    <w:rsid w:val="432D4F02"/>
    <w:rsid w:val="44B33DBE"/>
    <w:rsid w:val="45B65804"/>
    <w:rsid w:val="466F074C"/>
    <w:rsid w:val="4876582E"/>
    <w:rsid w:val="49A019F9"/>
    <w:rsid w:val="4A755AAE"/>
    <w:rsid w:val="4A8F4985"/>
    <w:rsid w:val="4AB3002E"/>
    <w:rsid w:val="4BD05255"/>
    <w:rsid w:val="4C065CB4"/>
    <w:rsid w:val="4D1009FF"/>
    <w:rsid w:val="4DD638E4"/>
    <w:rsid w:val="4F3855EC"/>
    <w:rsid w:val="4F400944"/>
    <w:rsid w:val="4F443F90"/>
    <w:rsid w:val="50BB0282"/>
    <w:rsid w:val="51173BEA"/>
    <w:rsid w:val="51273B6A"/>
    <w:rsid w:val="52662DE5"/>
    <w:rsid w:val="528F5E6A"/>
    <w:rsid w:val="529A65BD"/>
    <w:rsid w:val="535D1AC5"/>
    <w:rsid w:val="53A771E4"/>
    <w:rsid w:val="53B95D7E"/>
    <w:rsid w:val="5582234C"/>
    <w:rsid w:val="569A73BE"/>
    <w:rsid w:val="58B54151"/>
    <w:rsid w:val="58D8399B"/>
    <w:rsid w:val="59987F3E"/>
    <w:rsid w:val="5A6951F3"/>
    <w:rsid w:val="5B863F21"/>
    <w:rsid w:val="5BC8419B"/>
    <w:rsid w:val="5DAD3649"/>
    <w:rsid w:val="5DC01CC1"/>
    <w:rsid w:val="5EC31782"/>
    <w:rsid w:val="5F047870"/>
    <w:rsid w:val="604D2EC1"/>
    <w:rsid w:val="60EF5D26"/>
    <w:rsid w:val="61271964"/>
    <w:rsid w:val="615F4C5A"/>
    <w:rsid w:val="61FF0CA7"/>
    <w:rsid w:val="625E3163"/>
    <w:rsid w:val="62B243B1"/>
    <w:rsid w:val="6320666B"/>
    <w:rsid w:val="6414272F"/>
    <w:rsid w:val="64216E38"/>
    <w:rsid w:val="65DF0783"/>
    <w:rsid w:val="68CB11FA"/>
    <w:rsid w:val="69DA57C5"/>
    <w:rsid w:val="6A1A2066"/>
    <w:rsid w:val="6C136D6D"/>
    <w:rsid w:val="6CAF174A"/>
    <w:rsid w:val="6CF37630"/>
    <w:rsid w:val="6D611D5A"/>
    <w:rsid w:val="6DA3792D"/>
    <w:rsid w:val="6E022EA0"/>
    <w:rsid w:val="6E8B3532"/>
    <w:rsid w:val="6F4A4795"/>
    <w:rsid w:val="7198719C"/>
    <w:rsid w:val="72C9287B"/>
    <w:rsid w:val="73131D48"/>
    <w:rsid w:val="74626AE3"/>
    <w:rsid w:val="75D43A11"/>
    <w:rsid w:val="769C4CB8"/>
    <w:rsid w:val="76BC3479"/>
    <w:rsid w:val="77784870"/>
    <w:rsid w:val="77FC724F"/>
    <w:rsid w:val="787C7C36"/>
    <w:rsid w:val="7A9E283F"/>
    <w:rsid w:val="7B1228E5"/>
    <w:rsid w:val="7BBB6FB6"/>
    <w:rsid w:val="7CB10FCE"/>
    <w:rsid w:val="7CBD07BD"/>
    <w:rsid w:val="7D125953"/>
    <w:rsid w:val="7E811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p0"/>
    <w:basedOn w:val="1"/>
    <w:qFormat/>
    <w:uiPriority w:val="0"/>
    <w:pPr>
      <w:widowControl/>
    </w:pPr>
    <w:rPr>
      <w:kern w:val="0"/>
      <w:szCs w:val="21"/>
    </w:rPr>
  </w:style>
  <w:style w:type="paragraph" w:styleId="3">
    <w:name w:val="Body Text"/>
    <w:basedOn w:val="1"/>
    <w:next w:val="4"/>
    <w:qFormat/>
    <w:uiPriority w:val="0"/>
    <w:pPr>
      <w:widowControl/>
      <w:spacing w:before="100" w:beforeAutospacing="1" w:after="100" w:afterAutospacing="1"/>
      <w:jc w:val="left"/>
    </w:pPr>
    <w:rPr>
      <w:rFonts w:ascii="宋体" w:hAnsi="宋体" w:cs="宋体"/>
      <w:kern w:val="0"/>
      <w:sz w:val="24"/>
    </w:rPr>
  </w:style>
  <w:style w:type="paragraph" w:styleId="4">
    <w:name w:val="Body Text First Indent"/>
    <w:basedOn w:val="3"/>
    <w:qFormat/>
    <w:uiPriority w:val="0"/>
    <w:pPr>
      <w:ind w:firstLine="420" w:firstLineChars="100"/>
    </w:pPr>
    <w:rPr>
      <w:rFonts w:ascii="Calibri" w:hAnsi="Calibri" w:eastAsia="微软雅黑" w:cs="Times New Roman"/>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1452</Words>
  <Characters>8281</Characters>
  <Lines>69</Lines>
  <Paragraphs>19</Paragraphs>
  <TotalTime>0</TotalTime>
  <ScaleCrop>false</ScaleCrop>
  <LinksUpToDate>false</LinksUpToDate>
  <CharactersWithSpaces>9714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2023-09-28T06:20:57Z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31A0DB8E63FE40EB854E887D4FCDC616</vt:lpwstr>
  </property>
</Properties>
</file>