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eastAsia="方正小标宋_GBK"/>
          <w:sz w:val="36"/>
          <w:szCs w:val="36"/>
        </w:rPr>
      </w:pPr>
    </w:p>
    <w:p>
      <w:pPr>
        <w:adjustRightInd w:val="0"/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20</w:t>
      </w:r>
      <w:r>
        <w:rPr>
          <w:rFonts w:hint="eastAsia" w:eastAsia="方正小标宋_GBK"/>
          <w:sz w:val="36"/>
          <w:szCs w:val="36"/>
          <w:lang w:val="en-US" w:eastAsia="zh-CN"/>
        </w:rPr>
        <w:t>21</w:t>
      </w:r>
      <w:r>
        <w:rPr>
          <w:rFonts w:hint="eastAsia" w:eastAsia="方正小标宋_GBK"/>
          <w:sz w:val="36"/>
          <w:szCs w:val="36"/>
        </w:rPr>
        <w:t>年度道县卫生</w:t>
      </w:r>
      <w:r>
        <w:rPr>
          <w:rFonts w:hint="eastAsia" w:eastAsia="方正小标宋_GBK"/>
          <w:sz w:val="36"/>
          <w:szCs w:val="36"/>
          <w:lang w:eastAsia="zh-CN"/>
        </w:rPr>
        <w:t>计生</w:t>
      </w:r>
      <w:r>
        <w:rPr>
          <w:rFonts w:hint="eastAsia" w:eastAsia="方正小标宋_GBK"/>
          <w:sz w:val="36"/>
          <w:szCs w:val="36"/>
        </w:rPr>
        <w:t>综合监督执法</w:t>
      </w:r>
      <w:r>
        <w:rPr>
          <w:rFonts w:hint="eastAsia" w:ascii="仿宋" w:hAnsi="仿宋" w:eastAsia="仿宋"/>
          <w:b/>
          <w:sz w:val="36"/>
          <w:szCs w:val="36"/>
          <w:u w:val="none"/>
        </w:rPr>
        <w:t>局</w:t>
      </w:r>
      <w:r>
        <w:rPr>
          <w:rFonts w:hint="eastAsia" w:eastAsia="方正小标宋_GBK"/>
          <w:sz w:val="36"/>
          <w:szCs w:val="36"/>
        </w:rPr>
        <w:t>部门整体支出绩效评价报告</w:t>
      </w:r>
    </w:p>
    <w:p>
      <w:pPr>
        <w:adjustRightInd w:val="0"/>
        <w:spacing w:line="60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一、部门概况</w:t>
      </w:r>
    </w:p>
    <w:p>
      <w:pPr>
        <w:snapToGrid w:val="0"/>
        <w:spacing w:line="52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道县卫生</w:t>
      </w:r>
      <w:r>
        <w:rPr>
          <w:rFonts w:hint="eastAsia" w:ascii="宋体" w:hAnsi="宋体"/>
          <w:sz w:val="32"/>
          <w:szCs w:val="32"/>
          <w:lang w:eastAsia="zh-CN"/>
        </w:rPr>
        <w:t>计生</w:t>
      </w:r>
      <w:r>
        <w:rPr>
          <w:rFonts w:hint="eastAsia" w:ascii="宋体" w:hAnsi="宋体"/>
          <w:sz w:val="32"/>
          <w:szCs w:val="32"/>
        </w:rPr>
        <w:t>综合监督执法局属财政全额拨款的预算单位。部门机构设置和人员、车辆编制及实有情况以及增减变动情况：我局</w:t>
      </w:r>
      <w:r>
        <w:rPr>
          <w:rFonts w:hint="eastAsia" w:ascii="宋体" w:hAnsi="宋体" w:eastAsia="宋体" w:cs="宋体"/>
          <w:sz w:val="32"/>
          <w:szCs w:val="32"/>
        </w:rPr>
        <w:t>内设医疗机构监督股、公共场所卫生监督股、学校卫生监督股、职业卫生监督股、计划生育监督股、稽查股、综合办公室、财务室、打击两非办公室等九个股室</w:t>
      </w:r>
      <w:r>
        <w:rPr>
          <w:rFonts w:hint="eastAsia" w:ascii="宋体" w:hAnsi="宋体"/>
          <w:sz w:val="32"/>
          <w:szCs w:val="32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单位现实有工作人员2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人，其中局长1人、副局长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人、其他领导2人、医疗机构监督股（含稽查）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人、公共场所卫生监督股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人、计划生育监督股（含职业卫生监督）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人、学校卫生监督股2人、办公室（含财务）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共有执法车辆1台。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二、</w:t>
      </w:r>
      <w:r>
        <w:rPr>
          <w:rFonts w:hint="eastAsia" w:ascii="宋体" w:hAnsi="宋体"/>
          <w:b/>
          <w:sz w:val="32"/>
          <w:szCs w:val="32"/>
          <w:lang w:eastAsia="zh-CN"/>
        </w:rPr>
        <w:t>一般公共预算支出情况</w:t>
      </w:r>
    </w:p>
    <w:p>
      <w:pPr>
        <w:adjustRightInd w:val="0"/>
        <w:snapToGrid w:val="0"/>
        <w:spacing w:line="600" w:lineRule="exact"/>
        <w:ind w:firstLine="321" w:firstLineChars="100"/>
        <w:rPr>
          <w:rFonts w:hint="eastAsia" w:asci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（一）基本支出</w:t>
      </w:r>
      <w:r>
        <w:rPr>
          <w:rFonts w:hint="eastAsia" w:ascii="宋体" w:hAnsi="宋体"/>
          <w:b/>
          <w:sz w:val="32"/>
          <w:szCs w:val="32"/>
          <w:lang w:eastAsia="zh-CN"/>
        </w:rPr>
        <w:t>情况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、</w:t>
      </w: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sz w:val="32"/>
          <w:szCs w:val="32"/>
        </w:rPr>
        <w:t>年基本支出预算安排情况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基本支出</w:t>
      </w:r>
      <w:r>
        <w:rPr>
          <w:rFonts w:hint="eastAsia" w:ascii="宋体" w:hAnsi="宋体"/>
          <w:sz w:val="32"/>
          <w:szCs w:val="32"/>
          <w:lang w:val="en-US" w:eastAsia="zh-CN"/>
        </w:rPr>
        <w:t>246.94</w:t>
      </w:r>
      <w:r>
        <w:rPr>
          <w:rFonts w:hint="eastAsia" w:ascii="宋体" w:hAnsi="宋体"/>
          <w:sz w:val="32"/>
          <w:szCs w:val="32"/>
        </w:rPr>
        <w:t>万元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。其中：工资福利支出</w:t>
      </w:r>
      <w:r>
        <w:rPr>
          <w:rFonts w:hint="eastAsia" w:ascii="宋体" w:hAnsi="宋体"/>
          <w:sz w:val="32"/>
          <w:szCs w:val="32"/>
          <w:lang w:val="en-US" w:eastAsia="zh-CN"/>
        </w:rPr>
        <w:t>161.48</w:t>
      </w:r>
      <w:r>
        <w:rPr>
          <w:rFonts w:hint="eastAsia" w:ascii="宋体" w:hAnsi="宋体"/>
          <w:sz w:val="32"/>
          <w:szCs w:val="32"/>
        </w:rPr>
        <w:t>万元</w:t>
      </w:r>
      <w:r>
        <w:rPr>
          <w:rFonts w:hint="eastAsia" w:ascii="宋体" w:hAnsi="宋体"/>
          <w:sz w:val="32"/>
          <w:szCs w:val="32"/>
          <w:lang w:val="en-US" w:eastAsia="zh-CN"/>
        </w:rPr>
        <w:t>,包括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基本工资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63.78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万元，津贴补贴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37.48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万元，十三月奖励工资及30%绩效工资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7.39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万元，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改革性车补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3.96万元，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目标综合工作考核奖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22.8万元，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社会保障缴费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17.38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万元,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医疗保险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8.69万元）</w:t>
      </w:r>
      <w:r>
        <w:rPr>
          <w:rFonts w:hint="eastAsia" w:ascii="宋体"/>
          <w:sz w:val="32"/>
          <w:szCs w:val="32"/>
          <w:lang w:val="en-US" w:eastAsia="zh-CN"/>
        </w:rPr>
        <w:t>；</w:t>
      </w:r>
      <w:r>
        <w:rPr>
          <w:rFonts w:hint="eastAsia" w:ascii="宋体" w:hAnsi="宋体"/>
          <w:sz w:val="32"/>
          <w:szCs w:val="32"/>
        </w:rPr>
        <w:t>一般商品及服务支出</w:t>
      </w:r>
      <w:r>
        <w:rPr>
          <w:rFonts w:hint="eastAsia" w:ascii="宋体" w:hAnsi="宋体"/>
          <w:sz w:val="32"/>
          <w:szCs w:val="32"/>
          <w:lang w:val="en-US" w:eastAsia="zh-CN"/>
        </w:rPr>
        <w:t>85.46</w:t>
      </w:r>
      <w:r>
        <w:rPr>
          <w:rFonts w:hint="eastAsia" w:ascii="宋体" w:hAnsi="宋体"/>
          <w:sz w:val="32"/>
          <w:szCs w:val="32"/>
        </w:rPr>
        <w:t>万元</w:t>
      </w:r>
      <w:r>
        <w:rPr>
          <w:rFonts w:ascii="宋体"/>
          <w:sz w:val="32"/>
          <w:szCs w:val="32"/>
        </w:rPr>
        <w:t>,</w:t>
      </w:r>
      <w:r>
        <w:rPr>
          <w:rFonts w:hint="eastAsia" w:ascii="宋体"/>
          <w:sz w:val="32"/>
          <w:szCs w:val="32"/>
          <w:lang w:eastAsia="zh-CN"/>
        </w:rPr>
        <w:t>其中包括（办公费：</w:t>
      </w:r>
      <w:r>
        <w:rPr>
          <w:rFonts w:hint="eastAsia" w:ascii="宋体"/>
          <w:sz w:val="32"/>
          <w:szCs w:val="32"/>
          <w:lang w:val="en-US" w:eastAsia="zh-CN"/>
        </w:rPr>
        <w:t>11.34万元，印刷费：5.55万元，水费：0.8万元，电费：3.01万元，邮电费：2.82万元，差旅费：0.88万元，车辆运行及维修费：3.77万元，会议费：1.24万元，培训费：2.78万元，公务接待费：3.19万元，工会经费：13.06万元，其他交通费7.53万元，其他商品服务支出：29.49万元</w:t>
      </w:r>
      <w:r>
        <w:rPr>
          <w:rFonts w:hint="eastAsia" w:ascii="宋体"/>
          <w:sz w:val="32"/>
          <w:szCs w:val="32"/>
          <w:lang w:eastAsia="zh-CN"/>
        </w:rPr>
        <w:t>）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3</w:t>
      </w:r>
      <w:r>
        <w:rPr>
          <w:rFonts w:hint="eastAsia" w:ascii="宋体" w:hAnsi="宋体"/>
          <w:sz w:val="32"/>
          <w:szCs w:val="32"/>
        </w:rPr>
        <w:t>、</w:t>
      </w: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sz w:val="32"/>
          <w:szCs w:val="32"/>
        </w:rPr>
        <w:t>“三公经费”支出预算安排情况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sz w:val="32"/>
          <w:szCs w:val="32"/>
        </w:rPr>
        <w:t>年“三公经费”预算支出安排</w:t>
      </w:r>
      <w:r>
        <w:rPr>
          <w:rFonts w:hint="eastAsia" w:ascii="宋体" w:hAnsi="宋体"/>
          <w:sz w:val="32"/>
          <w:szCs w:val="32"/>
          <w:lang w:val="en-US" w:eastAsia="zh-CN"/>
        </w:rPr>
        <w:t>6.96</w:t>
      </w:r>
      <w:r>
        <w:rPr>
          <w:rFonts w:hint="eastAsia" w:ascii="宋体" w:hAnsi="宋体"/>
          <w:sz w:val="32"/>
          <w:szCs w:val="32"/>
        </w:rPr>
        <w:t>万元。其中：公务用车运行维护费</w:t>
      </w:r>
      <w:r>
        <w:rPr>
          <w:rFonts w:hint="eastAsia" w:ascii="宋体" w:hAnsi="宋体"/>
          <w:sz w:val="32"/>
          <w:szCs w:val="32"/>
          <w:lang w:val="en-US" w:eastAsia="zh-CN"/>
        </w:rPr>
        <w:t>3.77</w:t>
      </w:r>
      <w:r>
        <w:rPr>
          <w:rFonts w:hint="eastAsia" w:ascii="宋体" w:hAnsi="宋体"/>
          <w:sz w:val="32"/>
          <w:szCs w:val="32"/>
        </w:rPr>
        <w:t>万元；公务接待费</w:t>
      </w:r>
      <w:r>
        <w:rPr>
          <w:rFonts w:hint="eastAsia" w:ascii="宋体" w:hAnsi="宋体"/>
          <w:sz w:val="32"/>
          <w:szCs w:val="32"/>
          <w:lang w:val="en-US" w:eastAsia="zh-CN"/>
        </w:rPr>
        <w:t>3.19</w:t>
      </w:r>
      <w:r>
        <w:rPr>
          <w:rFonts w:hint="eastAsia" w:ascii="宋体" w:hAnsi="宋体"/>
          <w:sz w:val="32"/>
          <w:szCs w:val="32"/>
        </w:rPr>
        <w:t>万元。</w:t>
      </w:r>
    </w:p>
    <w:p>
      <w:pPr>
        <w:tabs>
          <w:tab w:val="left" w:pos="7155"/>
        </w:tabs>
        <w:ind w:firstLine="643" w:firstLineChars="200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（二）</w:t>
      </w:r>
      <w:r>
        <w:rPr>
          <w:rFonts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b/>
          <w:sz w:val="32"/>
          <w:szCs w:val="32"/>
        </w:rPr>
        <w:t>年预算收支平衡情况</w:t>
      </w:r>
      <w:r>
        <w:rPr>
          <w:rFonts w:ascii="宋体"/>
          <w:b/>
          <w:sz w:val="32"/>
          <w:szCs w:val="32"/>
        </w:rPr>
        <w:tab/>
      </w:r>
    </w:p>
    <w:p>
      <w:pPr>
        <w:adjustRightInd w:val="0"/>
        <w:snapToGrid w:val="0"/>
        <w:spacing w:line="600" w:lineRule="exact"/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sz w:val="32"/>
          <w:szCs w:val="32"/>
        </w:rPr>
        <w:t>年本单位预算总收入</w:t>
      </w:r>
      <w:r>
        <w:rPr>
          <w:rFonts w:hint="eastAsia" w:ascii="宋体" w:hAnsi="宋体"/>
          <w:sz w:val="32"/>
          <w:szCs w:val="32"/>
          <w:lang w:val="en-US" w:eastAsia="zh-CN"/>
        </w:rPr>
        <w:t>246.94</w:t>
      </w:r>
      <w:r>
        <w:rPr>
          <w:rFonts w:hint="eastAsia" w:ascii="宋体" w:hAnsi="宋体"/>
          <w:sz w:val="32"/>
          <w:szCs w:val="32"/>
        </w:rPr>
        <w:t>万元，预算总支出</w:t>
      </w:r>
      <w:r>
        <w:rPr>
          <w:rFonts w:hint="eastAsia" w:ascii="宋体" w:hAnsi="宋体"/>
          <w:sz w:val="32"/>
          <w:szCs w:val="32"/>
          <w:lang w:val="en-US" w:eastAsia="zh-CN"/>
        </w:rPr>
        <w:t>246.94</w:t>
      </w:r>
      <w:r>
        <w:rPr>
          <w:rFonts w:hint="eastAsia" w:ascii="宋体" w:hAnsi="宋体"/>
          <w:sz w:val="32"/>
          <w:szCs w:val="32"/>
        </w:rPr>
        <w:t>万元，部门预算收支平衡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（三）项目支出</w:t>
      </w:r>
      <w:r>
        <w:rPr>
          <w:rFonts w:hint="eastAsia" w:ascii="宋体" w:hAnsi="宋体"/>
          <w:b/>
          <w:sz w:val="32"/>
          <w:szCs w:val="32"/>
          <w:lang w:eastAsia="zh-CN"/>
        </w:rPr>
        <w:t>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1、</w:t>
      </w:r>
      <w:r>
        <w:rPr>
          <w:rFonts w:hint="eastAsia" w:ascii="宋体" w:hAnsi="宋体"/>
          <w:sz w:val="32"/>
          <w:szCs w:val="32"/>
        </w:rPr>
        <w:t>道县卫生和计划生育综合监督执法局</w:t>
      </w: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sz w:val="32"/>
          <w:szCs w:val="32"/>
        </w:rPr>
        <w:t>年专项资金0万元。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2、本单位无其他专项资金的收入，也无其他专项资金的支出。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三、部门整体支出管理情况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为保证专项资金的安全与完整，根据上级文件要求，我们完善了专项资金管理办法等制度。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3" w:firstLineChars="200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四、政府性基金预算支出情况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2"/>
        <w:rPr>
          <w:rFonts w:hint="eastAsia" w:ascii="宋体" w:hAnsi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本单位无政府性基金预算的收入，也没有政府性基金的支出，故无任何数据。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Chars="200" w:firstLine="321" w:firstLineChars="100"/>
        <w:rPr>
          <w:rFonts w:hint="eastAsia" w:ascii="宋体" w:hAnsi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 w:val="0"/>
          <w:sz w:val="32"/>
          <w:szCs w:val="32"/>
          <w:lang w:val="en-US" w:eastAsia="zh-CN"/>
        </w:rPr>
        <w:t>五、国有资本经营预算支出情况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/>
        <w:rPr>
          <w:rFonts w:hint="eastAsia" w:ascii="宋体" w:hAnsi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本单位无国有资本经营预算的收支。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Chars="200" w:firstLine="321" w:firstLineChars="100"/>
        <w:rPr>
          <w:rFonts w:hint="eastAsia" w:ascii="宋体" w:hAnsi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 w:val="0"/>
          <w:sz w:val="32"/>
          <w:szCs w:val="32"/>
          <w:lang w:val="en-US" w:eastAsia="zh-CN"/>
        </w:rPr>
        <w:t>六、社会保险基金预算支出情况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 xml:space="preserve">  2021年社会保险预算收入17.38万元，决算支出17.38万元；医疗保险预算收入8.69万元，决算支出8.69万元。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七</w:t>
      </w:r>
      <w:r>
        <w:rPr>
          <w:rFonts w:hint="eastAsia" w:ascii="宋体" w:hAnsi="宋体"/>
          <w:b/>
          <w:sz w:val="32"/>
          <w:szCs w:val="32"/>
        </w:rPr>
        <w:t>、部门整体支出绩效情况</w:t>
      </w:r>
    </w:p>
    <w:p>
      <w:pPr>
        <w:rPr>
          <w:rFonts w:ascii="宋体"/>
          <w:kern w:val="0"/>
          <w:sz w:val="32"/>
          <w:szCs w:val="32"/>
        </w:rPr>
      </w:pPr>
      <w:r>
        <w:rPr>
          <w:rFonts w:ascii="宋体" w:hAnsi="宋体"/>
          <w:kern w:val="0"/>
          <w:sz w:val="32"/>
          <w:szCs w:val="32"/>
        </w:rPr>
        <w:t>1</w:t>
      </w:r>
      <w:r>
        <w:rPr>
          <w:rFonts w:hint="eastAsia" w:ascii="宋体" w:hAnsi="宋体"/>
          <w:kern w:val="0"/>
          <w:sz w:val="32"/>
          <w:szCs w:val="32"/>
        </w:rPr>
        <w:t>：全年共监督公共场所卫生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526</w:t>
      </w:r>
      <w:r>
        <w:rPr>
          <w:rFonts w:hint="eastAsia" w:ascii="宋体" w:hAnsi="宋体"/>
          <w:kern w:val="0"/>
          <w:sz w:val="32"/>
          <w:szCs w:val="32"/>
        </w:rPr>
        <w:t>家</w:t>
      </w:r>
      <w:r>
        <w:rPr>
          <w:rFonts w:hint="eastAsia" w:ascii="宋体" w:hAnsi="宋体"/>
          <w:kern w:val="0"/>
          <w:sz w:val="32"/>
          <w:szCs w:val="32"/>
          <w:lang w:eastAsia="zh-CN"/>
        </w:rPr>
        <w:t>次</w:t>
      </w:r>
      <w:r>
        <w:rPr>
          <w:rFonts w:hint="eastAsia" w:ascii="宋体" w:hAnsi="宋体"/>
          <w:kern w:val="0"/>
          <w:sz w:val="32"/>
          <w:szCs w:val="32"/>
        </w:rPr>
        <w:t>，生活饮用水卫生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217</w:t>
      </w:r>
      <w:r>
        <w:rPr>
          <w:rFonts w:hint="eastAsia" w:ascii="宋体" w:hAnsi="宋体"/>
          <w:kern w:val="0"/>
          <w:sz w:val="32"/>
          <w:szCs w:val="32"/>
        </w:rPr>
        <w:t>家</w:t>
      </w:r>
      <w:r>
        <w:rPr>
          <w:rFonts w:hint="eastAsia" w:ascii="宋体" w:hAnsi="宋体"/>
          <w:kern w:val="0"/>
          <w:sz w:val="32"/>
          <w:szCs w:val="32"/>
          <w:lang w:eastAsia="zh-CN"/>
        </w:rPr>
        <w:t>次</w:t>
      </w:r>
      <w:r>
        <w:rPr>
          <w:rFonts w:hint="eastAsia" w:ascii="宋体" w:hAnsi="宋体"/>
          <w:kern w:val="0"/>
          <w:sz w:val="32"/>
          <w:szCs w:val="32"/>
        </w:rPr>
        <w:t>，学校卫生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217</w:t>
      </w:r>
      <w:r>
        <w:rPr>
          <w:rFonts w:hint="eastAsia" w:ascii="宋体" w:hAnsi="宋体"/>
          <w:kern w:val="0"/>
          <w:sz w:val="32"/>
          <w:szCs w:val="32"/>
        </w:rPr>
        <w:t>家</w:t>
      </w:r>
      <w:r>
        <w:rPr>
          <w:rFonts w:hint="eastAsia" w:ascii="宋体" w:hAnsi="宋体"/>
          <w:kern w:val="0"/>
          <w:sz w:val="32"/>
          <w:szCs w:val="32"/>
          <w:lang w:eastAsia="zh-CN"/>
        </w:rPr>
        <w:t>次</w:t>
      </w:r>
      <w:r>
        <w:rPr>
          <w:rFonts w:hint="eastAsia" w:ascii="宋体" w:hAnsi="宋体"/>
          <w:kern w:val="0"/>
          <w:sz w:val="32"/>
          <w:szCs w:val="32"/>
        </w:rPr>
        <w:t>，医疗卫生</w:t>
      </w:r>
      <w:r>
        <w:rPr>
          <w:rFonts w:hint="eastAsia" w:ascii="宋体" w:hAnsi="宋体"/>
          <w:kern w:val="0"/>
          <w:sz w:val="32"/>
          <w:szCs w:val="32"/>
          <w:lang w:eastAsia="zh-CN"/>
        </w:rPr>
        <w:t>机构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407</w:t>
      </w:r>
      <w:r>
        <w:rPr>
          <w:rFonts w:hint="eastAsia" w:ascii="宋体" w:hAnsi="宋体"/>
          <w:kern w:val="0"/>
          <w:sz w:val="32"/>
          <w:szCs w:val="32"/>
        </w:rPr>
        <w:t>家</w:t>
      </w:r>
      <w:r>
        <w:rPr>
          <w:rFonts w:hint="eastAsia" w:ascii="宋体" w:hAnsi="宋体"/>
          <w:kern w:val="0"/>
          <w:sz w:val="32"/>
          <w:szCs w:val="32"/>
          <w:lang w:eastAsia="zh-CN"/>
        </w:rPr>
        <w:t>次</w:t>
      </w:r>
      <w:r>
        <w:rPr>
          <w:rFonts w:hint="eastAsia" w:ascii="宋体" w:hAnsi="宋体"/>
          <w:kern w:val="0"/>
          <w:sz w:val="32"/>
          <w:szCs w:val="32"/>
        </w:rPr>
        <w:t>，职业卫生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135</w:t>
      </w:r>
      <w:r>
        <w:rPr>
          <w:rFonts w:hint="eastAsia" w:ascii="宋体" w:hAnsi="宋体"/>
          <w:kern w:val="0"/>
          <w:sz w:val="32"/>
          <w:szCs w:val="32"/>
        </w:rPr>
        <w:t>家</w:t>
      </w:r>
      <w:r>
        <w:rPr>
          <w:rFonts w:hint="eastAsia" w:ascii="宋体" w:hAnsi="宋体"/>
          <w:kern w:val="0"/>
          <w:sz w:val="32"/>
          <w:szCs w:val="32"/>
          <w:lang w:eastAsia="zh-CN"/>
        </w:rPr>
        <w:t>次</w:t>
      </w:r>
      <w:r>
        <w:rPr>
          <w:rFonts w:hint="eastAsia" w:ascii="宋体" w:hAnsi="宋体"/>
          <w:kern w:val="0"/>
          <w:sz w:val="32"/>
          <w:szCs w:val="32"/>
        </w:rPr>
        <w:t>，监督覆盖率达到</w:t>
      </w:r>
      <w:r>
        <w:rPr>
          <w:rFonts w:ascii="宋体" w:hAnsi="宋体"/>
          <w:kern w:val="0"/>
          <w:sz w:val="32"/>
          <w:szCs w:val="32"/>
        </w:rPr>
        <w:t>100%</w:t>
      </w:r>
      <w:r>
        <w:rPr>
          <w:rFonts w:hint="eastAsia" w:ascii="宋体" w:hAnsi="宋体"/>
          <w:kern w:val="0"/>
          <w:sz w:val="32"/>
          <w:szCs w:val="32"/>
        </w:rPr>
        <w:t>；</w:t>
      </w:r>
    </w:p>
    <w:p>
      <w:pPr>
        <w:rPr>
          <w:rFonts w:ascii="宋体"/>
          <w:kern w:val="0"/>
          <w:sz w:val="32"/>
          <w:szCs w:val="32"/>
        </w:rPr>
      </w:pPr>
      <w:r>
        <w:rPr>
          <w:rFonts w:ascii="宋体" w:hAnsi="宋体"/>
          <w:kern w:val="0"/>
          <w:sz w:val="32"/>
          <w:szCs w:val="32"/>
        </w:rPr>
        <w:t>2</w:t>
      </w:r>
      <w:r>
        <w:rPr>
          <w:rFonts w:hint="eastAsia" w:ascii="宋体" w:hAnsi="宋体"/>
          <w:kern w:val="0"/>
          <w:sz w:val="32"/>
          <w:szCs w:val="32"/>
        </w:rPr>
        <w:t>：开展公共场所卫生监督量化分级服务管理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526</w:t>
      </w:r>
      <w:r>
        <w:rPr>
          <w:rFonts w:hint="eastAsia" w:ascii="宋体" w:hAnsi="宋体"/>
          <w:kern w:val="0"/>
          <w:sz w:val="32"/>
          <w:szCs w:val="32"/>
        </w:rPr>
        <w:t>家，卫生监督量化率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100</w:t>
      </w:r>
      <w:r>
        <w:rPr>
          <w:rFonts w:ascii="宋体" w:hAnsi="宋体"/>
          <w:kern w:val="0"/>
          <w:sz w:val="32"/>
          <w:szCs w:val="32"/>
        </w:rPr>
        <w:t>%</w:t>
      </w:r>
      <w:r>
        <w:rPr>
          <w:rFonts w:hint="eastAsia" w:ascii="宋体" w:hAnsi="宋体"/>
          <w:kern w:val="0"/>
          <w:sz w:val="32"/>
          <w:szCs w:val="32"/>
        </w:rPr>
        <w:t>；</w:t>
      </w:r>
    </w:p>
    <w:p>
      <w:pPr>
        <w:rPr>
          <w:rFonts w:asci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kern w:val="0"/>
          <w:sz w:val="32"/>
          <w:szCs w:val="32"/>
        </w:rPr>
        <w:t>：加大打击“两非”力度，查实两非案件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kern w:val="0"/>
          <w:sz w:val="32"/>
          <w:szCs w:val="32"/>
        </w:rPr>
        <w:t>起，结案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kern w:val="0"/>
          <w:sz w:val="32"/>
          <w:szCs w:val="32"/>
        </w:rPr>
        <w:t>起；</w:t>
      </w:r>
    </w:p>
    <w:p>
      <w:pPr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kern w:val="0"/>
          <w:sz w:val="32"/>
          <w:szCs w:val="32"/>
        </w:rPr>
        <w:t>：扎实开展公共场所无证经营、医疗广告专项监督检查、打击非法行医等专项整治行动；</w:t>
      </w:r>
    </w:p>
    <w:p>
      <w:pPr>
        <w:rPr>
          <w:rFonts w:hint="default" w:ascii="宋体" w:hAnsi="宋体" w:eastAsia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kern w:val="0"/>
          <w:sz w:val="32"/>
          <w:szCs w:val="32"/>
          <w:lang w:val="en-US" w:eastAsia="zh-CN"/>
        </w:rPr>
        <w:t>5：全面完成44家国家双随机抽检任务，完成率100%。</w:t>
      </w:r>
    </w:p>
    <w:p>
      <w:pPr>
        <w:adjustRightInd w:val="0"/>
        <w:snapToGrid w:val="0"/>
        <w:spacing w:line="600" w:lineRule="exact"/>
        <w:rPr>
          <w:rFonts w:ascii="宋体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kern w:val="0"/>
          <w:sz w:val="32"/>
          <w:szCs w:val="32"/>
        </w:rPr>
        <w:t>：开展卫生法律法规宣传培训。</w:t>
      </w:r>
    </w:p>
    <w:p>
      <w:pPr>
        <w:spacing w:line="360" w:lineRule="auto"/>
        <w:ind w:firstLine="570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八</w:t>
      </w:r>
      <w:r>
        <w:rPr>
          <w:rFonts w:hint="eastAsia" w:ascii="宋体" w:hAnsi="宋体"/>
          <w:b/>
          <w:sz w:val="32"/>
          <w:szCs w:val="32"/>
        </w:rPr>
        <w:t>、结合《部门整体支出绩效评价指标表》（见附件）的评价结果</w:t>
      </w:r>
    </w:p>
    <w:p>
      <w:pPr>
        <w:spacing w:line="360" w:lineRule="auto"/>
        <w:ind w:firstLine="57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绩效评价结果</w:t>
      </w:r>
    </w:p>
    <w:p>
      <w:pPr>
        <w:spacing w:line="360" w:lineRule="auto"/>
        <w:ind w:firstLine="57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sz w:val="32"/>
          <w:szCs w:val="32"/>
        </w:rPr>
        <w:t>年道县卫生</w:t>
      </w:r>
      <w:r>
        <w:rPr>
          <w:rFonts w:hint="eastAsia" w:ascii="宋体" w:hAnsi="宋体"/>
          <w:sz w:val="32"/>
          <w:szCs w:val="32"/>
          <w:lang w:eastAsia="zh-CN"/>
        </w:rPr>
        <w:t>计生</w:t>
      </w:r>
      <w:r>
        <w:rPr>
          <w:rFonts w:hint="eastAsia" w:ascii="宋体" w:hAnsi="宋体"/>
          <w:sz w:val="32"/>
          <w:szCs w:val="32"/>
        </w:rPr>
        <w:t>综合监督执法局完成情况基本达到了预期目标，符合国家财务管理制度等相关规定。经我们评价组评价后一致认为，</w:t>
      </w: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sz w:val="32"/>
          <w:szCs w:val="32"/>
        </w:rPr>
        <w:t>年所有资金落实到位、政策执行有力、资金使用规范。根据《</w:t>
      </w: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sz w:val="32"/>
          <w:szCs w:val="32"/>
        </w:rPr>
        <w:t>年度道县卫生</w:t>
      </w:r>
      <w:r>
        <w:rPr>
          <w:rFonts w:hint="eastAsia" w:ascii="宋体" w:hAnsi="宋体"/>
          <w:sz w:val="32"/>
          <w:szCs w:val="32"/>
          <w:lang w:eastAsia="zh-CN"/>
        </w:rPr>
        <w:t>计生</w:t>
      </w:r>
      <w:r>
        <w:rPr>
          <w:rFonts w:hint="eastAsia" w:ascii="宋体" w:hAnsi="宋体"/>
          <w:sz w:val="32"/>
          <w:szCs w:val="32"/>
        </w:rPr>
        <w:t>综合监督执法局专项资金绩效评价指标及评分表》，综合评分为</w:t>
      </w:r>
      <w:r>
        <w:rPr>
          <w:rFonts w:hint="eastAsia" w:ascii="宋体" w:hAnsi="宋体"/>
          <w:sz w:val="32"/>
          <w:szCs w:val="32"/>
          <w:lang w:val="en-US" w:eastAsia="zh-CN"/>
        </w:rPr>
        <w:t>93</w:t>
      </w:r>
      <w:r>
        <w:rPr>
          <w:rFonts w:hint="eastAsia" w:ascii="宋体" w:hAnsi="宋体"/>
          <w:sz w:val="32"/>
          <w:szCs w:val="32"/>
        </w:rPr>
        <w:t>分，重点绩效评价等级为“</w:t>
      </w:r>
      <w:r>
        <w:rPr>
          <w:rFonts w:hint="eastAsia" w:ascii="宋体" w:hAnsi="宋体"/>
          <w:sz w:val="32"/>
          <w:szCs w:val="32"/>
          <w:lang w:eastAsia="zh-CN"/>
        </w:rPr>
        <w:t>优</w:t>
      </w:r>
      <w:r>
        <w:rPr>
          <w:rFonts w:hint="eastAsia" w:ascii="宋体" w:hAnsi="宋体"/>
          <w:sz w:val="32"/>
          <w:szCs w:val="32"/>
        </w:rPr>
        <w:t>”。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九</w:t>
      </w:r>
      <w:r>
        <w:rPr>
          <w:rFonts w:hint="eastAsia" w:ascii="宋体" w:hAnsi="宋体"/>
          <w:b/>
          <w:sz w:val="32"/>
          <w:szCs w:val="32"/>
        </w:rPr>
        <w:t>、存在的主要问题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省里对我县分配的专项资金的分配量太小；资金量小，杯水车</w:t>
      </w:r>
      <w:r>
        <w:rPr>
          <w:rFonts w:hint="eastAsia" w:ascii="宋体" w:hAnsi="宋体" w:cs="宋体"/>
          <w:sz w:val="32"/>
          <w:szCs w:val="32"/>
        </w:rPr>
        <w:t>薪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snapToGrid w:val="0"/>
        <w:spacing w:line="360" w:lineRule="auto"/>
        <w:ind w:firstLine="567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十</w:t>
      </w:r>
      <w:r>
        <w:rPr>
          <w:rFonts w:hint="eastAsia" w:ascii="宋体" w:hAnsi="宋体"/>
          <w:b/>
          <w:sz w:val="32"/>
          <w:szCs w:val="32"/>
        </w:rPr>
        <w:t>、改进措施和有关建议</w:t>
      </w:r>
    </w:p>
    <w:p>
      <w:pPr>
        <w:snapToGrid w:val="0"/>
        <w:spacing w:line="360" w:lineRule="auto"/>
        <w:ind w:firstLine="567"/>
        <w:rPr>
          <w:rFonts w:asci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一是</w:t>
      </w:r>
      <w:r>
        <w:rPr>
          <w:rFonts w:hint="eastAsia" w:ascii="宋体" w:hAnsi="宋体"/>
          <w:sz w:val="32"/>
          <w:szCs w:val="32"/>
        </w:rPr>
        <w:t>建议加强预算管理，完善绩效考核目标，考核目标尽量明确、细化和量化，提高执法力度的工作量；二</w:t>
      </w:r>
      <w:r>
        <w:rPr>
          <w:rFonts w:hint="eastAsia" w:ascii="宋体" w:hAnsi="宋体"/>
          <w:b/>
          <w:sz w:val="32"/>
          <w:szCs w:val="32"/>
        </w:rPr>
        <w:t>是</w:t>
      </w:r>
      <w:r>
        <w:rPr>
          <w:rFonts w:hint="eastAsia" w:ascii="宋体" w:hAnsi="宋体"/>
          <w:sz w:val="32"/>
          <w:szCs w:val="32"/>
        </w:rPr>
        <w:t>建立和完善专项资金使用管理制度；三是加大舆论宣传，提高政策知晓度；创新工作方式，强化资金监督管理，确保资金落到实处。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附件：</w:t>
      </w:r>
      <w:r>
        <w:fldChar w:fldCharType="begin"/>
      </w:r>
      <w:r>
        <w:instrText xml:space="preserve"> HYPERLINK "file:///C:\\Users\\Administrator\\Desktop\\10.18\\绩效自评模板\\2016年永州市直部门整体支出绩效评价指标表.doc" </w:instrText>
      </w:r>
      <w:r>
        <w:fldChar w:fldCharType="separate"/>
      </w:r>
      <w:r>
        <w:rPr>
          <w:rStyle w:val="8"/>
          <w:rFonts w:hint="eastAsia" w:ascii="宋体" w:hAnsi="宋体"/>
          <w:sz w:val="32"/>
          <w:szCs w:val="32"/>
        </w:rPr>
        <w:t>部门整体支出绩效评价</w:t>
      </w:r>
      <w:r>
        <w:rPr>
          <w:rStyle w:val="8"/>
          <w:rFonts w:hint="eastAsia" w:ascii="宋体" w:hAnsi="宋体"/>
          <w:sz w:val="32"/>
          <w:szCs w:val="32"/>
          <w:lang w:eastAsia="zh-CN"/>
        </w:rPr>
        <w:t>自评</w:t>
      </w:r>
      <w:r>
        <w:rPr>
          <w:rStyle w:val="8"/>
          <w:rFonts w:hint="eastAsia" w:ascii="宋体" w:hAnsi="宋体"/>
          <w:sz w:val="32"/>
          <w:szCs w:val="32"/>
        </w:rPr>
        <w:t>表</w:t>
      </w:r>
      <w:r>
        <w:rPr>
          <w:rStyle w:val="8"/>
          <w:rFonts w:hint="eastAsia" w:ascii="宋体" w:hAnsi="宋体"/>
          <w:sz w:val="32"/>
          <w:szCs w:val="32"/>
        </w:rPr>
        <w:fldChar w:fldCharType="end"/>
      </w:r>
    </w:p>
    <w:p>
      <w:pPr>
        <w:adjustRightInd w:val="0"/>
        <w:snapToGrid w:val="0"/>
        <w:spacing w:line="600" w:lineRule="exact"/>
        <w:ind w:right="640" w:firstLine="3200" w:firstLineChars="1000"/>
        <w:rPr>
          <w:rFonts w:hint="eastAsia" w:asci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道县卫生</w:t>
      </w:r>
      <w:r>
        <w:rPr>
          <w:rFonts w:hint="eastAsia" w:ascii="宋体" w:hAnsi="宋体"/>
          <w:sz w:val="32"/>
          <w:szCs w:val="32"/>
          <w:lang w:eastAsia="zh-CN"/>
        </w:rPr>
        <w:t>计生</w:t>
      </w:r>
      <w:r>
        <w:rPr>
          <w:rFonts w:hint="eastAsia" w:ascii="宋体" w:hAnsi="宋体"/>
          <w:sz w:val="32"/>
          <w:szCs w:val="32"/>
        </w:rPr>
        <w:t>综合监督执法局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</w:p>
    <w:p>
      <w:pPr>
        <w:wordWrap w:val="0"/>
        <w:adjustRightInd w:val="0"/>
        <w:snapToGrid w:val="0"/>
        <w:spacing w:line="600" w:lineRule="exact"/>
        <w:ind w:right="640" w:firstLine="4000" w:firstLineChars="125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22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>25</w:t>
      </w:r>
      <w:r>
        <w:rPr>
          <w:rFonts w:hint="eastAsia" w:ascii="宋体" w:hAnsi="宋体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U3MWI5NDg2ZTkyMGMyNzBiNjgwZmEyZjhiZGU1MDMifQ=="/>
  </w:docVars>
  <w:rsids>
    <w:rsidRoot w:val="00E023F5"/>
    <w:rsid w:val="00013413"/>
    <w:rsid w:val="000256E4"/>
    <w:rsid w:val="00037B95"/>
    <w:rsid w:val="00140D3B"/>
    <w:rsid w:val="00151FB2"/>
    <w:rsid w:val="0017128D"/>
    <w:rsid w:val="0019690C"/>
    <w:rsid w:val="001A07B0"/>
    <w:rsid w:val="001B6C29"/>
    <w:rsid w:val="001B7864"/>
    <w:rsid w:val="001C682C"/>
    <w:rsid w:val="00260DD5"/>
    <w:rsid w:val="00273308"/>
    <w:rsid w:val="002A087C"/>
    <w:rsid w:val="00317696"/>
    <w:rsid w:val="00364F35"/>
    <w:rsid w:val="00394CAC"/>
    <w:rsid w:val="00416625"/>
    <w:rsid w:val="00446B7A"/>
    <w:rsid w:val="00491393"/>
    <w:rsid w:val="004919C1"/>
    <w:rsid w:val="004A139B"/>
    <w:rsid w:val="00541B5C"/>
    <w:rsid w:val="00586658"/>
    <w:rsid w:val="005A30F2"/>
    <w:rsid w:val="005B2827"/>
    <w:rsid w:val="006117C5"/>
    <w:rsid w:val="0061728F"/>
    <w:rsid w:val="00686D07"/>
    <w:rsid w:val="00707131"/>
    <w:rsid w:val="0073431B"/>
    <w:rsid w:val="00762D52"/>
    <w:rsid w:val="007655BC"/>
    <w:rsid w:val="00783181"/>
    <w:rsid w:val="007848E9"/>
    <w:rsid w:val="007975BA"/>
    <w:rsid w:val="007B42A6"/>
    <w:rsid w:val="007D3C10"/>
    <w:rsid w:val="00827EA1"/>
    <w:rsid w:val="00836368"/>
    <w:rsid w:val="00862D74"/>
    <w:rsid w:val="0087466B"/>
    <w:rsid w:val="00877945"/>
    <w:rsid w:val="00877BA1"/>
    <w:rsid w:val="00986B0B"/>
    <w:rsid w:val="00A453AB"/>
    <w:rsid w:val="00A76448"/>
    <w:rsid w:val="00A86582"/>
    <w:rsid w:val="00AA7B4D"/>
    <w:rsid w:val="00B00B3D"/>
    <w:rsid w:val="00B30C5E"/>
    <w:rsid w:val="00B43658"/>
    <w:rsid w:val="00B74A87"/>
    <w:rsid w:val="00B82671"/>
    <w:rsid w:val="00BB05E3"/>
    <w:rsid w:val="00C03A50"/>
    <w:rsid w:val="00C25252"/>
    <w:rsid w:val="00C45499"/>
    <w:rsid w:val="00C52AF9"/>
    <w:rsid w:val="00C65000"/>
    <w:rsid w:val="00CD1C4E"/>
    <w:rsid w:val="00CE0BD6"/>
    <w:rsid w:val="00D116AF"/>
    <w:rsid w:val="00D1790A"/>
    <w:rsid w:val="00D90AB0"/>
    <w:rsid w:val="00DD08A8"/>
    <w:rsid w:val="00DF468F"/>
    <w:rsid w:val="00E023F5"/>
    <w:rsid w:val="00E641CA"/>
    <w:rsid w:val="00E643C4"/>
    <w:rsid w:val="00E91BB2"/>
    <w:rsid w:val="00E96CA1"/>
    <w:rsid w:val="00EA1F7D"/>
    <w:rsid w:val="00F04916"/>
    <w:rsid w:val="00F16E04"/>
    <w:rsid w:val="00F6157B"/>
    <w:rsid w:val="00F671D2"/>
    <w:rsid w:val="00F94903"/>
    <w:rsid w:val="00FC061B"/>
    <w:rsid w:val="03B21D20"/>
    <w:rsid w:val="0A262FF1"/>
    <w:rsid w:val="1B5D7D38"/>
    <w:rsid w:val="1F324A3C"/>
    <w:rsid w:val="31084616"/>
    <w:rsid w:val="3196680E"/>
    <w:rsid w:val="36C95F66"/>
    <w:rsid w:val="3CB50344"/>
    <w:rsid w:val="4F515B46"/>
    <w:rsid w:val="5E0F207B"/>
    <w:rsid w:val="6707358E"/>
    <w:rsid w:val="672C17CC"/>
    <w:rsid w:val="67D75304"/>
    <w:rsid w:val="68C72EC9"/>
    <w:rsid w:val="6A0A1C84"/>
    <w:rsid w:val="6EA82634"/>
    <w:rsid w:val="70FD20C4"/>
    <w:rsid w:val="73F6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4</Pages>
  <Words>1519</Words>
  <Characters>1689</Characters>
  <Lines>9</Lines>
  <Paragraphs>2</Paragraphs>
  <TotalTime>21</TotalTime>
  <ScaleCrop>false</ScaleCrop>
  <LinksUpToDate>false</LinksUpToDate>
  <CharactersWithSpaces>1699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2017-06-28T02:24:00Z</dcterms:created>
  <dc:creator>Lenovo User</dc:creator>
  <cp:lastModifiedBy>Administrator</cp:lastModifiedBy>
  <cp:lastPrinted>2020-06-29T01:04:00Z</cp:lastPrinted>
  <dcterms:modified xsi:type="dcterms:W3CDTF">2022-05-25T08:21:47Z</dcterms:modified>
  <dc:title>2016年度（XX单位）部门整体支出绩效评价报告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44C8FF87ED1B4BF0A6B6BD714E2EEA3F</vt:lpwstr>
  </property>
</Properties>
</file>