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道县民政局部门决算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第一部分道县民政局单位概况</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道县民政局单位概况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宋体" w:hAnsi="宋体"/>
          <w:sz w:val="32"/>
          <w:szCs w:val="32"/>
        </w:rPr>
      </w:pPr>
      <w:r>
        <w:rPr>
          <w:rFonts w:hint="eastAsia" w:ascii="宋体" w:hAnsi="宋体"/>
          <w:sz w:val="32"/>
          <w:szCs w:val="32"/>
        </w:rPr>
        <w:t>根据规定，本单位主要工作职责是：困难群众生活救助、基层政权和社区建设、社会事务管理工作，健全城乡社会救助体系，负责城乡居民最低生活保障、特困供养、临时救助、生活无着人员救助工作。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bCs/>
          <w:kern w:val="0"/>
          <w:sz w:val="32"/>
          <w:szCs w:val="32"/>
        </w:rPr>
      </w:pPr>
      <w:r>
        <w:rPr>
          <w:rFonts w:hint="eastAsia" w:ascii="宋体" w:hAnsi="宋体"/>
          <w:bCs/>
          <w:kern w:val="0"/>
          <w:sz w:val="32"/>
          <w:szCs w:val="32"/>
        </w:rPr>
        <w:t>（一）内设机构设置。本单位为正科级单位，局机关内设办公室、政工人事股、行政审批股、规划财务股、社会组织管理股、社会救助股、养老服务股等11个股室，下设社会事务管理中心、社会福利院、救助站等机构。现有在职在编人员74人，其中行政编制23人，全额拨款事业编制37人，差额拨款事业编制14人；离退休人员51人。公务用车1辆。</w:t>
      </w:r>
    </w:p>
    <w:p>
      <w:pPr>
        <w:widowControl/>
        <w:spacing w:line="600" w:lineRule="exact"/>
        <w:ind w:firstLine="640" w:firstLineChars="200"/>
        <w:rPr>
          <w:rFonts w:ascii="宋体" w:hAnsi="宋体"/>
          <w:bCs/>
          <w:kern w:val="0"/>
          <w:sz w:val="32"/>
          <w:szCs w:val="32"/>
        </w:rPr>
      </w:pPr>
      <w:r>
        <w:rPr>
          <w:rFonts w:hint="eastAsia" w:ascii="宋体" w:hAnsi="宋体"/>
          <w:bCs/>
          <w:kern w:val="0"/>
          <w:sz w:val="32"/>
          <w:szCs w:val="32"/>
        </w:rPr>
        <w:t>（二）决算单位构成。道县民政局只有本级，没有其他二级预算单位，因此，纳入202</w:t>
      </w:r>
      <w:r>
        <w:rPr>
          <w:rFonts w:hint="eastAsia" w:ascii="宋体" w:hAnsi="宋体"/>
          <w:bCs/>
          <w:kern w:val="0"/>
          <w:sz w:val="32"/>
          <w:szCs w:val="32"/>
          <w:lang w:val="en-US" w:eastAsia="zh-CN"/>
        </w:rPr>
        <w:t>1</w:t>
      </w:r>
      <w:r>
        <w:rPr>
          <w:rFonts w:hint="eastAsia" w:ascii="宋体" w:hAnsi="宋体"/>
          <w:bCs/>
          <w:kern w:val="0"/>
          <w:sz w:val="32"/>
          <w:szCs w:val="32"/>
        </w:rPr>
        <w:t>年部门</w:t>
      </w:r>
      <w:r>
        <w:rPr>
          <w:rFonts w:hint="eastAsia" w:ascii="宋体" w:hAnsi="宋体"/>
          <w:bCs/>
          <w:kern w:val="0"/>
          <w:sz w:val="32"/>
          <w:szCs w:val="32"/>
          <w:lang w:val="en-US" w:eastAsia="zh-CN"/>
        </w:rPr>
        <w:t>决</w:t>
      </w:r>
      <w:r>
        <w:rPr>
          <w:rFonts w:hint="eastAsia" w:ascii="宋体" w:hAnsi="宋体"/>
          <w:bCs/>
          <w:kern w:val="0"/>
          <w:sz w:val="32"/>
          <w:szCs w:val="32"/>
        </w:rPr>
        <w:t>算编制范围的只有道县民政局本级。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道县民政局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14,041.74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14,010.26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31.48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212.68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14,254.42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14,254.42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lang w:val="en-US" w:eastAsia="zh-CN"/>
              </w:rPr>
              <w:t>道县民政局</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14,254.42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14,254.42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14,010.26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14,010.26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633.65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633.65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565.65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565.65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62.96</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1,725.00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1,725.00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940.00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940.00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殡葬</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244.00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养老服务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残疾人事业</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734.20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734.20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2081107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734.20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734.20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最低生活保障</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5,545.00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5,545.00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2081901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2081902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3,966.00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3,966.00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临时救助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2082001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2082002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流浪乞讨人员救助支出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4,558.00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4,558.00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4,414.00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4,414.00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其他生活救助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61.53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61.53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2082502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61.53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61.53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31.48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22960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2296002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noWrap w:val="0"/>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道县民政局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14,254.42</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660.09</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13,594.33</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14,010.26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628.61</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13,381.65</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633.65</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565.65</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68.00</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565.65</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565.65</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62.96</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62.96</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62.96</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21.92</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21.92</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21.92</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21.92</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殡葬</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养老服务</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残疾人事业</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734.20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734.20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2081107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734.20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734.20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最低生活保障</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5,545.00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2081901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2081902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3,966.00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3,966.00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临时救助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2082001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2082002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流浪乞讨人员救助支出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4,558.00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4,558.00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4,414.00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4,414.00</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其他生活救助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61.53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61.53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2082502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61.53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61.53</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31.48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2296002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646"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212.68</w:t>
            </w: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道县民政局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14,041.74</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14,010.26</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14,010.26</w:t>
            </w: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31.48</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31.48</w:t>
            </w: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14,041.74</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14,254.42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14,041.74</w:t>
            </w:r>
          </w:p>
        </w:tc>
        <w:tc>
          <w:tcPr>
            <w:tcW w:w="139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212.68</w:t>
            </w:r>
          </w:p>
        </w:tc>
        <w:tc>
          <w:tcPr>
            <w:tcW w:w="1573" w:type="dxa"/>
            <w:tcBorders>
              <w:top w:val="nil"/>
              <w:left w:val="nil"/>
              <w:bottom w:val="single" w:color="auto" w:sz="4" w:space="0"/>
              <w:right w:val="single" w:color="auto" w:sz="4" w:space="0"/>
            </w:tcBorders>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道县民政局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98"/>
        <w:gridCol w:w="3265"/>
        <w:gridCol w:w="2849"/>
        <w:gridCol w:w="3271"/>
        <w:gridCol w:w="2850"/>
      </w:tblGrid>
      <w:tr>
        <w:tblPrEx>
          <w:tblCellMar>
            <w:top w:w="0" w:type="dxa"/>
            <w:left w:w="108" w:type="dxa"/>
            <w:bottom w:w="0" w:type="dxa"/>
            <w:right w:w="108" w:type="dxa"/>
          </w:tblCellMar>
        </w:tblPrEx>
        <w:trPr>
          <w:trHeight w:val="405" w:hRule="atLeast"/>
          <w:jc w:val="center"/>
        </w:trPr>
        <w:tc>
          <w:tcPr>
            <w:tcW w:w="5249" w:type="dxa"/>
            <w:gridSpan w:val="3"/>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4"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6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5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6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6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285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14,041.74</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660.09</w:t>
            </w: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13,381.65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14,010.26</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628.61</w:t>
            </w: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13,381.65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633.65</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565.65</w:t>
            </w: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565.65</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565.65</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2080299</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62.96</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62.96</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62.96</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62.96</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21.92</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21.92</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1,725.00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940.00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2081004</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殡葬</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2081005</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2081006</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养老服务</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残疾人事业</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734.20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2081107</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残疾人生活和护理补贴</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734.20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734.20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20819</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最低生活保障</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5,545.00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2081901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城市最低生活保障金支出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2081902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3,966.00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20820</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临时救助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668.00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2082001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608.00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2082002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流浪乞讨人员救助支出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特困人员救助供养</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4,558.00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2082102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4,414.00</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4,414.00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20825</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其他生活救助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61.53</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2082502</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其他农村生活救助</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61.53</w:t>
            </w:r>
          </w:p>
        </w:tc>
        <w:tc>
          <w:tcPr>
            <w:tcW w:w="3271" w:type="dxa"/>
            <w:tcBorders>
              <w:top w:val="nil"/>
              <w:left w:val="nil"/>
              <w:bottom w:val="single" w:color="auto" w:sz="4"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2850" w:type="dxa"/>
            <w:tcBorders>
              <w:top w:val="nil"/>
              <w:left w:val="nil"/>
              <w:bottom w:val="single" w:color="auto" w:sz="4"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6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327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31.48</w:t>
            </w:r>
          </w:p>
        </w:tc>
        <w:tc>
          <w:tcPr>
            <w:tcW w:w="2850" w:type="dxa"/>
            <w:tcBorders>
              <w:top w:val="nil"/>
              <w:left w:val="nil"/>
              <w:bottom w:val="single" w:color="auto" w:sz="4" w:space="0"/>
              <w:right w:val="single" w:color="auto" w:sz="8" w:space="0"/>
            </w:tcBorders>
            <w:noWrap w:val="0"/>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noWrap w:val="0"/>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283"/>
        <w:gridCol w:w="3215"/>
        <w:gridCol w:w="873"/>
        <w:gridCol w:w="1174"/>
        <w:gridCol w:w="2216"/>
        <w:gridCol w:w="934"/>
        <w:gridCol w:w="1086"/>
        <w:gridCol w:w="4016"/>
        <w:gridCol w:w="873"/>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道县民政局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555.81</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104.28</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226.56</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5.28</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131.98</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40.32</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62.51</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62.96</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23.28</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8.20</w:t>
            </w: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08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12.50</w:t>
            </w:r>
          </w:p>
        </w:tc>
        <w:tc>
          <w:tcPr>
            <w:tcW w:w="108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1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34"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08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jc w:val="left"/>
              <w:rPr>
                <w:rFonts w:ascii="宋体" w:hAnsi="宋体" w:eastAsia="宋体" w:cs="宋体"/>
                <w:color w:val="000000"/>
                <w:kern w:val="0"/>
                <w:szCs w:val="20"/>
              </w:rPr>
            </w:pPr>
          </w:p>
        </w:tc>
        <w:tc>
          <w:tcPr>
            <w:tcW w:w="3215"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20"/>
              </w:rPr>
            </w:pP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c>
          <w:tcPr>
            <w:tcW w:w="1174"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34"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14.50</w:t>
            </w:r>
          </w:p>
        </w:tc>
        <w:tc>
          <w:tcPr>
            <w:tcW w:w="108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4016" w:type="dxa"/>
            <w:tcBorders>
              <w:top w:val="nil"/>
              <w:left w:val="nil"/>
              <w:bottom w:val="single" w:color="auto" w:sz="4" w:space="0"/>
              <w:right w:val="single" w:color="auto" w:sz="4" w:space="0"/>
            </w:tcBorders>
            <w:noWrap/>
            <w:vAlign w:val="center"/>
          </w:tcPr>
          <w:p>
            <w:pPr>
              <w:jc w:val="left"/>
              <w:rPr>
                <w:rFonts w:ascii="宋体" w:hAnsi="宋体" w:eastAsia="宋体" w:cs="宋体"/>
                <w:color w:val="000000"/>
                <w:kern w:val="0"/>
                <w:szCs w:val="18"/>
              </w:rPr>
            </w:pPr>
          </w:p>
        </w:tc>
        <w:tc>
          <w:tcPr>
            <w:tcW w:w="845" w:type="dxa"/>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555.81</w:t>
            </w:r>
          </w:p>
        </w:tc>
        <w:tc>
          <w:tcPr>
            <w:tcW w:w="9426" w:type="dxa"/>
            <w:gridSpan w:val="5"/>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104.28</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道县民政局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14.50</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13.70</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4.20</w:t>
            </w:r>
          </w:p>
        </w:tc>
        <w:tc>
          <w:tcPr>
            <w:tcW w:w="1220" w:type="dxa"/>
            <w:tcBorders>
              <w:top w:val="nil"/>
              <w:left w:val="nil"/>
              <w:bottom w:val="single" w:color="auto" w:sz="8" w:space="0"/>
              <w:right w:val="single" w:color="auto" w:sz="4" w:space="0"/>
            </w:tcBorders>
            <w:noWrap w:val="0"/>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4.20</w:t>
            </w:r>
          </w:p>
        </w:tc>
        <w:tc>
          <w:tcPr>
            <w:tcW w:w="1220" w:type="dxa"/>
            <w:tcBorders>
              <w:top w:val="nil"/>
              <w:left w:val="single" w:color="auto" w:sz="4" w:space="0"/>
              <w:bottom w:val="single" w:color="auto" w:sz="8" w:space="0"/>
              <w:right w:val="single" w:color="auto" w:sz="8"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道县民政局</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4"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noWrap w:val="0"/>
            <w:vAlign w:val="center"/>
          </w:tcPr>
          <w:p>
            <w:pPr>
              <w:widowControl/>
              <w:jc w:val="left"/>
              <w:rPr>
                <w:rFonts w:ascii="Times New Roman" w:hAnsi="Times New Roman" w:eastAsia="仿宋_GB2312" w:cs="Times New Roman"/>
                <w:b/>
                <w:kern w:val="0"/>
                <w:szCs w:val="21"/>
              </w:rPr>
            </w:pPr>
          </w:p>
        </w:tc>
        <w:tc>
          <w:tcPr>
            <w:tcW w:w="1896" w:type="dxa"/>
            <w:vMerge w:val="continue"/>
            <w:noWrap w:val="0"/>
            <w:vAlign w:val="center"/>
          </w:tcPr>
          <w:p>
            <w:pPr>
              <w:widowControl/>
              <w:jc w:val="left"/>
              <w:rPr>
                <w:rFonts w:ascii="Times New Roman" w:hAnsi="Times New Roman" w:eastAsia="仿宋_GB2312" w:cs="Times New Roman"/>
                <w:b/>
                <w:kern w:val="0"/>
                <w:szCs w:val="21"/>
              </w:rPr>
            </w:pPr>
          </w:p>
        </w:tc>
        <w:tc>
          <w:tcPr>
            <w:tcW w:w="1896"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4"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6" w:type="dxa"/>
            <w:vMerge w:val="restart"/>
            <w:noWrap w:val="0"/>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noWrap w:val="0"/>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noWrap w:val="0"/>
            <w:vAlign w:val="center"/>
          </w:tcPr>
          <w:p>
            <w:pPr>
              <w:widowControl/>
              <w:jc w:val="left"/>
              <w:rPr>
                <w:rFonts w:ascii="Times New Roman" w:hAnsi="Times New Roman" w:eastAsia="仿宋_GB2312" w:cs="Times New Roman"/>
                <w:kern w:val="0"/>
                <w:szCs w:val="21"/>
              </w:rPr>
            </w:pPr>
          </w:p>
        </w:tc>
        <w:tc>
          <w:tcPr>
            <w:tcW w:w="1237" w:type="dxa"/>
            <w:vMerge w:val="continue"/>
            <w:noWrap w:val="0"/>
            <w:vAlign w:val="center"/>
          </w:tcPr>
          <w:p>
            <w:pPr>
              <w:widowControl/>
              <w:jc w:val="left"/>
              <w:rPr>
                <w:rFonts w:ascii="Times New Roman" w:hAnsi="Times New Roman" w:eastAsia="仿宋_GB2312" w:cs="Times New Roman"/>
                <w:kern w:val="0"/>
                <w:szCs w:val="21"/>
              </w:rPr>
            </w:pPr>
          </w:p>
        </w:tc>
        <w:tc>
          <w:tcPr>
            <w:tcW w:w="1854"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54"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55" w:type="dxa"/>
            <w:vMerge w:val="continue"/>
            <w:noWrap w:val="0"/>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noWrap w:val="0"/>
            <w:vAlign w:val="center"/>
          </w:tcPr>
          <w:p>
            <w:pPr>
              <w:widowControl/>
              <w:jc w:val="left"/>
              <w:rPr>
                <w:rFonts w:ascii="Times New Roman" w:hAnsi="Times New Roman" w:eastAsia="仿宋_GB2312" w:cs="Times New Roman"/>
                <w:kern w:val="0"/>
                <w:szCs w:val="21"/>
              </w:rPr>
            </w:pPr>
          </w:p>
        </w:tc>
        <w:tc>
          <w:tcPr>
            <w:tcW w:w="1237" w:type="dxa"/>
            <w:vMerge w:val="continue"/>
            <w:noWrap w:val="0"/>
            <w:vAlign w:val="center"/>
          </w:tcPr>
          <w:p>
            <w:pPr>
              <w:widowControl/>
              <w:jc w:val="left"/>
              <w:rPr>
                <w:rFonts w:ascii="Times New Roman" w:hAnsi="Times New Roman" w:eastAsia="仿宋_GB2312" w:cs="Times New Roman"/>
                <w:kern w:val="0"/>
                <w:szCs w:val="21"/>
              </w:rPr>
            </w:pPr>
          </w:p>
        </w:tc>
        <w:tc>
          <w:tcPr>
            <w:tcW w:w="1854"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54" w:type="dxa"/>
            <w:vMerge w:val="continue"/>
            <w:noWrap w:val="0"/>
            <w:vAlign w:val="center"/>
          </w:tcPr>
          <w:p>
            <w:pPr>
              <w:widowControl/>
              <w:jc w:val="left"/>
              <w:rPr>
                <w:rFonts w:ascii="Times New Roman" w:hAnsi="Times New Roman" w:eastAsia="仿宋_GB2312" w:cs="Times New Roman"/>
                <w:kern w:val="0"/>
                <w:szCs w:val="21"/>
              </w:rPr>
            </w:pPr>
          </w:p>
        </w:tc>
        <w:tc>
          <w:tcPr>
            <w:tcW w:w="1896" w:type="dxa"/>
            <w:vMerge w:val="continue"/>
            <w:noWrap w:val="0"/>
            <w:vAlign w:val="center"/>
          </w:tcPr>
          <w:p>
            <w:pPr>
              <w:widowControl/>
              <w:jc w:val="left"/>
              <w:rPr>
                <w:rFonts w:ascii="Times New Roman" w:hAnsi="Times New Roman" w:eastAsia="仿宋_GB2312" w:cs="Times New Roman"/>
                <w:kern w:val="0"/>
                <w:szCs w:val="21"/>
              </w:rPr>
            </w:pPr>
          </w:p>
        </w:tc>
        <w:tc>
          <w:tcPr>
            <w:tcW w:w="1855" w:type="dxa"/>
            <w:vMerge w:val="continue"/>
            <w:noWrap w:val="0"/>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4"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6"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6"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54"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6"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5" w:type="dxa"/>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noWrap w:val="0"/>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212.68</w:t>
            </w: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212.68</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212.68</w:t>
            </w:r>
          </w:p>
        </w:tc>
        <w:tc>
          <w:tcPr>
            <w:tcW w:w="1855" w:type="dxa"/>
            <w:noWrap w:val="0"/>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203" w:type="dxa"/>
            <w:gridSpan w:val="2"/>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5" w:type="dxa"/>
            <w:noWrap w:val="0"/>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w:t>
            </w:r>
          </w:p>
        </w:tc>
        <w:tc>
          <w:tcPr>
            <w:tcW w:w="2203" w:type="dxa"/>
            <w:gridSpan w:val="2"/>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5" w:type="dxa"/>
            <w:noWrap w:val="0"/>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2296002</w:t>
            </w:r>
          </w:p>
        </w:tc>
        <w:tc>
          <w:tcPr>
            <w:tcW w:w="2203" w:type="dxa"/>
            <w:gridSpan w:val="2"/>
            <w:noWrap w:val="0"/>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4" w:type="dxa"/>
            <w:noWrap w:val="0"/>
            <w:vAlign w:val="center"/>
          </w:tcPr>
          <w:p>
            <w:pPr>
              <w:jc w:val="right"/>
              <w:rPr>
                <w:rFonts w:ascii="Times New Roman" w:hAnsi="Times New Roman" w:eastAsia="仿宋_GB2312" w:cs="Times New Roman"/>
                <w:kern w:val="0"/>
                <w:szCs w:val="21"/>
              </w:rPr>
            </w:pPr>
          </w:p>
        </w:tc>
        <w:tc>
          <w:tcPr>
            <w:tcW w:w="1896" w:type="dxa"/>
            <w:noWrap w:val="0"/>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212.68</w:t>
            </w:r>
          </w:p>
        </w:tc>
        <w:tc>
          <w:tcPr>
            <w:tcW w:w="1855" w:type="dxa"/>
            <w:noWrap w:val="0"/>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道县民</w:t>
            </w:r>
            <w:r>
              <w:rPr>
                <w:rFonts w:hint="eastAsia" w:ascii="宋体" w:hAnsi="宋体" w:cs="宋体"/>
                <w:kern w:val="0"/>
                <w:sz w:val="20"/>
                <w:szCs w:val="20"/>
                <w:lang w:val="en-US" w:eastAsia="zh-CN"/>
              </w:rPr>
              <w:t>政</w:t>
            </w:r>
            <w:r>
              <w:rPr>
                <w:rFonts w:hint="eastAsia" w:ascii="宋体" w:hAnsi="宋体" w:eastAsia="宋体" w:cs="宋体"/>
                <w:kern w:val="0"/>
                <w:sz w:val="20"/>
                <w:szCs w:val="20"/>
                <w:lang w:val="en-US" w:eastAsia="zh-CN"/>
              </w:rPr>
              <w:t>局</w:t>
            </w:r>
          </w:p>
        </w:tc>
        <w:tc>
          <w:tcPr>
            <w:tcW w:w="1225" w:type="dxa"/>
            <w:tcBorders>
              <w:top w:val="nil"/>
              <w:left w:val="nil"/>
              <w:bottom w:val="single" w:color="auto" w:sz="8" w:space="0"/>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noWrap w:val="0"/>
            <w:vAlign w:val="center"/>
          </w:tcPr>
          <w:p>
            <w:pPr>
              <w:numPr>
                <w:ilvl w:val="0"/>
                <w:numId w:val="2"/>
              </w:numPr>
              <w:ind w:leftChars="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注：本表反映部门本年度国有资本经营预算财政拨款支出情况。</w:t>
            </w:r>
          </w:p>
          <w:p>
            <w:pPr>
              <w:numPr>
                <w:ilvl w:val="0"/>
                <w:numId w:val="2"/>
              </w:numPr>
              <w:ind w:leftChars="0"/>
              <w:jc w:val="both"/>
              <w:rPr>
                <w:rFonts w:hint="default" w:ascii="宋体" w:hAnsi="宋体" w:eastAsia="宋体" w:cs="宋体"/>
                <w:kern w:val="0"/>
                <w:sz w:val="24"/>
                <w:szCs w:val="24"/>
                <w:lang w:val="en-US" w:eastAsia="zh-CN"/>
              </w:rPr>
            </w:pPr>
            <w:r>
              <w:rPr>
                <w:rFonts w:hint="eastAsia"/>
                <w:sz w:val="24"/>
                <w:szCs w:val="24"/>
                <w:lang w:val="en-US" w:eastAsia="zh-CN"/>
              </w:rPr>
              <w:t>道县民政局</w:t>
            </w:r>
            <w:r>
              <w:rPr>
                <w:rFonts w:hint="eastAsia" w:ascii="宋体" w:hAnsi="宋体" w:eastAsia="宋体" w:cs="宋体"/>
                <w:kern w:val="0"/>
                <w:sz w:val="24"/>
                <w:szCs w:val="24"/>
                <w:lang w:val="en-US" w:eastAsia="zh-CN"/>
              </w:rPr>
              <w:t>无国有资本经营收入，也没有安排国有资本经营支出，故本表格无数据。</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720"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宋体" w:hAnsi="宋体" w:eastAsia="宋体"/>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宋体" w:hAnsi="宋体" w:eastAsia="宋体"/>
          <w:sz w:val="32"/>
          <w:szCs w:val="32"/>
          <w:lang w:val="en-US" w:eastAsia="zh-CN"/>
        </w:rPr>
      </w:pPr>
      <w:r>
        <w:rPr>
          <w:rFonts w:hint="eastAsia" w:ascii="宋体" w:hAnsi="宋体" w:eastAsia="宋体"/>
          <w:sz w:val="32"/>
          <w:szCs w:val="32"/>
        </w:rPr>
        <w:t>2021年度收、支总计</w:t>
      </w:r>
      <w:r>
        <w:rPr>
          <w:rFonts w:hint="eastAsia" w:ascii="宋体" w:hAnsi="宋体" w:eastAsia="宋体"/>
          <w:sz w:val="32"/>
          <w:szCs w:val="32"/>
          <w:lang w:val="en-US" w:eastAsia="zh-CN"/>
        </w:rPr>
        <w:t>14254.42</w:t>
      </w:r>
      <w:r>
        <w:rPr>
          <w:rFonts w:hint="eastAsia" w:ascii="宋体" w:hAnsi="宋体" w:eastAsia="宋体"/>
          <w:sz w:val="32"/>
          <w:szCs w:val="32"/>
        </w:rPr>
        <w:t>万元。与上年相比，增加</w:t>
      </w:r>
      <w:r>
        <w:rPr>
          <w:rFonts w:hint="eastAsia" w:ascii="宋体" w:hAnsi="宋体" w:eastAsia="宋体"/>
          <w:sz w:val="32"/>
          <w:szCs w:val="32"/>
          <w:lang w:val="en-US" w:eastAsia="zh-CN"/>
        </w:rPr>
        <w:t>2642.55</w:t>
      </w:r>
      <w:r>
        <w:rPr>
          <w:rFonts w:hint="eastAsia" w:ascii="宋体" w:hAnsi="宋体" w:eastAsia="宋体"/>
          <w:sz w:val="32"/>
          <w:szCs w:val="32"/>
        </w:rPr>
        <w:t>万元，增长</w:t>
      </w:r>
      <w:r>
        <w:rPr>
          <w:rFonts w:hint="eastAsia" w:ascii="宋体" w:hAnsi="宋体" w:eastAsia="宋体"/>
          <w:sz w:val="32"/>
          <w:szCs w:val="32"/>
          <w:lang w:val="en-US" w:eastAsia="zh-CN"/>
        </w:rPr>
        <w:t>18.54</w:t>
      </w:r>
      <w:r>
        <w:rPr>
          <w:rFonts w:hint="eastAsia" w:ascii="宋体" w:hAnsi="宋体" w:eastAsia="宋体"/>
          <w:sz w:val="32"/>
          <w:szCs w:val="32"/>
        </w:rPr>
        <w:t>%，主要是因为</w:t>
      </w:r>
      <w:r>
        <w:rPr>
          <w:rFonts w:hint="eastAsia" w:ascii="宋体" w:hAnsi="宋体" w:eastAsia="宋体"/>
          <w:sz w:val="32"/>
          <w:szCs w:val="32"/>
          <w:lang w:val="en-US" w:eastAsia="zh-CN"/>
        </w:rPr>
        <w:t>上级加大了对社会保障的投入。</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14254.42</w:t>
      </w:r>
      <w:r>
        <w:rPr>
          <w:rFonts w:hint="eastAsia" w:ascii="宋体" w:hAnsi="宋体" w:eastAsia="宋体"/>
          <w:sz w:val="32"/>
          <w:szCs w:val="32"/>
        </w:rPr>
        <w:t>万元，其中：财政拨款收入</w:t>
      </w:r>
      <w:r>
        <w:rPr>
          <w:rFonts w:hint="eastAsia" w:ascii="宋体" w:hAnsi="宋体" w:eastAsia="宋体"/>
          <w:sz w:val="32"/>
          <w:szCs w:val="32"/>
          <w:lang w:val="en-US" w:eastAsia="zh-CN"/>
        </w:rPr>
        <w:t>14254.42</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14254.42</w:t>
      </w:r>
      <w:r>
        <w:rPr>
          <w:rFonts w:hint="eastAsia" w:ascii="宋体" w:hAnsi="宋体" w:eastAsia="宋体"/>
          <w:sz w:val="32"/>
          <w:szCs w:val="32"/>
        </w:rPr>
        <w:t>万元，其中：基本支出</w:t>
      </w:r>
      <w:r>
        <w:rPr>
          <w:rFonts w:hint="eastAsia" w:ascii="宋体" w:hAnsi="宋体" w:eastAsia="宋体"/>
          <w:sz w:val="32"/>
          <w:szCs w:val="32"/>
          <w:lang w:val="en-US" w:eastAsia="zh-CN"/>
        </w:rPr>
        <w:t>660.09</w:t>
      </w:r>
      <w:r>
        <w:rPr>
          <w:rFonts w:hint="eastAsia" w:ascii="宋体" w:hAnsi="宋体" w:eastAsia="宋体"/>
          <w:sz w:val="32"/>
          <w:szCs w:val="32"/>
        </w:rPr>
        <w:t>万元，占</w:t>
      </w:r>
      <w:r>
        <w:rPr>
          <w:rFonts w:hint="eastAsia" w:ascii="宋体" w:hAnsi="宋体" w:eastAsia="宋体"/>
          <w:sz w:val="32"/>
          <w:szCs w:val="32"/>
          <w:lang w:val="en-US" w:eastAsia="zh-CN"/>
        </w:rPr>
        <w:t>4.63</w:t>
      </w:r>
      <w:r>
        <w:rPr>
          <w:rFonts w:hint="eastAsia" w:ascii="宋体" w:hAnsi="宋体" w:eastAsia="宋体"/>
          <w:sz w:val="32"/>
          <w:szCs w:val="32"/>
        </w:rPr>
        <w:t>%；项目支出</w:t>
      </w:r>
      <w:r>
        <w:rPr>
          <w:rFonts w:hint="eastAsia" w:ascii="宋体" w:hAnsi="宋体" w:eastAsia="宋体"/>
          <w:sz w:val="32"/>
          <w:szCs w:val="32"/>
          <w:lang w:val="en-US" w:eastAsia="zh-CN"/>
        </w:rPr>
        <w:t>13594.33</w:t>
      </w:r>
      <w:r>
        <w:rPr>
          <w:rFonts w:hint="eastAsia" w:ascii="宋体" w:hAnsi="宋体" w:eastAsia="宋体"/>
          <w:sz w:val="32"/>
          <w:szCs w:val="32"/>
        </w:rPr>
        <w:t>万元，占</w:t>
      </w:r>
      <w:r>
        <w:rPr>
          <w:rFonts w:hint="eastAsia" w:ascii="宋体" w:hAnsi="宋体" w:eastAsia="宋体"/>
          <w:sz w:val="32"/>
          <w:szCs w:val="32"/>
          <w:lang w:val="en-US" w:eastAsia="zh-CN"/>
        </w:rPr>
        <w:t>95.37</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宋体" w:hAnsi="宋体" w:eastAsia="宋体"/>
          <w:sz w:val="32"/>
          <w:szCs w:val="32"/>
          <w:lang w:val="en-US" w:eastAsia="zh-CN"/>
        </w:rPr>
      </w:pPr>
      <w:r>
        <w:rPr>
          <w:rFonts w:hint="eastAsia" w:ascii="宋体" w:hAnsi="宋体" w:eastAsia="宋体"/>
          <w:sz w:val="32"/>
          <w:szCs w:val="32"/>
        </w:rPr>
        <w:t>2021年度财政拨款收、支总计</w:t>
      </w:r>
      <w:r>
        <w:rPr>
          <w:rFonts w:hint="eastAsia" w:ascii="宋体" w:hAnsi="宋体" w:eastAsia="宋体"/>
          <w:sz w:val="32"/>
          <w:szCs w:val="32"/>
          <w:lang w:val="en-US" w:eastAsia="zh-CN"/>
        </w:rPr>
        <w:t>14254.42</w:t>
      </w:r>
      <w:r>
        <w:rPr>
          <w:rFonts w:hint="eastAsia" w:ascii="宋体" w:hAnsi="宋体" w:eastAsia="宋体"/>
          <w:sz w:val="32"/>
          <w:szCs w:val="32"/>
        </w:rPr>
        <w:t>万元，与上年相比，增加</w:t>
      </w:r>
      <w:r>
        <w:rPr>
          <w:rFonts w:hint="eastAsia" w:ascii="宋体" w:hAnsi="宋体" w:eastAsia="宋体"/>
          <w:sz w:val="32"/>
          <w:szCs w:val="32"/>
          <w:lang w:val="en-US" w:eastAsia="zh-CN"/>
        </w:rPr>
        <w:t>2642.55</w:t>
      </w:r>
      <w:r>
        <w:rPr>
          <w:rFonts w:hint="eastAsia" w:ascii="宋体" w:hAnsi="宋体" w:eastAsia="宋体"/>
          <w:sz w:val="32"/>
          <w:szCs w:val="32"/>
        </w:rPr>
        <w:t>万元,增长</w:t>
      </w:r>
      <w:r>
        <w:rPr>
          <w:rFonts w:hint="eastAsia" w:ascii="宋体" w:hAnsi="宋体" w:eastAsia="宋体"/>
          <w:sz w:val="32"/>
          <w:szCs w:val="32"/>
          <w:lang w:val="en-US" w:eastAsia="zh-CN"/>
        </w:rPr>
        <w:t>18.54</w:t>
      </w:r>
      <w:r>
        <w:rPr>
          <w:rFonts w:hint="eastAsia" w:ascii="宋体" w:hAnsi="宋体" w:eastAsia="宋体"/>
          <w:sz w:val="32"/>
          <w:szCs w:val="32"/>
        </w:rPr>
        <w:t>%，主要是因为</w:t>
      </w:r>
      <w:r>
        <w:rPr>
          <w:rFonts w:hint="eastAsia" w:ascii="宋体" w:hAnsi="宋体" w:eastAsia="宋体"/>
          <w:sz w:val="32"/>
          <w:szCs w:val="32"/>
          <w:lang w:val="en-US" w:eastAsia="zh-CN"/>
        </w:rPr>
        <w:t>上级加大了对社会保障的投入。</w:t>
      </w:r>
    </w:p>
    <w:p>
      <w:pPr>
        <w:pStyle w:val="11"/>
        <w:ind w:firstLine="64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14254.42</w:t>
      </w:r>
      <w:r>
        <w:rPr>
          <w:rFonts w:hint="eastAsia" w:ascii="宋体" w:hAnsi="宋体" w:eastAsia="宋体"/>
          <w:sz w:val="32"/>
          <w:szCs w:val="32"/>
        </w:rPr>
        <w:t>万元，占本年支出合计的</w:t>
      </w:r>
      <w:r>
        <w:rPr>
          <w:rFonts w:hint="eastAsia" w:ascii="宋体" w:hAnsi="宋体" w:eastAsia="宋体"/>
          <w:sz w:val="32"/>
          <w:szCs w:val="32"/>
          <w:lang w:val="en-US" w:eastAsia="zh-CN"/>
        </w:rPr>
        <w:t>100</w:t>
      </w:r>
      <w:r>
        <w:rPr>
          <w:rFonts w:hint="eastAsia" w:ascii="宋体" w:hAnsi="宋体" w:eastAsia="宋体"/>
          <w:sz w:val="32"/>
          <w:szCs w:val="32"/>
        </w:rPr>
        <w:t>%，与上年相比，财政拨款支出增加</w:t>
      </w:r>
      <w:r>
        <w:rPr>
          <w:rFonts w:hint="eastAsia" w:ascii="宋体" w:hAnsi="宋体" w:eastAsia="宋体"/>
          <w:sz w:val="32"/>
          <w:szCs w:val="32"/>
          <w:lang w:val="en-US" w:eastAsia="zh-CN"/>
        </w:rPr>
        <w:t>2642.55</w:t>
      </w:r>
      <w:r>
        <w:rPr>
          <w:rFonts w:hint="eastAsia" w:ascii="宋体" w:hAnsi="宋体" w:eastAsia="宋体"/>
          <w:sz w:val="32"/>
          <w:szCs w:val="32"/>
        </w:rPr>
        <w:t>万元，增长</w:t>
      </w:r>
      <w:r>
        <w:rPr>
          <w:rFonts w:hint="eastAsia" w:ascii="宋体" w:hAnsi="宋体" w:eastAsia="宋体"/>
          <w:sz w:val="32"/>
          <w:szCs w:val="32"/>
          <w:lang w:val="en-US" w:eastAsia="zh-CN"/>
        </w:rPr>
        <w:t>18.54</w:t>
      </w:r>
      <w:r>
        <w:rPr>
          <w:rFonts w:hint="eastAsia" w:ascii="宋体" w:hAnsi="宋体" w:eastAsia="宋体"/>
          <w:sz w:val="32"/>
          <w:szCs w:val="32"/>
        </w:rPr>
        <w:t>%，主要是因为</w:t>
      </w:r>
      <w:r>
        <w:rPr>
          <w:rFonts w:hint="eastAsia" w:ascii="宋体" w:hAnsi="宋体" w:eastAsia="宋体"/>
          <w:sz w:val="32"/>
          <w:szCs w:val="32"/>
          <w:lang w:val="en-US" w:eastAsia="zh-CN"/>
        </w:rPr>
        <w:t>上级加大了对社会保障的投入。</w:t>
      </w:r>
    </w:p>
    <w:p>
      <w:pPr>
        <w:pStyle w:val="11"/>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hint="default" w:ascii="宋体" w:hAnsi="宋体" w:eastAsia="宋体"/>
          <w:sz w:val="32"/>
          <w:szCs w:val="32"/>
          <w:lang w:val="en-US" w:eastAsia="zh-CN"/>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14254.42</w:t>
      </w:r>
      <w:r>
        <w:rPr>
          <w:rFonts w:hint="eastAsia" w:ascii="宋体" w:hAnsi="宋体" w:eastAsia="宋体"/>
          <w:sz w:val="32"/>
          <w:szCs w:val="32"/>
        </w:rPr>
        <w:t>万元，主要用于以下方面：</w:t>
      </w:r>
      <w:r>
        <w:rPr>
          <w:rFonts w:hint="eastAsia" w:ascii="宋体" w:hAnsi="宋体" w:eastAsia="宋体"/>
          <w:sz w:val="32"/>
          <w:szCs w:val="32"/>
          <w:lang w:val="en-US" w:eastAsia="zh-CN"/>
        </w:rPr>
        <w:t>社会保障和就业支出14010.26万元，占98.29%，卫生健康支出31.48万元，占0.2%，其他支出212.68万元，占1.51%。</w:t>
      </w:r>
    </w:p>
    <w:p>
      <w:pPr>
        <w:pStyle w:val="11"/>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5583.34</w:t>
      </w:r>
      <w:r>
        <w:rPr>
          <w:rFonts w:hint="eastAsia" w:ascii="宋体" w:hAnsi="宋体" w:eastAsia="宋体"/>
          <w:sz w:val="32"/>
          <w:szCs w:val="32"/>
        </w:rPr>
        <w:t>万元，支出决算数为</w:t>
      </w:r>
      <w:r>
        <w:rPr>
          <w:rFonts w:hint="eastAsia" w:ascii="宋体" w:hAnsi="宋体" w:eastAsia="宋体"/>
          <w:sz w:val="32"/>
          <w:szCs w:val="32"/>
          <w:lang w:val="en-US" w:eastAsia="zh-CN"/>
        </w:rPr>
        <w:t>14254.42</w:t>
      </w:r>
      <w:r>
        <w:rPr>
          <w:rFonts w:hint="eastAsia" w:ascii="宋体" w:hAnsi="宋体" w:eastAsia="宋体"/>
          <w:sz w:val="32"/>
          <w:szCs w:val="32"/>
        </w:rPr>
        <w:t>万元，完成年初预算的</w:t>
      </w:r>
      <w:r>
        <w:rPr>
          <w:rFonts w:hint="eastAsia" w:ascii="宋体" w:hAnsi="宋体" w:eastAsia="宋体"/>
          <w:sz w:val="32"/>
          <w:szCs w:val="32"/>
          <w:lang w:val="en-US" w:eastAsia="zh-CN"/>
        </w:rPr>
        <w:t>255.3</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val="en-US" w:eastAsia="zh-CN"/>
        </w:rPr>
        <w:t>社会保障和就业支出</w:t>
      </w:r>
      <w:r>
        <w:rPr>
          <w:rFonts w:hint="eastAsia" w:ascii="宋体" w:hAnsi="宋体" w:eastAsia="宋体"/>
          <w:sz w:val="32"/>
          <w:szCs w:val="32"/>
        </w:rPr>
        <w:t>（类）</w:t>
      </w:r>
      <w:r>
        <w:rPr>
          <w:rFonts w:hint="eastAsia" w:ascii="宋体" w:hAnsi="宋体" w:eastAsia="宋体"/>
          <w:sz w:val="32"/>
          <w:szCs w:val="32"/>
          <w:lang w:val="en-US" w:eastAsia="zh-CN"/>
        </w:rPr>
        <w:t>民政管理事务</w:t>
      </w:r>
      <w:r>
        <w:rPr>
          <w:rFonts w:hint="eastAsia" w:ascii="宋体" w:hAnsi="宋体" w:eastAsia="宋体"/>
          <w:sz w:val="32"/>
          <w:szCs w:val="32"/>
        </w:rPr>
        <w:t>（款）</w:t>
      </w:r>
      <w:r>
        <w:rPr>
          <w:rFonts w:hint="eastAsia" w:ascii="宋体" w:hAnsi="宋体" w:eastAsia="宋体"/>
          <w:sz w:val="32"/>
          <w:szCs w:val="32"/>
          <w:lang w:val="en-US" w:eastAsia="zh-CN"/>
        </w:rPr>
        <w:t>行政运行</w:t>
      </w:r>
      <w:r>
        <w:rPr>
          <w:rFonts w:hint="eastAsia" w:ascii="宋体" w:hAnsi="宋体" w:eastAsia="宋体"/>
          <w:sz w:val="32"/>
          <w:szCs w:val="32"/>
        </w:rPr>
        <w:t>（项）。</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587.8</w:t>
      </w:r>
      <w:r>
        <w:rPr>
          <w:rFonts w:hint="eastAsia" w:ascii="宋体" w:hAnsi="宋体" w:eastAsia="宋体"/>
          <w:sz w:val="32"/>
          <w:szCs w:val="32"/>
        </w:rPr>
        <w:t>万元，支出决算为</w:t>
      </w:r>
      <w:r>
        <w:rPr>
          <w:rFonts w:hint="eastAsia" w:ascii="宋体" w:hAnsi="宋体" w:eastAsia="宋体"/>
          <w:sz w:val="32"/>
          <w:szCs w:val="32"/>
          <w:lang w:val="en-US" w:eastAsia="zh-CN"/>
        </w:rPr>
        <w:t>565.65</w:t>
      </w:r>
      <w:r>
        <w:rPr>
          <w:rFonts w:hint="eastAsia" w:ascii="宋体" w:hAnsi="宋体" w:eastAsia="宋体"/>
          <w:sz w:val="32"/>
          <w:szCs w:val="32"/>
        </w:rPr>
        <w:t>万元，完成年初预算的</w:t>
      </w:r>
      <w:r>
        <w:rPr>
          <w:rFonts w:hint="eastAsia" w:ascii="宋体" w:hAnsi="宋体" w:eastAsia="宋体"/>
          <w:sz w:val="32"/>
          <w:szCs w:val="32"/>
          <w:lang w:val="en-US" w:eastAsia="zh-CN"/>
        </w:rPr>
        <w:t>96.23</w:t>
      </w:r>
      <w:r>
        <w:rPr>
          <w:rFonts w:hint="eastAsia" w:ascii="宋体" w:hAnsi="宋体" w:eastAsia="宋体"/>
          <w:sz w:val="32"/>
          <w:szCs w:val="32"/>
        </w:rPr>
        <w:t>%，决算数小于年初预算数的主要原因是：</w:t>
      </w:r>
      <w:r>
        <w:rPr>
          <w:rFonts w:hint="eastAsia" w:ascii="宋体" w:hAnsi="宋体" w:eastAsia="宋体"/>
          <w:sz w:val="32"/>
          <w:szCs w:val="32"/>
          <w:lang w:val="en-US" w:eastAsia="zh-CN"/>
        </w:rPr>
        <w:t>厉行节约，压减开支。</w:t>
      </w:r>
    </w:p>
    <w:p>
      <w:pPr>
        <w:pStyle w:val="11"/>
        <w:ind w:firstLine="800" w:firstLineChars="250"/>
        <w:rPr>
          <w:rFonts w:ascii="宋体" w:hAnsi="宋体" w:eastAsia="宋体"/>
          <w:sz w:val="32"/>
          <w:szCs w:val="32"/>
        </w:rPr>
      </w:pPr>
      <w:r>
        <w:rPr>
          <w:rFonts w:hint="eastAsia" w:ascii="宋体" w:hAnsi="宋体" w:eastAsia="宋体"/>
          <w:sz w:val="32"/>
          <w:szCs w:val="32"/>
        </w:rPr>
        <w:t>2、社会保障和就业支出（类）民政管理事务（款）</w:t>
      </w:r>
      <w:r>
        <w:rPr>
          <w:rFonts w:hint="eastAsia" w:ascii="宋体" w:hAnsi="宋体" w:eastAsia="宋体"/>
          <w:sz w:val="32"/>
          <w:szCs w:val="32"/>
          <w:lang w:val="en-US" w:eastAsia="zh-CN"/>
        </w:rPr>
        <w:t>其他民政事务支出</w:t>
      </w:r>
      <w:r>
        <w:rPr>
          <w:rFonts w:hint="eastAsia" w:ascii="宋体" w:hAnsi="宋体" w:eastAsia="宋体"/>
          <w:sz w:val="32"/>
          <w:szCs w:val="32"/>
        </w:rPr>
        <w:t>（项）。</w:t>
      </w:r>
    </w:p>
    <w:p>
      <w:pPr>
        <w:pStyle w:val="11"/>
        <w:ind w:firstLine="800" w:firstLineChars="25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68</w:t>
      </w:r>
      <w:r>
        <w:rPr>
          <w:rFonts w:hint="eastAsia" w:ascii="宋体" w:hAnsi="宋体" w:eastAsia="宋体"/>
          <w:sz w:val="32"/>
          <w:szCs w:val="32"/>
        </w:rPr>
        <w:t>万元，决算数大于年初预算数的主要原因是：</w:t>
      </w:r>
      <w:r>
        <w:rPr>
          <w:rFonts w:hint="eastAsia" w:ascii="宋体" w:hAnsi="宋体" w:eastAsia="宋体"/>
          <w:sz w:val="32"/>
          <w:szCs w:val="32"/>
          <w:lang w:val="en-US" w:eastAsia="zh-CN"/>
        </w:rPr>
        <w:t>上级对此项工作的投入。</w:t>
      </w:r>
    </w:p>
    <w:p>
      <w:pPr>
        <w:pStyle w:val="11"/>
        <w:numPr>
          <w:ilvl w:val="0"/>
          <w:numId w:val="3"/>
        </w:numPr>
        <w:ind w:firstLine="800" w:firstLineChars="250"/>
        <w:rPr>
          <w:rFonts w:hint="eastAsia" w:ascii="宋体" w:hAnsi="宋体" w:eastAsia="宋体"/>
          <w:sz w:val="32"/>
          <w:szCs w:val="32"/>
        </w:rPr>
      </w:pPr>
      <w:r>
        <w:rPr>
          <w:rFonts w:hint="eastAsia" w:ascii="宋体" w:hAnsi="宋体" w:eastAsia="宋体"/>
          <w:sz w:val="32"/>
          <w:szCs w:val="32"/>
        </w:rPr>
        <w:t>社会保障和就业支出（类）</w:t>
      </w:r>
      <w:r>
        <w:rPr>
          <w:rFonts w:hint="eastAsia" w:ascii="宋体" w:hAnsi="宋体" w:eastAsia="宋体"/>
          <w:sz w:val="32"/>
          <w:szCs w:val="32"/>
          <w:lang w:val="en-US" w:eastAsia="zh-CN"/>
        </w:rPr>
        <w:t>行政事业单位养老支出</w:t>
      </w:r>
      <w:r>
        <w:rPr>
          <w:rFonts w:hint="eastAsia" w:ascii="宋体" w:hAnsi="宋体" w:eastAsia="宋体"/>
          <w:sz w:val="32"/>
          <w:szCs w:val="32"/>
        </w:rPr>
        <w:t>（款）</w:t>
      </w:r>
      <w:r>
        <w:rPr>
          <w:rFonts w:hint="eastAsia" w:ascii="宋体" w:hAnsi="宋体" w:eastAsia="宋体"/>
          <w:sz w:val="32"/>
          <w:szCs w:val="32"/>
          <w:lang w:val="en-US" w:eastAsia="zh-CN"/>
        </w:rPr>
        <w:t>机关事业单位基本养老保险缴费支出</w:t>
      </w:r>
      <w:r>
        <w:rPr>
          <w:rFonts w:hint="eastAsia" w:ascii="宋体" w:hAnsi="宋体" w:eastAsia="宋体"/>
          <w:sz w:val="32"/>
          <w:szCs w:val="32"/>
        </w:rPr>
        <w:t>（项）。</w:t>
      </w:r>
    </w:p>
    <w:p>
      <w:pPr>
        <w:pStyle w:val="11"/>
        <w:numPr>
          <w:ilvl w:val="0"/>
          <w:numId w:val="0"/>
        </w:numPr>
        <w:ind w:firstLine="640" w:firstLineChars="20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62.96</w:t>
      </w:r>
      <w:r>
        <w:rPr>
          <w:rFonts w:hint="eastAsia" w:ascii="宋体" w:hAnsi="宋体" w:eastAsia="宋体"/>
          <w:sz w:val="32"/>
          <w:szCs w:val="32"/>
        </w:rPr>
        <w:t>万元，支出决算为</w:t>
      </w:r>
      <w:r>
        <w:rPr>
          <w:rFonts w:hint="eastAsia" w:ascii="宋体" w:hAnsi="宋体" w:eastAsia="宋体"/>
          <w:sz w:val="32"/>
          <w:szCs w:val="32"/>
          <w:lang w:val="en-US" w:eastAsia="zh-CN"/>
        </w:rPr>
        <w:t>62.96</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3"/>
        </w:numPr>
        <w:ind w:firstLine="800" w:firstLineChars="250"/>
        <w:rPr>
          <w:rFonts w:hint="default" w:ascii="宋体" w:hAnsi="宋体" w:eastAsia="宋体"/>
          <w:sz w:val="32"/>
          <w:szCs w:val="32"/>
          <w:lang w:val="en-US" w:eastAsia="zh-CN"/>
        </w:rPr>
      </w:pPr>
      <w:r>
        <w:rPr>
          <w:rFonts w:hint="eastAsia" w:ascii="宋体" w:hAnsi="宋体" w:eastAsia="宋体"/>
          <w:sz w:val="32"/>
          <w:szCs w:val="32"/>
        </w:rPr>
        <w:t>社会保障和就业支出（类）</w:t>
      </w:r>
      <w:r>
        <w:rPr>
          <w:rFonts w:hint="eastAsia" w:ascii="宋体" w:hAnsi="宋体" w:eastAsia="宋体"/>
          <w:sz w:val="32"/>
          <w:szCs w:val="32"/>
          <w:lang w:val="en-US" w:eastAsia="zh-CN"/>
        </w:rPr>
        <w:t>抚恤（款）死亡抚恤（项）。</w:t>
      </w:r>
    </w:p>
    <w:p>
      <w:pPr>
        <w:pStyle w:val="11"/>
        <w:numPr>
          <w:ilvl w:val="0"/>
          <w:numId w:val="0"/>
        </w:numPr>
        <w:ind w:firstLine="640" w:firstLineChars="20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21.92</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0"/>
        </w:num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5、</w:t>
      </w:r>
      <w:r>
        <w:rPr>
          <w:rFonts w:hint="eastAsia" w:ascii="宋体" w:hAnsi="宋体" w:eastAsia="宋体"/>
          <w:sz w:val="32"/>
          <w:szCs w:val="32"/>
        </w:rPr>
        <w:t>社会保障和就业支出（类）</w:t>
      </w:r>
      <w:r>
        <w:rPr>
          <w:rFonts w:hint="eastAsia" w:ascii="宋体" w:hAnsi="宋体" w:eastAsia="宋体"/>
          <w:sz w:val="32"/>
          <w:szCs w:val="32"/>
          <w:lang w:val="en-US" w:eastAsia="zh-CN"/>
        </w:rPr>
        <w:t>社会福利（款）儿童福利（项）。</w:t>
      </w:r>
    </w:p>
    <w:p>
      <w:pPr>
        <w:pStyle w:val="11"/>
        <w:ind w:firstLine="800" w:firstLineChars="25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290</w:t>
      </w:r>
      <w:r>
        <w:rPr>
          <w:rFonts w:hint="eastAsia" w:ascii="宋体" w:hAnsi="宋体" w:eastAsia="宋体"/>
          <w:sz w:val="32"/>
          <w:szCs w:val="32"/>
        </w:rPr>
        <w:t>万元，支出决算为</w:t>
      </w:r>
      <w:r>
        <w:rPr>
          <w:rFonts w:hint="eastAsia" w:ascii="宋体" w:hAnsi="宋体" w:eastAsia="宋体"/>
          <w:sz w:val="32"/>
          <w:szCs w:val="32"/>
          <w:lang w:val="en-US" w:eastAsia="zh-CN"/>
        </w:rPr>
        <w:t>940</w:t>
      </w:r>
      <w:r>
        <w:rPr>
          <w:rFonts w:hint="eastAsia" w:ascii="宋体" w:hAnsi="宋体" w:eastAsia="宋体"/>
          <w:sz w:val="32"/>
          <w:szCs w:val="32"/>
        </w:rPr>
        <w:t>万元，完成年初预算的</w:t>
      </w:r>
      <w:r>
        <w:rPr>
          <w:rFonts w:hint="eastAsia" w:ascii="宋体" w:hAnsi="宋体" w:eastAsia="宋体"/>
          <w:sz w:val="32"/>
          <w:szCs w:val="32"/>
          <w:lang w:val="en-US" w:eastAsia="zh-CN"/>
        </w:rPr>
        <w:t>324.14%，</w:t>
      </w:r>
      <w:r>
        <w:rPr>
          <w:rFonts w:hint="eastAsia" w:ascii="宋体" w:hAnsi="宋体" w:eastAsia="宋体"/>
          <w:sz w:val="32"/>
          <w:szCs w:val="32"/>
        </w:rPr>
        <w:t>决算数大于年初预算数的主要原因是：</w:t>
      </w:r>
      <w:r>
        <w:rPr>
          <w:rFonts w:hint="eastAsia" w:ascii="宋体" w:hAnsi="宋体" w:eastAsia="宋体"/>
          <w:sz w:val="32"/>
          <w:szCs w:val="32"/>
          <w:lang w:val="en-US" w:eastAsia="zh-CN"/>
        </w:rPr>
        <w:t>上级对加大此项工作的投入。</w:t>
      </w:r>
    </w:p>
    <w:p>
      <w:pPr>
        <w:pStyle w:val="11"/>
        <w:numPr>
          <w:ilvl w:val="0"/>
          <w:numId w:val="0"/>
        </w:numPr>
        <w:ind w:firstLine="640" w:firstLineChars="200"/>
        <w:rPr>
          <w:rFonts w:hint="default" w:ascii="宋体" w:hAnsi="宋体" w:eastAsia="宋体"/>
          <w:sz w:val="32"/>
          <w:szCs w:val="32"/>
          <w:lang w:val="en-US" w:eastAsia="zh-CN"/>
        </w:rPr>
      </w:pPr>
      <w:r>
        <w:rPr>
          <w:rFonts w:hint="eastAsia" w:ascii="宋体" w:hAnsi="宋体" w:eastAsia="宋体"/>
          <w:sz w:val="32"/>
          <w:szCs w:val="32"/>
          <w:lang w:val="en-US" w:eastAsia="zh-CN"/>
        </w:rPr>
        <w:t>6、</w:t>
      </w:r>
      <w:r>
        <w:rPr>
          <w:rFonts w:hint="eastAsia" w:ascii="宋体" w:hAnsi="宋体" w:eastAsia="宋体"/>
          <w:sz w:val="32"/>
          <w:szCs w:val="32"/>
        </w:rPr>
        <w:t>社会保障和就业支出（类）</w:t>
      </w:r>
      <w:r>
        <w:rPr>
          <w:rFonts w:hint="eastAsia" w:ascii="宋体" w:hAnsi="宋体" w:eastAsia="宋体"/>
          <w:sz w:val="32"/>
          <w:szCs w:val="32"/>
          <w:lang w:val="en-US" w:eastAsia="zh-CN"/>
        </w:rPr>
        <w:t>社会福利（款）老年福利（项）。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342</w:t>
      </w:r>
      <w:r>
        <w:rPr>
          <w:rFonts w:hint="eastAsia" w:ascii="宋体" w:hAnsi="宋体" w:eastAsia="宋体"/>
          <w:sz w:val="32"/>
          <w:szCs w:val="32"/>
        </w:rPr>
        <w:t>万元，支出决算为</w:t>
      </w:r>
      <w:r>
        <w:rPr>
          <w:rFonts w:hint="eastAsia" w:ascii="宋体" w:hAnsi="宋体" w:eastAsia="宋体"/>
          <w:sz w:val="32"/>
          <w:szCs w:val="32"/>
          <w:lang w:val="en-US" w:eastAsia="zh-CN"/>
        </w:rPr>
        <w:t>325</w:t>
      </w:r>
      <w:r>
        <w:rPr>
          <w:rFonts w:hint="eastAsia" w:ascii="宋体" w:hAnsi="宋体" w:eastAsia="宋体"/>
          <w:sz w:val="32"/>
          <w:szCs w:val="32"/>
        </w:rPr>
        <w:t>万元，完成年初预算的</w:t>
      </w:r>
      <w:r>
        <w:rPr>
          <w:rFonts w:hint="eastAsia" w:ascii="宋体" w:hAnsi="宋体" w:eastAsia="宋体"/>
          <w:sz w:val="32"/>
          <w:szCs w:val="32"/>
          <w:lang w:val="en-US" w:eastAsia="zh-CN"/>
        </w:rPr>
        <w:t>95%，</w:t>
      </w:r>
      <w:r>
        <w:rPr>
          <w:rFonts w:hint="eastAsia" w:ascii="宋体" w:hAnsi="宋体" w:eastAsia="宋体"/>
          <w:sz w:val="32"/>
          <w:szCs w:val="32"/>
        </w:rPr>
        <w:t>决算数</w:t>
      </w:r>
      <w:r>
        <w:rPr>
          <w:rFonts w:hint="eastAsia" w:ascii="宋体" w:hAnsi="宋体" w:eastAsia="宋体"/>
          <w:sz w:val="32"/>
          <w:szCs w:val="32"/>
          <w:lang w:val="en-US" w:eastAsia="zh-CN"/>
        </w:rPr>
        <w:t>小</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7、</w:t>
      </w:r>
      <w:r>
        <w:rPr>
          <w:rFonts w:hint="eastAsia" w:ascii="宋体" w:hAnsi="宋体" w:eastAsia="宋体"/>
          <w:sz w:val="32"/>
          <w:szCs w:val="32"/>
        </w:rPr>
        <w:t>社会保障和就业支出（类）</w:t>
      </w:r>
      <w:r>
        <w:rPr>
          <w:rFonts w:hint="eastAsia" w:ascii="宋体" w:hAnsi="宋体" w:eastAsia="宋体"/>
          <w:sz w:val="32"/>
          <w:szCs w:val="32"/>
          <w:lang w:val="en-US" w:eastAsia="zh-CN"/>
        </w:rPr>
        <w:t>社会福利（款）殡葬（项）。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80</w:t>
      </w:r>
      <w:r>
        <w:rPr>
          <w:rFonts w:hint="eastAsia" w:ascii="宋体" w:hAnsi="宋体" w:eastAsia="宋体"/>
          <w:sz w:val="32"/>
          <w:szCs w:val="32"/>
        </w:rPr>
        <w:t>万元，支出决算为</w:t>
      </w:r>
      <w:r>
        <w:rPr>
          <w:rFonts w:hint="eastAsia" w:ascii="宋体" w:hAnsi="宋体" w:eastAsia="宋体"/>
          <w:sz w:val="32"/>
          <w:szCs w:val="32"/>
          <w:lang w:val="en-US" w:eastAsia="zh-CN"/>
        </w:rPr>
        <w:t>116</w:t>
      </w:r>
      <w:r>
        <w:rPr>
          <w:rFonts w:hint="eastAsia" w:ascii="宋体" w:hAnsi="宋体" w:eastAsia="宋体"/>
          <w:sz w:val="32"/>
          <w:szCs w:val="32"/>
        </w:rPr>
        <w:t>万元，完成年初预算的</w:t>
      </w:r>
      <w:r>
        <w:rPr>
          <w:rFonts w:hint="eastAsia" w:ascii="宋体" w:hAnsi="宋体" w:eastAsia="宋体"/>
          <w:sz w:val="32"/>
          <w:szCs w:val="32"/>
          <w:lang w:val="en-US" w:eastAsia="zh-CN"/>
        </w:rPr>
        <w:t>145%，</w:t>
      </w:r>
      <w:r>
        <w:rPr>
          <w:rFonts w:hint="eastAsia" w:ascii="宋体" w:hAnsi="宋体" w:eastAsia="宋体"/>
          <w:sz w:val="32"/>
          <w:szCs w:val="32"/>
        </w:rPr>
        <w:t>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8、</w:t>
      </w:r>
      <w:r>
        <w:rPr>
          <w:rFonts w:hint="eastAsia" w:ascii="宋体" w:hAnsi="宋体" w:eastAsia="宋体"/>
          <w:sz w:val="32"/>
          <w:szCs w:val="32"/>
        </w:rPr>
        <w:t>社会保障和就业支出（类）</w:t>
      </w:r>
      <w:r>
        <w:rPr>
          <w:rFonts w:hint="eastAsia" w:ascii="宋体" w:hAnsi="宋体" w:eastAsia="宋体"/>
          <w:sz w:val="32"/>
          <w:szCs w:val="32"/>
          <w:lang w:val="en-US" w:eastAsia="zh-CN"/>
        </w:rPr>
        <w:t>社会福利（款）社会福利事业单位（项）。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285.1</w:t>
      </w:r>
      <w:r>
        <w:rPr>
          <w:rFonts w:hint="eastAsia" w:ascii="宋体" w:hAnsi="宋体" w:eastAsia="宋体"/>
          <w:sz w:val="32"/>
          <w:szCs w:val="32"/>
        </w:rPr>
        <w:t>万元，支出决算为</w:t>
      </w:r>
      <w:r>
        <w:rPr>
          <w:rFonts w:hint="eastAsia" w:ascii="宋体" w:hAnsi="宋体" w:eastAsia="宋体"/>
          <w:sz w:val="32"/>
          <w:szCs w:val="32"/>
          <w:lang w:val="en-US" w:eastAsia="zh-CN"/>
        </w:rPr>
        <w:t>244</w:t>
      </w:r>
      <w:r>
        <w:rPr>
          <w:rFonts w:hint="eastAsia" w:ascii="宋体" w:hAnsi="宋体" w:eastAsia="宋体"/>
          <w:sz w:val="32"/>
          <w:szCs w:val="32"/>
        </w:rPr>
        <w:t>万元，完成年初预算的</w:t>
      </w:r>
      <w:r>
        <w:rPr>
          <w:rFonts w:hint="eastAsia" w:ascii="宋体" w:hAnsi="宋体" w:eastAsia="宋体"/>
          <w:sz w:val="32"/>
          <w:szCs w:val="32"/>
          <w:lang w:val="en-US" w:eastAsia="zh-CN"/>
        </w:rPr>
        <w:t>85.58%，</w:t>
      </w:r>
      <w:r>
        <w:rPr>
          <w:rFonts w:hint="eastAsia" w:ascii="宋体" w:hAnsi="宋体" w:eastAsia="宋体"/>
          <w:sz w:val="32"/>
          <w:szCs w:val="32"/>
        </w:rPr>
        <w:t>决算数</w:t>
      </w:r>
      <w:r>
        <w:rPr>
          <w:rFonts w:hint="eastAsia" w:ascii="宋体" w:hAnsi="宋体" w:eastAsia="宋体"/>
          <w:sz w:val="32"/>
          <w:szCs w:val="32"/>
          <w:lang w:val="en-US" w:eastAsia="zh-CN"/>
        </w:rPr>
        <w:t>小</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9、</w:t>
      </w:r>
      <w:r>
        <w:rPr>
          <w:rFonts w:hint="eastAsia" w:ascii="宋体" w:hAnsi="宋体" w:eastAsia="宋体"/>
          <w:sz w:val="32"/>
          <w:szCs w:val="32"/>
        </w:rPr>
        <w:t>社会保障和就业支出（类）</w:t>
      </w:r>
      <w:r>
        <w:rPr>
          <w:rFonts w:hint="eastAsia" w:ascii="宋体" w:hAnsi="宋体" w:eastAsia="宋体"/>
          <w:sz w:val="32"/>
          <w:szCs w:val="32"/>
          <w:lang w:val="en-US" w:eastAsia="zh-CN"/>
        </w:rPr>
        <w:t>社会福利（款）养老服务（项）。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100</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10、</w:t>
      </w:r>
      <w:r>
        <w:rPr>
          <w:rFonts w:hint="eastAsia" w:ascii="宋体" w:hAnsi="宋体" w:eastAsia="宋体"/>
          <w:sz w:val="32"/>
          <w:szCs w:val="32"/>
        </w:rPr>
        <w:t>社会保障和就业支出（类）</w:t>
      </w:r>
      <w:r>
        <w:rPr>
          <w:rFonts w:hint="eastAsia" w:ascii="宋体" w:hAnsi="宋体" w:eastAsia="宋体"/>
          <w:sz w:val="32"/>
          <w:szCs w:val="32"/>
          <w:lang w:val="en-US" w:eastAsia="zh-CN"/>
        </w:rPr>
        <w:t>残疾人事业（款）残疾人生活和护理补贴（项）。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207</w:t>
      </w:r>
      <w:r>
        <w:rPr>
          <w:rFonts w:hint="eastAsia" w:ascii="宋体" w:hAnsi="宋体" w:eastAsia="宋体"/>
          <w:sz w:val="32"/>
          <w:szCs w:val="32"/>
        </w:rPr>
        <w:t>万元，支出决算为</w:t>
      </w:r>
      <w:r>
        <w:rPr>
          <w:rFonts w:hint="eastAsia" w:ascii="宋体" w:hAnsi="宋体" w:eastAsia="宋体"/>
          <w:sz w:val="32"/>
          <w:szCs w:val="32"/>
          <w:lang w:val="en-US" w:eastAsia="zh-CN"/>
        </w:rPr>
        <w:t>734.2</w:t>
      </w:r>
      <w:r>
        <w:rPr>
          <w:rFonts w:hint="eastAsia" w:ascii="宋体" w:hAnsi="宋体" w:eastAsia="宋体"/>
          <w:sz w:val="32"/>
          <w:szCs w:val="32"/>
        </w:rPr>
        <w:t>万元，完成年初预算的</w:t>
      </w:r>
      <w:r>
        <w:rPr>
          <w:rFonts w:hint="eastAsia" w:ascii="宋体" w:hAnsi="宋体" w:eastAsia="宋体"/>
          <w:sz w:val="32"/>
          <w:szCs w:val="32"/>
          <w:lang w:val="en-US" w:eastAsia="zh-CN"/>
        </w:rPr>
        <w:t>354.68%，</w:t>
      </w:r>
      <w:r>
        <w:rPr>
          <w:rFonts w:hint="eastAsia" w:ascii="宋体" w:hAnsi="宋体" w:eastAsia="宋体"/>
          <w:sz w:val="32"/>
          <w:szCs w:val="32"/>
        </w:rPr>
        <w:t>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11、</w:t>
      </w:r>
      <w:r>
        <w:rPr>
          <w:rFonts w:hint="eastAsia" w:ascii="宋体" w:hAnsi="宋体" w:eastAsia="宋体"/>
          <w:sz w:val="32"/>
          <w:szCs w:val="32"/>
        </w:rPr>
        <w:t>社会保障和就业支出（类）</w:t>
      </w:r>
      <w:r>
        <w:rPr>
          <w:rFonts w:hint="eastAsia" w:ascii="宋体" w:hAnsi="宋体" w:eastAsia="宋体"/>
          <w:sz w:val="32"/>
          <w:szCs w:val="32"/>
          <w:lang w:val="en-US" w:eastAsia="zh-CN"/>
        </w:rPr>
        <w:t>最低生活保障（款）城市最低生活保障金支出（项）。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300</w:t>
      </w:r>
      <w:r>
        <w:rPr>
          <w:rFonts w:hint="eastAsia" w:ascii="宋体" w:hAnsi="宋体" w:eastAsia="宋体"/>
          <w:sz w:val="32"/>
          <w:szCs w:val="32"/>
        </w:rPr>
        <w:t>万元，支出决算为</w:t>
      </w:r>
      <w:r>
        <w:rPr>
          <w:rFonts w:hint="eastAsia" w:ascii="宋体" w:hAnsi="宋体" w:eastAsia="宋体"/>
          <w:sz w:val="32"/>
          <w:szCs w:val="32"/>
          <w:lang w:val="en-US" w:eastAsia="zh-CN"/>
        </w:rPr>
        <w:t>1579</w:t>
      </w:r>
      <w:r>
        <w:rPr>
          <w:rFonts w:hint="eastAsia" w:ascii="宋体" w:hAnsi="宋体" w:eastAsia="宋体"/>
          <w:sz w:val="32"/>
          <w:szCs w:val="32"/>
        </w:rPr>
        <w:t>万元，完成年初预算的</w:t>
      </w:r>
      <w:r>
        <w:rPr>
          <w:rFonts w:hint="eastAsia" w:ascii="宋体" w:hAnsi="宋体" w:eastAsia="宋体"/>
          <w:sz w:val="32"/>
          <w:szCs w:val="32"/>
          <w:lang w:val="en-US" w:eastAsia="zh-CN"/>
        </w:rPr>
        <w:t>526.33%，</w:t>
      </w:r>
      <w:r>
        <w:rPr>
          <w:rFonts w:hint="eastAsia" w:ascii="宋体" w:hAnsi="宋体" w:eastAsia="宋体"/>
          <w:sz w:val="32"/>
          <w:szCs w:val="32"/>
        </w:rPr>
        <w:t>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上级加大对此项工作的投入。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12、</w:t>
      </w:r>
      <w:r>
        <w:rPr>
          <w:rFonts w:hint="eastAsia" w:ascii="宋体" w:hAnsi="宋体" w:eastAsia="宋体"/>
          <w:sz w:val="32"/>
          <w:szCs w:val="32"/>
        </w:rPr>
        <w:t>社会保障和就业支出（类）</w:t>
      </w:r>
      <w:r>
        <w:rPr>
          <w:rFonts w:hint="eastAsia" w:ascii="宋体" w:hAnsi="宋体" w:eastAsia="宋体"/>
          <w:sz w:val="32"/>
          <w:szCs w:val="32"/>
          <w:lang w:val="en-US" w:eastAsia="zh-CN"/>
        </w:rPr>
        <w:t>最低生活保障（款）农村最低生活保障金支出（项）。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680</w:t>
      </w:r>
      <w:r>
        <w:rPr>
          <w:rFonts w:hint="eastAsia" w:ascii="宋体" w:hAnsi="宋体" w:eastAsia="宋体"/>
          <w:sz w:val="32"/>
          <w:szCs w:val="32"/>
        </w:rPr>
        <w:t>万元，支出决算为</w:t>
      </w:r>
      <w:r>
        <w:rPr>
          <w:rFonts w:hint="eastAsia" w:ascii="宋体" w:hAnsi="宋体" w:eastAsia="宋体"/>
          <w:sz w:val="32"/>
          <w:szCs w:val="32"/>
          <w:lang w:val="en-US" w:eastAsia="zh-CN"/>
        </w:rPr>
        <w:t>3966</w:t>
      </w:r>
      <w:r>
        <w:rPr>
          <w:rFonts w:hint="eastAsia" w:ascii="宋体" w:hAnsi="宋体" w:eastAsia="宋体"/>
          <w:sz w:val="32"/>
          <w:szCs w:val="32"/>
        </w:rPr>
        <w:t>万元，完成年初预算的</w:t>
      </w:r>
      <w:r>
        <w:rPr>
          <w:rFonts w:hint="eastAsia" w:ascii="宋体" w:hAnsi="宋体" w:eastAsia="宋体"/>
          <w:sz w:val="32"/>
          <w:szCs w:val="32"/>
          <w:lang w:val="en-US" w:eastAsia="zh-CN"/>
        </w:rPr>
        <w:t>583.23%，</w:t>
      </w:r>
      <w:r>
        <w:rPr>
          <w:rFonts w:hint="eastAsia" w:ascii="宋体" w:hAnsi="宋体" w:eastAsia="宋体"/>
          <w:sz w:val="32"/>
          <w:szCs w:val="32"/>
        </w:rPr>
        <w:t>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上级加大对此项工作的投入。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13、</w:t>
      </w:r>
      <w:r>
        <w:rPr>
          <w:rFonts w:hint="eastAsia" w:ascii="宋体" w:hAnsi="宋体" w:eastAsia="宋体"/>
          <w:sz w:val="32"/>
          <w:szCs w:val="32"/>
        </w:rPr>
        <w:t>社会保障和就业支出（类）</w:t>
      </w:r>
      <w:r>
        <w:rPr>
          <w:rFonts w:hint="eastAsia" w:ascii="宋体" w:hAnsi="宋体" w:eastAsia="宋体"/>
          <w:sz w:val="32"/>
          <w:szCs w:val="32"/>
          <w:lang w:val="en-US" w:eastAsia="zh-CN"/>
        </w:rPr>
        <w:t>临时救助（款）临时救助支出（项）。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608</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14、</w:t>
      </w:r>
      <w:r>
        <w:rPr>
          <w:rFonts w:hint="eastAsia" w:ascii="宋体" w:hAnsi="宋体" w:eastAsia="宋体"/>
          <w:sz w:val="32"/>
          <w:szCs w:val="32"/>
        </w:rPr>
        <w:t>社会保障和就业支出（类）</w:t>
      </w:r>
      <w:r>
        <w:rPr>
          <w:rFonts w:hint="eastAsia" w:ascii="宋体" w:hAnsi="宋体" w:eastAsia="宋体"/>
          <w:sz w:val="32"/>
          <w:szCs w:val="32"/>
          <w:lang w:val="en-US" w:eastAsia="zh-CN"/>
        </w:rPr>
        <w:t>临时救助（款）流浪乞讨人员救助支出（项）。</w:t>
      </w:r>
    </w:p>
    <w:p>
      <w:pPr>
        <w:pStyle w:val="11"/>
        <w:numPr>
          <w:ilvl w:val="0"/>
          <w:numId w:val="0"/>
        </w:numPr>
        <w:ind w:firstLine="64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60</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15、</w:t>
      </w:r>
      <w:r>
        <w:rPr>
          <w:rFonts w:hint="eastAsia" w:ascii="宋体" w:hAnsi="宋体" w:eastAsia="宋体"/>
          <w:sz w:val="32"/>
          <w:szCs w:val="32"/>
        </w:rPr>
        <w:t>社会保障和就业支出（类）</w:t>
      </w:r>
      <w:r>
        <w:rPr>
          <w:rFonts w:hint="eastAsia" w:ascii="宋体" w:hAnsi="宋体" w:eastAsia="宋体"/>
          <w:sz w:val="32"/>
          <w:szCs w:val="32"/>
          <w:lang w:val="en-US" w:eastAsia="zh-CN"/>
        </w:rPr>
        <w:t>特困人员救助供养（款）城市特困人员救助供养支出（项）</w:t>
      </w:r>
    </w:p>
    <w:p>
      <w:pPr>
        <w:pStyle w:val="11"/>
        <w:numPr>
          <w:ilvl w:val="0"/>
          <w:numId w:val="0"/>
        </w:numPr>
        <w:ind w:firstLine="64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144</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16、</w:t>
      </w:r>
      <w:r>
        <w:rPr>
          <w:rFonts w:hint="eastAsia" w:ascii="宋体" w:hAnsi="宋体" w:eastAsia="宋体"/>
          <w:sz w:val="32"/>
          <w:szCs w:val="32"/>
        </w:rPr>
        <w:t>社会保障和就业支出（类）</w:t>
      </w:r>
      <w:r>
        <w:rPr>
          <w:rFonts w:hint="eastAsia" w:ascii="宋体" w:hAnsi="宋体" w:eastAsia="宋体"/>
          <w:sz w:val="32"/>
          <w:szCs w:val="32"/>
          <w:lang w:val="en-US" w:eastAsia="zh-CN"/>
        </w:rPr>
        <w:t>特困人员救助供养（款）农村特困人员救助供养支出（项）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2500</w:t>
      </w:r>
      <w:r>
        <w:rPr>
          <w:rFonts w:hint="eastAsia" w:ascii="宋体" w:hAnsi="宋体" w:eastAsia="宋体"/>
          <w:sz w:val="32"/>
          <w:szCs w:val="32"/>
        </w:rPr>
        <w:t>万元，支出决算为</w:t>
      </w:r>
      <w:r>
        <w:rPr>
          <w:rFonts w:hint="eastAsia" w:ascii="宋体" w:hAnsi="宋体" w:eastAsia="宋体"/>
          <w:sz w:val="32"/>
          <w:szCs w:val="32"/>
          <w:lang w:val="en-US" w:eastAsia="zh-CN"/>
        </w:rPr>
        <w:t>4414</w:t>
      </w:r>
      <w:r>
        <w:rPr>
          <w:rFonts w:hint="eastAsia" w:ascii="宋体" w:hAnsi="宋体" w:eastAsia="宋体"/>
          <w:sz w:val="32"/>
          <w:szCs w:val="32"/>
        </w:rPr>
        <w:t>万元，完成年初预算的</w:t>
      </w:r>
      <w:r>
        <w:rPr>
          <w:rFonts w:hint="eastAsia" w:ascii="宋体" w:hAnsi="宋体" w:eastAsia="宋体"/>
          <w:sz w:val="32"/>
          <w:szCs w:val="32"/>
          <w:lang w:val="en-US" w:eastAsia="zh-CN"/>
        </w:rPr>
        <w:t>176.56%</w:t>
      </w:r>
      <w:r>
        <w:rPr>
          <w:rFonts w:hint="eastAsia" w:ascii="宋体" w:hAnsi="宋体" w:eastAsia="宋体"/>
          <w:sz w:val="32"/>
          <w:szCs w:val="32"/>
        </w:rPr>
        <w:t>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上级加大对此项工作的投入。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17、</w:t>
      </w:r>
      <w:r>
        <w:rPr>
          <w:rFonts w:hint="eastAsia" w:ascii="宋体" w:hAnsi="宋体" w:eastAsia="宋体"/>
          <w:sz w:val="32"/>
          <w:szCs w:val="32"/>
        </w:rPr>
        <w:t>社会保障和就业支出（类）</w:t>
      </w:r>
      <w:r>
        <w:rPr>
          <w:rFonts w:hint="eastAsia" w:ascii="宋体" w:hAnsi="宋体" w:eastAsia="宋体"/>
          <w:sz w:val="32"/>
          <w:szCs w:val="32"/>
          <w:lang w:val="en-US" w:eastAsia="zh-CN"/>
        </w:rPr>
        <w:t>其他生活救助（款）其他农村生活救助（项）。</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61.53</w:t>
      </w:r>
      <w:r>
        <w:rPr>
          <w:rFonts w:hint="eastAsia" w:ascii="宋体" w:hAnsi="宋体" w:eastAsia="宋体"/>
          <w:sz w:val="32"/>
          <w:szCs w:val="32"/>
        </w:rPr>
        <w:t>万元，决算数</w:t>
      </w:r>
      <w:r>
        <w:rPr>
          <w:rFonts w:hint="eastAsia" w:ascii="宋体" w:hAnsi="宋体" w:eastAsia="宋体"/>
          <w:sz w:val="32"/>
          <w:szCs w:val="32"/>
          <w:lang w:val="en-US" w:eastAsia="zh-CN"/>
        </w:rPr>
        <w:t>大</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上级对此项工作的投入。</w:t>
      </w:r>
    </w:p>
    <w:p>
      <w:pPr>
        <w:pStyle w:val="11"/>
        <w:numPr>
          <w:ilvl w:val="0"/>
          <w:numId w:val="0"/>
        </w:numPr>
        <w:ind w:firstLine="640"/>
        <w:rPr>
          <w:rFonts w:hint="eastAsia" w:ascii="宋体" w:hAnsi="宋体" w:eastAsia="宋体"/>
          <w:sz w:val="32"/>
          <w:szCs w:val="32"/>
          <w:lang w:val="en-US" w:eastAsia="zh-CN"/>
        </w:rPr>
      </w:pPr>
      <w:r>
        <w:rPr>
          <w:rFonts w:hint="eastAsia" w:ascii="宋体" w:hAnsi="宋体" w:eastAsia="宋体"/>
          <w:sz w:val="32"/>
          <w:szCs w:val="32"/>
          <w:lang w:val="en-US" w:eastAsia="zh-CN"/>
        </w:rPr>
        <w:t>18、卫生健康支出（类）行政事业单位医疗（款）行政单位医疗（项）。</w:t>
      </w:r>
    </w:p>
    <w:p>
      <w:pPr>
        <w:pStyle w:val="11"/>
        <w:numPr>
          <w:ilvl w:val="0"/>
          <w:numId w:val="0"/>
        </w:numPr>
        <w:ind w:firstLine="640" w:firstLineChars="20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31.48</w:t>
      </w:r>
      <w:r>
        <w:rPr>
          <w:rFonts w:hint="eastAsia" w:ascii="宋体" w:hAnsi="宋体" w:eastAsia="宋体"/>
          <w:sz w:val="32"/>
          <w:szCs w:val="32"/>
        </w:rPr>
        <w:t>万元，支出决算为</w:t>
      </w:r>
      <w:r>
        <w:rPr>
          <w:rFonts w:hint="eastAsia" w:ascii="宋体" w:hAnsi="宋体" w:eastAsia="宋体"/>
          <w:sz w:val="32"/>
          <w:szCs w:val="32"/>
          <w:lang w:val="en-US" w:eastAsia="zh-CN"/>
        </w:rPr>
        <w:t>31.48</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w:t>
      </w:r>
      <w:r>
        <w:rPr>
          <w:rFonts w:hint="eastAsia" w:ascii="宋体" w:hAnsi="宋体" w:eastAsia="宋体"/>
          <w:sz w:val="32"/>
          <w:szCs w:val="32"/>
        </w:rPr>
        <w:t>于年初预算数的主要原因是：</w:t>
      </w:r>
      <w:r>
        <w:rPr>
          <w:rFonts w:hint="eastAsia" w:ascii="宋体" w:hAnsi="宋体" w:eastAsia="宋体"/>
          <w:sz w:val="32"/>
          <w:szCs w:val="32"/>
          <w:lang w:val="en-US" w:eastAsia="zh-CN"/>
        </w:rPr>
        <w:t>据实核拨。</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660.09</w:t>
      </w:r>
      <w:r>
        <w:rPr>
          <w:rFonts w:hint="eastAsia" w:ascii="宋体" w:hAnsi="宋体" w:eastAsia="宋体"/>
          <w:sz w:val="32"/>
          <w:szCs w:val="32"/>
        </w:rPr>
        <w:t>万元，其中：人员经费</w:t>
      </w:r>
      <w:r>
        <w:rPr>
          <w:rFonts w:hint="eastAsia" w:ascii="宋体" w:hAnsi="宋体" w:eastAsia="宋体"/>
          <w:sz w:val="32"/>
          <w:szCs w:val="32"/>
          <w:lang w:val="en-US" w:eastAsia="zh-CN"/>
        </w:rPr>
        <w:t>555.81</w:t>
      </w:r>
      <w:r>
        <w:rPr>
          <w:rFonts w:hint="eastAsia" w:ascii="宋体" w:hAnsi="宋体" w:eastAsia="宋体"/>
          <w:sz w:val="32"/>
          <w:szCs w:val="32"/>
        </w:rPr>
        <w:t>万元，占基本支出的</w:t>
      </w:r>
      <w:r>
        <w:rPr>
          <w:rFonts w:hint="eastAsia" w:ascii="宋体" w:hAnsi="宋体" w:eastAsia="宋体"/>
          <w:sz w:val="32"/>
          <w:szCs w:val="32"/>
          <w:lang w:val="en-US" w:eastAsia="zh-CN"/>
        </w:rPr>
        <w:t>84.2</w:t>
      </w:r>
      <w:r>
        <w:rPr>
          <w:rFonts w:hint="eastAsia" w:ascii="宋体" w:hAnsi="宋体" w:eastAsia="宋体"/>
          <w:sz w:val="32"/>
          <w:szCs w:val="32"/>
        </w:rPr>
        <w:t>%,主要包括基本工资、津贴补贴、奖金、</w:t>
      </w:r>
      <w:r>
        <w:rPr>
          <w:rFonts w:hint="eastAsia" w:ascii="宋体" w:hAnsi="宋体" w:eastAsia="宋体"/>
          <w:sz w:val="32"/>
          <w:szCs w:val="32"/>
          <w:lang w:val="en-US" w:eastAsia="zh-CN"/>
        </w:rPr>
        <w:t>社会保障缴费等</w:t>
      </w:r>
      <w:r>
        <w:rPr>
          <w:rFonts w:hint="eastAsia" w:ascii="宋体" w:hAnsi="宋体" w:eastAsia="宋体"/>
          <w:sz w:val="32"/>
          <w:szCs w:val="32"/>
        </w:rPr>
        <w:t>；公用经费</w:t>
      </w:r>
      <w:r>
        <w:rPr>
          <w:rFonts w:hint="eastAsia" w:ascii="宋体" w:hAnsi="宋体" w:eastAsia="宋体"/>
          <w:sz w:val="32"/>
          <w:szCs w:val="32"/>
          <w:lang w:val="en-US" w:eastAsia="zh-CN"/>
        </w:rPr>
        <w:t>104.28</w:t>
      </w:r>
      <w:r>
        <w:rPr>
          <w:rFonts w:hint="eastAsia" w:ascii="宋体" w:hAnsi="宋体" w:eastAsia="宋体"/>
          <w:sz w:val="32"/>
          <w:szCs w:val="32"/>
        </w:rPr>
        <w:t>万元，占基本支出的</w:t>
      </w:r>
      <w:r>
        <w:rPr>
          <w:rFonts w:hint="eastAsia" w:ascii="宋体" w:hAnsi="宋体" w:eastAsia="宋体"/>
          <w:sz w:val="32"/>
          <w:szCs w:val="32"/>
          <w:lang w:val="en-US" w:eastAsia="zh-CN"/>
        </w:rPr>
        <w:t>15.8</w:t>
      </w:r>
      <w:r>
        <w:rPr>
          <w:rFonts w:hint="eastAsia" w:ascii="宋体" w:hAnsi="宋体" w:eastAsia="宋体"/>
          <w:sz w:val="32"/>
          <w:szCs w:val="32"/>
        </w:rPr>
        <w:t>%，主要包括办公费、印刷费、</w:t>
      </w:r>
      <w:r>
        <w:rPr>
          <w:rFonts w:hint="eastAsia" w:ascii="宋体" w:hAnsi="宋体" w:eastAsia="宋体"/>
          <w:sz w:val="32"/>
          <w:szCs w:val="32"/>
          <w:lang w:val="en-US" w:eastAsia="zh-CN"/>
        </w:rPr>
        <w:t>会议费、培训费、公务接待费、公务用车运行维护费等</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hint="eastAsia"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14.5</w:t>
      </w:r>
      <w:r>
        <w:rPr>
          <w:rFonts w:hint="eastAsia" w:ascii="宋体" w:hAnsi="宋体" w:eastAsia="宋体"/>
          <w:sz w:val="32"/>
          <w:szCs w:val="32"/>
        </w:rPr>
        <w:t>万元，支出决算为</w:t>
      </w:r>
      <w:r>
        <w:rPr>
          <w:rFonts w:hint="eastAsia" w:ascii="宋体" w:hAnsi="宋体" w:eastAsia="宋体"/>
          <w:sz w:val="32"/>
          <w:szCs w:val="32"/>
          <w:lang w:val="en-US" w:eastAsia="zh-CN"/>
        </w:rPr>
        <w:t>13.7</w:t>
      </w:r>
      <w:r>
        <w:rPr>
          <w:rFonts w:hint="eastAsia" w:ascii="宋体" w:hAnsi="宋体" w:eastAsia="宋体"/>
          <w:sz w:val="32"/>
          <w:szCs w:val="32"/>
        </w:rPr>
        <w:t>万元，完成预算的</w:t>
      </w:r>
      <w:r>
        <w:rPr>
          <w:rFonts w:hint="eastAsia" w:ascii="宋体" w:hAnsi="宋体" w:eastAsia="宋体"/>
          <w:sz w:val="32"/>
          <w:szCs w:val="32"/>
          <w:lang w:val="en-US" w:eastAsia="zh-CN"/>
        </w:rPr>
        <w:t>94.48</w:t>
      </w:r>
      <w:r>
        <w:rPr>
          <w:rFonts w:hint="eastAsia" w:ascii="宋体" w:hAnsi="宋体" w:eastAsia="宋体"/>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宋体" w:hAnsi="宋体" w:eastAsia="宋体" w:cs="宋体"/>
          <w:color w:val="000000"/>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10</w:t>
      </w:r>
      <w:r>
        <w:rPr>
          <w:rFonts w:hint="eastAsia" w:ascii="宋体" w:hAnsi="宋体" w:eastAsia="宋体"/>
          <w:sz w:val="32"/>
          <w:szCs w:val="32"/>
        </w:rPr>
        <w:t>万元，支出决算为</w:t>
      </w:r>
      <w:r>
        <w:rPr>
          <w:rFonts w:hint="eastAsia" w:ascii="宋体" w:hAnsi="宋体" w:eastAsia="宋体"/>
          <w:sz w:val="32"/>
          <w:szCs w:val="32"/>
          <w:lang w:val="en-US" w:eastAsia="zh-CN"/>
        </w:rPr>
        <w:t>9.5</w:t>
      </w:r>
      <w:r>
        <w:rPr>
          <w:rFonts w:hint="eastAsia" w:ascii="宋体" w:hAnsi="宋体" w:eastAsia="宋体"/>
          <w:sz w:val="32"/>
          <w:szCs w:val="32"/>
        </w:rPr>
        <w:t>万元，完成预算的</w:t>
      </w:r>
      <w:r>
        <w:rPr>
          <w:rFonts w:hint="eastAsia" w:ascii="宋体" w:hAnsi="宋体" w:eastAsia="宋体"/>
          <w:sz w:val="32"/>
          <w:szCs w:val="32"/>
          <w:lang w:val="en-US" w:eastAsia="zh-CN"/>
        </w:rPr>
        <w:t>95</w:t>
      </w:r>
      <w:r>
        <w:rPr>
          <w:rFonts w:hint="eastAsia" w:ascii="宋体" w:hAnsi="宋体" w:eastAsia="宋体"/>
          <w:sz w:val="32"/>
          <w:szCs w:val="32"/>
        </w:rPr>
        <w:t>%，决算数小于预算数的主要原因是</w:t>
      </w:r>
      <w:r>
        <w:rPr>
          <w:rFonts w:hint="eastAsia" w:ascii="宋体" w:hAnsi="宋体" w:eastAsia="宋体"/>
          <w:sz w:val="32"/>
          <w:szCs w:val="32"/>
          <w:lang w:val="en-US" w:eastAsia="zh-CN"/>
        </w:rPr>
        <w:t>厉行节约，压减开支</w:t>
      </w:r>
      <w:r>
        <w:rPr>
          <w:rFonts w:hint="eastAsia" w:ascii="宋体" w:hAnsi="宋体" w:eastAsia="宋体"/>
          <w:sz w:val="32"/>
          <w:szCs w:val="32"/>
        </w:rPr>
        <w:t>，与上年相比减少</w:t>
      </w:r>
      <w:r>
        <w:rPr>
          <w:rFonts w:hint="eastAsia" w:ascii="宋体" w:hAnsi="宋体" w:eastAsia="宋体"/>
          <w:sz w:val="32"/>
          <w:szCs w:val="32"/>
          <w:lang w:val="en-US" w:eastAsia="zh-CN"/>
        </w:rPr>
        <w:t>0.5</w:t>
      </w:r>
      <w:r>
        <w:rPr>
          <w:rFonts w:hint="eastAsia" w:ascii="宋体" w:hAnsi="宋体" w:eastAsia="宋体"/>
          <w:sz w:val="32"/>
          <w:szCs w:val="32"/>
        </w:rPr>
        <w:t>万元，减少</w:t>
      </w:r>
      <w:r>
        <w:rPr>
          <w:rFonts w:hint="eastAsia" w:ascii="宋体" w:hAnsi="宋体" w:eastAsia="宋体"/>
          <w:sz w:val="32"/>
          <w:szCs w:val="32"/>
          <w:lang w:val="en-US" w:eastAsia="zh-CN"/>
        </w:rPr>
        <w:t>5</w:t>
      </w:r>
      <w:r>
        <w:rPr>
          <w:rFonts w:hint="eastAsia" w:ascii="宋体" w:hAnsi="宋体" w:eastAsia="宋体"/>
          <w:sz w:val="32"/>
          <w:szCs w:val="32"/>
        </w:rPr>
        <w:t>%,减少的主要原因是</w:t>
      </w:r>
      <w:r>
        <w:rPr>
          <w:rFonts w:hint="eastAsia" w:ascii="宋体" w:hAnsi="宋体" w:eastAsia="宋体"/>
          <w:sz w:val="32"/>
          <w:szCs w:val="32"/>
          <w:lang w:val="en-US" w:eastAsia="zh-CN"/>
        </w:rPr>
        <w:t>厉行节约，压减开支</w:t>
      </w:r>
      <w:r>
        <w:rPr>
          <w:rFonts w:hint="eastAsia" w:ascii="宋体" w:hAnsi="宋体" w:eastAsia="宋体"/>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宋体" w:hAnsi="宋体" w:eastAsia="宋体"/>
          <w:sz w:val="32"/>
          <w:szCs w:val="32"/>
        </w:rPr>
      </w:pPr>
      <w:bookmarkStart w:id="3" w:name="_GoBack"/>
      <w:bookmarkEnd w:id="3"/>
      <w:r>
        <w:rPr>
          <w:rFonts w:hint="eastAsia" w:ascii="宋体" w:hAnsi="宋体" w:eastAsia="宋体"/>
          <w:sz w:val="32"/>
          <w:szCs w:val="32"/>
        </w:rPr>
        <w:t>公务用车运行维护费支出预算为</w:t>
      </w:r>
      <w:r>
        <w:rPr>
          <w:rFonts w:hint="eastAsia" w:ascii="宋体" w:hAnsi="宋体" w:eastAsia="宋体"/>
          <w:sz w:val="32"/>
          <w:szCs w:val="32"/>
          <w:lang w:val="en-US" w:eastAsia="zh-CN"/>
        </w:rPr>
        <w:t>4.5</w:t>
      </w:r>
      <w:r>
        <w:rPr>
          <w:rFonts w:hint="eastAsia" w:ascii="宋体" w:hAnsi="宋体" w:eastAsia="宋体"/>
          <w:sz w:val="32"/>
          <w:szCs w:val="32"/>
        </w:rPr>
        <w:t>万元，支出决算为</w:t>
      </w:r>
      <w:r>
        <w:rPr>
          <w:rFonts w:hint="eastAsia" w:ascii="宋体" w:hAnsi="宋体" w:eastAsia="宋体"/>
          <w:sz w:val="32"/>
          <w:szCs w:val="32"/>
          <w:lang w:val="en-US" w:eastAsia="zh-CN"/>
        </w:rPr>
        <w:t>4.2</w:t>
      </w:r>
      <w:r>
        <w:rPr>
          <w:rFonts w:hint="eastAsia" w:ascii="宋体" w:hAnsi="宋体" w:eastAsia="宋体"/>
          <w:sz w:val="32"/>
          <w:szCs w:val="32"/>
        </w:rPr>
        <w:t>万元，完成预算的</w:t>
      </w:r>
      <w:r>
        <w:rPr>
          <w:rFonts w:hint="eastAsia" w:ascii="宋体" w:hAnsi="宋体" w:eastAsia="宋体"/>
          <w:sz w:val="32"/>
          <w:szCs w:val="32"/>
          <w:lang w:val="en-US" w:eastAsia="zh-CN"/>
        </w:rPr>
        <w:t>93.33</w:t>
      </w:r>
      <w:r>
        <w:rPr>
          <w:rFonts w:hint="eastAsia" w:ascii="宋体" w:hAnsi="宋体" w:eastAsia="宋体"/>
          <w:sz w:val="32"/>
          <w:szCs w:val="32"/>
        </w:rPr>
        <w:t>%，决算数小于预算数的主要原因是</w:t>
      </w:r>
      <w:r>
        <w:rPr>
          <w:rFonts w:hint="eastAsia" w:ascii="宋体" w:hAnsi="宋体" w:eastAsia="宋体"/>
          <w:sz w:val="32"/>
          <w:szCs w:val="32"/>
          <w:lang w:val="en-US" w:eastAsia="zh-CN"/>
        </w:rPr>
        <w:t>厉行节约，压减开支</w:t>
      </w:r>
      <w:r>
        <w:rPr>
          <w:rFonts w:hint="eastAsia" w:ascii="宋体" w:hAnsi="宋体" w:eastAsia="宋体"/>
          <w:sz w:val="32"/>
          <w:szCs w:val="32"/>
        </w:rPr>
        <w:t>，与上年相比减少</w:t>
      </w:r>
      <w:r>
        <w:rPr>
          <w:rFonts w:hint="eastAsia" w:ascii="宋体" w:hAnsi="宋体" w:eastAsia="宋体"/>
          <w:sz w:val="32"/>
          <w:szCs w:val="32"/>
          <w:lang w:val="en-US" w:eastAsia="zh-CN"/>
        </w:rPr>
        <w:t>0.8</w:t>
      </w:r>
      <w:r>
        <w:rPr>
          <w:rFonts w:hint="eastAsia" w:ascii="宋体" w:hAnsi="宋体" w:eastAsia="宋体"/>
          <w:sz w:val="32"/>
          <w:szCs w:val="32"/>
        </w:rPr>
        <w:t>万元，减少</w:t>
      </w:r>
      <w:r>
        <w:rPr>
          <w:rFonts w:hint="eastAsia" w:ascii="宋体" w:hAnsi="宋体" w:eastAsia="宋体"/>
          <w:sz w:val="32"/>
          <w:szCs w:val="32"/>
          <w:lang w:val="en-US" w:eastAsia="zh-CN"/>
        </w:rPr>
        <w:t>16</w:t>
      </w:r>
      <w:r>
        <w:rPr>
          <w:rFonts w:hint="eastAsia" w:ascii="宋体" w:hAnsi="宋体" w:eastAsia="宋体"/>
          <w:sz w:val="32"/>
          <w:szCs w:val="32"/>
        </w:rPr>
        <w:t>%,减少的主要原因是</w:t>
      </w:r>
      <w:r>
        <w:rPr>
          <w:rFonts w:hint="eastAsia" w:ascii="宋体" w:hAnsi="宋体" w:eastAsia="宋体"/>
          <w:sz w:val="32"/>
          <w:szCs w:val="32"/>
          <w:lang w:val="en-US" w:eastAsia="zh-CN"/>
        </w:rPr>
        <w:t>厉行节约，压减开支</w:t>
      </w:r>
      <w:r>
        <w:rPr>
          <w:rFonts w:hint="eastAsia" w:ascii="宋体" w:hAnsi="宋体" w:eastAsia="宋体"/>
          <w:sz w:val="32"/>
          <w:szCs w:val="32"/>
        </w:rPr>
        <w:t>。</w:t>
      </w:r>
    </w:p>
    <w:p>
      <w:pPr>
        <w:pStyle w:val="11"/>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en-US" w:eastAsia="zh-CN"/>
        </w:rPr>
        <w:t>9.5</w:t>
      </w:r>
      <w:r>
        <w:rPr>
          <w:rFonts w:hint="eastAsia" w:ascii="宋体" w:hAnsi="宋体" w:eastAsia="宋体"/>
          <w:sz w:val="32"/>
          <w:szCs w:val="32"/>
        </w:rPr>
        <w:t>万元，占</w:t>
      </w:r>
      <w:r>
        <w:rPr>
          <w:rFonts w:hint="eastAsia" w:ascii="宋体" w:hAnsi="宋体" w:eastAsia="宋体"/>
          <w:sz w:val="32"/>
          <w:szCs w:val="32"/>
          <w:lang w:val="en-US" w:eastAsia="zh-CN"/>
        </w:rPr>
        <w:t>69.34</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4.2</w:t>
      </w:r>
      <w:r>
        <w:rPr>
          <w:rFonts w:hint="eastAsia" w:ascii="宋体" w:hAnsi="宋体" w:eastAsia="宋体"/>
          <w:sz w:val="32"/>
          <w:szCs w:val="32"/>
        </w:rPr>
        <w:t>万元，占</w:t>
      </w:r>
      <w:r>
        <w:rPr>
          <w:rFonts w:hint="eastAsia" w:ascii="宋体" w:hAnsi="宋体" w:eastAsia="宋体"/>
          <w:sz w:val="32"/>
          <w:szCs w:val="32"/>
          <w:lang w:val="en-US" w:eastAsia="zh-CN"/>
        </w:rPr>
        <w:t>30.66</w:t>
      </w:r>
      <w:r>
        <w:rPr>
          <w:rFonts w:hint="eastAsia" w:ascii="宋体" w:hAnsi="宋体" w:eastAsia="宋体"/>
          <w:sz w:val="32"/>
          <w:szCs w:val="32"/>
        </w:rPr>
        <w:t>%。其中：</w:t>
      </w:r>
    </w:p>
    <w:p>
      <w:pPr>
        <w:pStyle w:val="11"/>
        <w:ind w:firstLine="640" w:firstLineChars="200"/>
        <w:rPr>
          <w:rFonts w:hint="eastAsia" w:ascii="宋体" w:hAnsi="宋体" w:eastAsia="宋体"/>
          <w:sz w:val="32"/>
          <w:szCs w:val="32"/>
          <w:lang w:eastAsia="zh-CN"/>
        </w:rPr>
      </w:pPr>
      <w:r>
        <w:rPr>
          <w:rFonts w:hint="eastAsia" w:ascii="宋体" w:hAnsi="宋体" w:eastAsia="宋体"/>
          <w:sz w:val="32"/>
          <w:szCs w:val="32"/>
          <w:lang w:val="en-US" w:eastAsia="zh-CN"/>
        </w:rPr>
        <w:t>1、</w:t>
      </w:r>
      <w:r>
        <w:rPr>
          <w:rFonts w:hint="eastAsia" w:ascii="宋体" w:hAnsi="宋体" w:eastAsia="宋体"/>
          <w:sz w:val="32"/>
          <w:szCs w:val="32"/>
        </w:rPr>
        <w:t>因公出国（境）费支出决算为0万元，全年安排因公出国（境）团组0个，累计0人次，我单位202</w:t>
      </w:r>
      <w:r>
        <w:rPr>
          <w:rFonts w:hint="eastAsia" w:ascii="宋体" w:hAnsi="宋体" w:eastAsia="宋体"/>
          <w:sz w:val="32"/>
          <w:szCs w:val="32"/>
          <w:lang w:val="en-US" w:eastAsia="zh-CN"/>
        </w:rPr>
        <w:t>1</w:t>
      </w:r>
      <w:r>
        <w:rPr>
          <w:rFonts w:hint="eastAsia" w:ascii="宋体" w:hAnsi="宋体" w:eastAsia="宋体"/>
          <w:sz w:val="32"/>
          <w:szCs w:val="32"/>
        </w:rPr>
        <w:t>年度无因公出国（境）费支出</w:t>
      </w:r>
      <w:r>
        <w:rPr>
          <w:rFonts w:hint="eastAsia" w:ascii="宋体" w:hAnsi="宋体" w:eastAsia="宋体"/>
          <w:sz w:val="32"/>
          <w:szCs w:val="32"/>
          <w:lang w:eastAsia="zh-CN"/>
        </w:rPr>
        <w:t>。</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ascii="宋体" w:hAnsi="宋体" w:eastAsia="宋体"/>
          <w:sz w:val="32"/>
          <w:szCs w:val="32"/>
        </w:rPr>
      </w:pPr>
      <w:r>
        <w:rPr>
          <w:rFonts w:hint="eastAsia" w:ascii="宋体" w:hAnsi="宋体" w:eastAsia="宋体"/>
          <w:sz w:val="32"/>
          <w:szCs w:val="32"/>
          <w:lang w:val="en-US" w:eastAsia="zh-CN"/>
        </w:rPr>
        <w:t>2、</w:t>
      </w:r>
      <w:r>
        <w:rPr>
          <w:rFonts w:hint="eastAsia" w:ascii="宋体" w:hAnsi="宋体" w:eastAsia="宋体"/>
          <w:sz w:val="32"/>
          <w:szCs w:val="32"/>
        </w:rPr>
        <w:t>公务接待费支出决算为</w:t>
      </w:r>
      <w:r>
        <w:rPr>
          <w:rFonts w:hint="eastAsia" w:ascii="宋体" w:hAnsi="宋体" w:eastAsia="宋体"/>
          <w:sz w:val="32"/>
          <w:szCs w:val="32"/>
          <w:lang w:val="en-US" w:eastAsia="zh-CN"/>
        </w:rPr>
        <w:t>9.5</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110</w:t>
      </w:r>
      <w:r>
        <w:rPr>
          <w:rFonts w:hint="eastAsia" w:ascii="宋体" w:hAnsi="宋体" w:eastAsia="宋体"/>
          <w:sz w:val="32"/>
          <w:szCs w:val="32"/>
        </w:rPr>
        <w:t>个、来宾</w:t>
      </w:r>
      <w:r>
        <w:rPr>
          <w:rFonts w:hint="eastAsia" w:ascii="宋体" w:hAnsi="宋体" w:eastAsia="宋体"/>
          <w:sz w:val="32"/>
          <w:szCs w:val="32"/>
          <w:lang w:val="en-US" w:eastAsia="zh-CN"/>
        </w:rPr>
        <w:t>605</w:t>
      </w:r>
      <w:r>
        <w:rPr>
          <w:rFonts w:hint="eastAsia" w:ascii="宋体" w:hAnsi="宋体" w:eastAsia="宋体"/>
          <w:sz w:val="32"/>
          <w:szCs w:val="32"/>
        </w:rPr>
        <w:t>人次，主要是</w:t>
      </w:r>
      <w:r>
        <w:rPr>
          <w:rFonts w:hint="eastAsia" w:ascii="宋体" w:hAnsi="宋体" w:eastAsia="宋体"/>
          <w:sz w:val="32"/>
          <w:szCs w:val="32"/>
          <w:lang w:val="en-US" w:eastAsia="zh-CN"/>
        </w:rPr>
        <w:t>同市其他县区及邻省交界县区互相学习交流</w:t>
      </w:r>
      <w:r>
        <w:rPr>
          <w:rFonts w:hint="eastAsia" w:ascii="宋体" w:hAnsi="宋体" w:eastAsia="宋体"/>
          <w:sz w:val="32"/>
          <w:szCs w:val="32"/>
        </w:rPr>
        <w:t>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4.2</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eastAsia="zh-CN"/>
        </w:rPr>
        <w:t>，</w:t>
      </w:r>
      <w:r>
        <w:rPr>
          <w:rFonts w:hint="eastAsia" w:ascii="宋体" w:hAnsi="宋体"/>
          <w:sz w:val="32"/>
          <w:szCs w:val="32"/>
        </w:rPr>
        <w:t>公务用车购置</w:t>
      </w:r>
      <w:r>
        <w:rPr>
          <w:rFonts w:hint="eastAsia" w:ascii="宋体" w:hAnsi="宋体"/>
          <w:sz w:val="32"/>
          <w:szCs w:val="32"/>
          <w:lang w:val="en-US" w:eastAsia="zh-CN"/>
        </w:rPr>
        <w:t>0辆。</w:t>
      </w:r>
      <w:r>
        <w:rPr>
          <w:rFonts w:hint="eastAsia" w:ascii="宋体" w:hAnsi="宋体"/>
          <w:sz w:val="32"/>
          <w:szCs w:val="32"/>
        </w:rPr>
        <w:t>公务用车运行维护费</w:t>
      </w:r>
      <w:r>
        <w:rPr>
          <w:rFonts w:hint="eastAsia" w:ascii="宋体" w:hAnsi="宋体"/>
          <w:sz w:val="32"/>
          <w:szCs w:val="32"/>
          <w:lang w:val="en-US" w:eastAsia="zh-CN"/>
        </w:rPr>
        <w:t>4.2</w:t>
      </w:r>
      <w:r>
        <w:rPr>
          <w:rFonts w:hint="eastAsia" w:ascii="宋体" w:hAnsi="宋体"/>
          <w:sz w:val="32"/>
          <w:szCs w:val="32"/>
        </w:rPr>
        <w:t>万元，主要是</w:t>
      </w:r>
      <w:r>
        <w:rPr>
          <w:rFonts w:hint="eastAsia" w:ascii="宋体" w:hAnsi="宋体"/>
          <w:sz w:val="32"/>
          <w:szCs w:val="32"/>
          <w:lang w:val="en-US" w:eastAsia="zh-CN"/>
        </w:rPr>
        <w:t>公务用车加油、维修</w:t>
      </w:r>
      <w:r>
        <w:rPr>
          <w:rFonts w:hint="eastAsia" w:ascii="宋体" w:hAnsi="宋体"/>
          <w:sz w:val="32"/>
          <w:szCs w:val="32"/>
        </w:rPr>
        <w:t>支出，截止2021年12月31日，我单位开支财政拨款的公务用车保有量为</w:t>
      </w:r>
      <w:r>
        <w:rPr>
          <w:rFonts w:hint="eastAsia" w:ascii="宋体" w:hAnsi="宋体"/>
          <w:sz w:val="32"/>
          <w:szCs w:val="32"/>
          <w:lang w:val="en-US" w:eastAsia="zh-CN"/>
        </w:rPr>
        <w:t>1</w:t>
      </w:r>
      <w:r>
        <w:rPr>
          <w:rFonts w:hint="eastAsia" w:ascii="宋体" w:hAnsi="宋体"/>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宋体" w:hAnsi="宋体" w:eastAsia="宋体"/>
          <w:i/>
          <w:color w:val="FF0000"/>
          <w:sz w:val="32"/>
          <w:szCs w:val="32"/>
          <w:lang w:eastAsia="zh-CN"/>
        </w:rPr>
      </w:pPr>
      <w:r>
        <w:rPr>
          <w:rFonts w:hint="eastAsia" w:ascii="宋体" w:hAnsi="宋体" w:eastAsia="宋体"/>
          <w:sz w:val="32"/>
          <w:szCs w:val="32"/>
        </w:rPr>
        <w:t xml:space="preserve">     2021年度政府性基金预算财政拨款收入</w:t>
      </w:r>
      <w:r>
        <w:rPr>
          <w:rFonts w:hint="eastAsia" w:ascii="宋体" w:hAnsi="宋体" w:eastAsia="宋体"/>
          <w:sz w:val="32"/>
          <w:szCs w:val="32"/>
          <w:lang w:val="en-US" w:eastAsia="zh-CN"/>
        </w:rPr>
        <w:t>212.68</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212.68</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212.68</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万元。具体情况如下</w:t>
      </w:r>
      <w:r>
        <w:rPr>
          <w:rFonts w:hint="eastAsia" w:ascii="宋体" w:hAnsi="宋体" w:eastAsia="宋体"/>
          <w:sz w:val="32"/>
          <w:szCs w:val="32"/>
          <w:lang w:eastAsia="zh-CN"/>
        </w:rPr>
        <w:t>：</w:t>
      </w:r>
    </w:p>
    <w:p>
      <w:pPr>
        <w:pStyle w:val="11"/>
        <w:ind w:firstLine="640" w:firstLineChars="200"/>
        <w:rPr>
          <w:rFonts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val="en-US" w:eastAsia="zh-CN"/>
        </w:rPr>
        <w:t>其他支出</w:t>
      </w:r>
      <w:r>
        <w:rPr>
          <w:rFonts w:hint="eastAsia" w:ascii="宋体" w:hAnsi="宋体" w:eastAsia="宋体"/>
          <w:sz w:val="32"/>
          <w:szCs w:val="32"/>
        </w:rPr>
        <w:t>（类）</w:t>
      </w:r>
      <w:r>
        <w:rPr>
          <w:rFonts w:hint="eastAsia" w:ascii="宋体" w:hAnsi="宋体" w:eastAsia="宋体"/>
          <w:sz w:val="32"/>
          <w:szCs w:val="32"/>
          <w:lang w:val="en-US" w:eastAsia="zh-CN"/>
        </w:rPr>
        <w:t>彩票公益金安排的支出</w:t>
      </w:r>
      <w:r>
        <w:rPr>
          <w:rFonts w:hint="eastAsia" w:ascii="宋体" w:hAnsi="宋体" w:eastAsia="宋体"/>
          <w:sz w:val="32"/>
          <w:szCs w:val="32"/>
        </w:rPr>
        <w:t>（款）</w:t>
      </w:r>
      <w:r>
        <w:rPr>
          <w:rFonts w:hint="eastAsia" w:ascii="宋体" w:hAnsi="宋体" w:eastAsia="宋体"/>
          <w:sz w:val="32"/>
          <w:szCs w:val="32"/>
          <w:lang w:val="en-US" w:eastAsia="zh-CN"/>
        </w:rPr>
        <w:t>用于社会福利的彩票公益金支出</w:t>
      </w:r>
      <w:r>
        <w:rPr>
          <w:rFonts w:hint="eastAsia" w:ascii="宋体" w:hAnsi="宋体" w:eastAsia="宋体"/>
          <w:sz w:val="32"/>
          <w:szCs w:val="32"/>
        </w:rPr>
        <w:t>（项）。</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212.68</w:t>
      </w:r>
      <w:r>
        <w:rPr>
          <w:rFonts w:hint="eastAsia" w:ascii="宋体" w:hAnsi="宋体" w:eastAsia="宋体"/>
          <w:sz w:val="32"/>
          <w:szCs w:val="32"/>
        </w:rPr>
        <w:t>万元，决算数大于年初预算数的主要原因是：</w:t>
      </w:r>
      <w:r>
        <w:rPr>
          <w:rFonts w:hint="eastAsia" w:ascii="宋体" w:hAnsi="宋体" w:eastAsia="宋体"/>
          <w:sz w:val="32"/>
          <w:szCs w:val="32"/>
          <w:lang w:val="en-US" w:eastAsia="zh-CN"/>
        </w:rPr>
        <w:t>上级对此项工作的投入。</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104.28</w:t>
      </w:r>
      <w:r>
        <w:rPr>
          <w:rFonts w:hint="eastAsia" w:ascii="宋体" w:hAnsi="宋体" w:eastAsia="宋体"/>
          <w:sz w:val="32"/>
          <w:szCs w:val="32"/>
        </w:rPr>
        <w:t>万元，比年初预算数减少</w:t>
      </w:r>
      <w:r>
        <w:rPr>
          <w:rFonts w:hint="eastAsia" w:ascii="宋体" w:hAnsi="宋体" w:eastAsia="宋体"/>
          <w:sz w:val="32"/>
          <w:szCs w:val="32"/>
          <w:lang w:val="en-US" w:eastAsia="zh-CN"/>
        </w:rPr>
        <w:t>9.72</w:t>
      </w:r>
      <w:r>
        <w:rPr>
          <w:rFonts w:hint="eastAsia" w:ascii="宋体" w:hAnsi="宋体" w:eastAsia="宋体"/>
          <w:sz w:val="32"/>
          <w:szCs w:val="32"/>
        </w:rPr>
        <w:t>万元，降低</w:t>
      </w:r>
      <w:r>
        <w:rPr>
          <w:rFonts w:hint="eastAsia" w:ascii="宋体" w:hAnsi="宋体" w:eastAsia="宋体"/>
          <w:sz w:val="32"/>
          <w:szCs w:val="32"/>
          <w:lang w:val="en-US" w:eastAsia="zh-CN"/>
        </w:rPr>
        <w:t>9.32</w:t>
      </w:r>
      <w:r>
        <w:rPr>
          <w:rFonts w:hint="eastAsia" w:ascii="宋体" w:hAnsi="宋体" w:eastAsia="宋体"/>
          <w:sz w:val="32"/>
          <w:szCs w:val="32"/>
        </w:rPr>
        <w:t>%。主要原因是：</w:t>
      </w:r>
      <w:r>
        <w:rPr>
          <w:rFonts w:hint="eastAsia" w:ascii="宋体" w:hAnsi="宋体" w:eastAsia="宋体"/>
          <w:sz w:val="32"/>
          <w:szCs w:val="32"/>
          <w:lang w:val="en-US" w:eastAsia="zh-CN"/>
        </w:rPr>
        <w:t>厉行节约，压减开支</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十、一般性支出情况说明</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宋体" w:hAnsi="宋体" w:eastAsia="宋体"/>
          <w:sz w:val="32"/>
          <w:szCs w:val="32"/>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3.5</w:t>
      </w:r>
      <w:r>
        <w:rPr>
          <w:rFonts w:hint="eastAsia" w:ascii="宋体" w:hAnsi="宋体" w:eastAsia="宋体"/>
          <w:sz w:val="32"/>
          <w:szCs w:val="32"/>
        </w:rPr>
        <w:t>万元，用于召开</w:t>
      </w:r>
      <w:r>
        <w:rPr>
          <w:rFonts w:hint="eastAsia" w:ascii="宋体" w:hAnsi="宋体" w:eastAsia="宋体"/>
          <w:sz w:val="32"/>
          <w:szCs w:val="32"/>
          <w:lang w:val="en-US" w:eastAsia="zh-CN"/>
        </w:rPr>
        <w:t>全县民政工作</w:t>
      </w:r>
      <w:r>
        <w:rPr>
          <w:rFonts w:hint="eastAsia" w:ascii="宋体" w:hAnsi="宋体" w:eastAsia="宋体"/>
          <w:sz w:val="32"/>
          <w:szCs w:val="32"/>
        </w:rPr>
        <w:t>会议，人数</w:t>
      </w:r>
      <w:r>
        <w:rPr>
          <w:rFonts w:hint="eastAsia" w:ascii="宋体" w:hAnsi="宋体" w:eastAsia="宋体"/>
          <w:sz w:val="32"/>
          <w:szCs w:val="32"/>
          <w:lang w:val="en-US" w:eastAsia="zh-CN"/>
        </w:rPr>
        <w:t>180</w:t>
      </w:r>
      <w:r>
        <w:rPr>
          <w:rFonts w:hint="eastAsia" w:ascii="宋体" w:hAnsi="宋体" w:eastAsia="宋体"/>
          <w:sz w:val="32"/>
          <w:szCs w:val="32"/>
        </w:rPr>
        <w:t>人</w:t>
      </w:r>
      <w:r>
        <w:rPr>
          <w:rFonts w:hint="eastAsia" w:ascii="宋体" w:hAnsi="宋体" w:eastAsia="宋体"/>
          <w:sz w:val="32"/>
          <w:szCs w:val="32"/>
          <w:lang w:val="en-US" w:eastAsia="zh-CN"/>
        </w:rPr>
        <w:t>次</w:t>
      </w:r>
      <w:r>
        <w:rPr>
          <w:rFonts w:hint="eastAsia" w:ascii="宋体" w:hAnsi="宋体" w:eastAsia="宋体"/>
          <w:sz w:val="32"/>
          <w:szCs w:val="32"/>
        </w:rPr>
        <w:t>，内容为</w:t>
      </w:r>
      <w:r>
        <w:rPr>
          <w:rFonts w:hint="eastAsia" w:ascii="宋体" w:hAnsi="宋体" w:eastAsia="宋体"/>
          <w:sz w:val="32"/>
          <w:szCs w:val="32"/>
          <w:lang w:val="en-US" w:eastAsia="zh-CN"/>
        </w:rPr>
        <w:t>召开全县范围的民政工作会议，表璋上年度优秀及安排本年度工作</w:t>
      </w:r>
      <w:r>
        <w:rPr>
          <w:rFonts w:hint="eastAsia" w:ascii="宋体" w:hAnsi="宋体" w:eastAsia="宋体"/>
          <w:sz w:val="32"/>
          <w:szCs w:val="32"/>
        </w:rPr>
        <w:t>；开支培训费</w:t>
      </w:r>
      <w:r>
        <w:rPr>
          <w:rFonts w:hint="eastAsia" w:ascii="宋体" w:hAnsi="宋体" w:eastAsia="宋体"/>
          <w:sz w:val="32"/>
          <w:szCs w:val="32"/>
          <w:lang w:val="en-US" w:eastAsia="zh-CN"/>
        </w:rPr>
        <w:t>4.5</w:t>
      </w:r>
      <w:r>
        <w:rPr>
          <w:rFonts w:hint="eastAsia" w:ascii="宋体" w:hAnsi="宋体" w:eastAsia="宋体"/>
          <w:sz w:val="32"/>
          <w:szCs w:val="32"/>
        </w:rPr>
        <w:t>万元，用于开展</w:t>
      </w:r>
      <w:r>
        <w:rPr>
          <w:rFonts w:hint="eastAsia" w:ascii="宋体" w:hAnsi="宋体" w:eastAsia="宋体"/>
          <w:sz w:val="32"/>
          <w:szCs w:val="32"/>
          <w:lang w:val="en-US" w:eastAsia="zh-CN"/>
        </w:rPr>
        <w:t>乡镇民政相关工作</w:t>
      </w:r>
      <w:r>
        <w:rPr>
          <w:rFonts w:hint="eastAsia" w:ascii="宋体" w:hAnsi="宋体" w:eastAsia="宋体"/>
          <w:sz w:val="32"/>
          <w:szCs w:val="32"/>
        </w:rPr>
        <w:t>培训，人数</w:t>
      </w:r>
      <w:r>
        <w:rPr>
          <w:rFonts w:hint="eastAsia" w:ascii="宋体" w:hAnsi="宋体" w:eastAsia="宋体"/>
          <w:sz w:val="32"/>
          <w:szCs w:val="32"/>
          <w:lang w:val="en-US" w:eastAsia="zh-CN"/>
        </w:rPr>
        <w:t>220</w:t>
      </w:r>
      <w:r>
        <w:rPr>
          <w:rFonts w:hint="eastAsia" w:ascii="宋体" w:hAnsi="宋体" w:eastAsia="宋体"/>
          <w:sz w:val="32"/>
          <w:szCs w:val="32"/>
        </w:rPr>
        <w:t>人</w:t>
      </w:r>
      <w:r>
        <w:rPr>
          <w:rFonts w:hint="eastAsia" w:ascii="宋体" w:hAnsi="宋体" w:eastAsia="宋体"/>
          <w:sz w:val="32"/>
          <w:szCs w:val="32"/>
          <w:lang w:val="en-US" w:eastAsia="zh-CN"/>
        </w:rPr>
        <w:t>次</w:t>
      </w:r>
      <w:r>
        <w:rPr>
          <w:rFonts w:hint="eastAsia" w:ascii="宋体" w:hAnsi="宋体" w:eastAsia="宋体"/>
          <w:sz w:val="32"/>
          <w:szCs w:val="32"/>
        </w:rPr>
        <w:t>，内容为</w:t>
      </w:r>
      <w:r>
        <w:rPr>
          <w:rFonts w:hint="eastAsia" w:ascii="宋体" w:hAnsi="宋体" w:eastAsia="宋体"/>
          <w:sz w:val="32"/>
          <w:szCs w:val="32"/>
          <w:lang w:val="en-US" w:eastAsia="zh-CN"/>
        </w:rPr>
        <w:t>对乡镇民政工作人员开展养老、安全生产等相关的业务培训</w:t>
      </w:r>
      <w:r>
        <w:rPr>
          <w:rFonts w:hint="eastAsia" w:ascii="宋体" w:hAnsi="宋体"/>
          <w:sz w:val="32"/>
          <w:szCs w:val="32"/>
          <w:lang w:val="en-US" w:eastAsia="zh-CN"/>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宋体" w:hAnsi="宋体" w:eastAsia="宋体" w:cs="宋体"/>
          <w:i w:val="0"/>
          <w:caps w:val="0"/>
          <w:color w:val="auto"/>
          <w:spacing w:val="0"/>
          <w:sz w:val="32"/>
          <w:szCs w:val="32"/>
          <w:shd w:val="clear" w:color="auto" w:fill="FFFFFF"/>
          <w:lang w:eastAsia="zh-CN"/>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350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200</w:t>
      </w:r>
      <w:r>
        <w:rPr>
          <w:rFonts w:hint="eastAsia" w:ascii="宋体" w:hAnsi="宋体" w:eastAsia="宋体"/>
          <w:sz w:val="32"/>
          <w:szCs w:val="32"/>
        </w:rPr>
        <w:t>万元、政府采购工程支出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万元、政府采购服务支出</w:t>
      </w:r>
      <w:r>
        <w:rPr>
          <w:rFonts w:hint="eastAsia" w:ascii="宋体" w:hAnsi="宋体" w:eastAsia="宋体"/>
          <w:sz w:val="32"/>
          <w:szCs w:val="32"/>
          <w:lang w:val="en-US" w:eastAsia="zh-CN"/>
        </w:rPr>
        <w:t>150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350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100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150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42.85</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1</w:t>
      </w:r>
      <w:r>
        <w:rPr>
          <w:rFonts w:hint="eastAsia" w:ascii="宋体" w:hAnsi="宋体" w:eastAsia="宋体"/>
          <w:sz w:val="32"/>
          <w:szCs w:val="32"/>
        </w:rPr>
        <w:t>辆，其中，其他用车</w:t>
      </w:r>
      <w:r>
        <w:rPr>
          <w:rFonts w:hint="eastAsia" w:ascii="宋体" w:hAnsi="宋体" w:eastAsia="宋体"/>
          <w:sz w:val="32"/>
          <w:szCs w:val="32"/>
          <w:lang w:val="en-US" w:eastAsia="zh-CN"/>
        </w:rPr>
        <w:t>1</w:t>
      </w:r>
      <w:r>
        <w:rPr>
          <w:rFonts w:hint="eastAsia" w:ascii="宋体" w:hAnsi="宋体" w:eastAsia="宋体"/>
          <w:sz w:val="32"/>
          <w:szCs w:val="32"/>
        </w:rPr>
        <w:t>辆，其他用车主要是</w:t>
      </w:r>
      <w:r>
        <w:rPr>
          <w:rFonts w:hint="eastAsia" w:ascii="宋体" w:hAnsi="宋体" w:eastAsia="宋体"/>
          <w:sz w:val="32"/>
          <w:szCs w:val="32"/>
          <w:lang w:val="en-US" w:eastAsia="zh-CN"/>
        </w:rPr>
        <w:t>公务下乡出差</w:t>
      </w:r>
      <w:r>
        <w:rPr>
          <w:rFonts w:hint="eastAsia" w:ascii="宋体" w:hAnsi="宋体" w:eastAsia="宋体"/>
          <w:sz w:val="32"/>
          <w:szCs w:val="32"/>
        </w:rPr>
        <w:t>；单位价值50万元以上通用设备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15</w:t>
      </w:r>
      <w:r>
        <w:rPr>
          <w:rFonts w:ascii="宋体" w:hAnsi="宋体" w:cs="黑体"/>
          <w:color w:val="000000"/>
          <w:kern w:val="0"/>
          <w:sz w:val="32"/>
          <w:szCs w:val="32"/>
        </w:rPr>
        <w:t xml:space="preserve"> </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13594.33</w:t>
      </w:r>
      <w:r>
        <w:rPr>
          <w:rFonts w:ascii="宋体" w:hAnsi="宋体" w:cs="黑体"/>
          <w:color w:val="000000"/>
          <w:kern w:val="0"/>
          <w:sz w:val="32"/>
          <w:szCs w:val="32"/>
        </w:rPr>
        <w:t xml:space="preserve"> </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96.81</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hint="eastAsia" w:ascii="宋体" w:hAnsi="宋体" w:cs="黑体"/>
          <w:color w:val="000000"/>
          <w:kern w:val="0"/>
          <w:sz w:val="32"/>
          <w:szCs w:val="32"/>
          <w:lang w:val="en-US" w:eastAsia="zh-CN"/>
        </w:rPr>
        <w:t>用于社会福利的彩票公益金支出</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个政府性基金预算项目支出开展绩效自评，共涉及资金</w:t>
      </w:r>
      <w:r>
        <w:rPr>
          <w:rFonts w:hint="eastAsia" w:ascii="宋体" w:hAnsi="宋体" w:cs="黑体"/>
          <w:color w:val="000000"/>
          <w:kern w:val="0"/>
          <w:sz w:val="32"/>
          <w:szCs w:val="32"/>
          <w:lang w:val="en-US" w:eastAsia="zh-CN"/>
        </w:rPr>
        <w:t>212.68</w:t>
      </w:r>
      <w:r>
        <w:rPr>
          <w:rFonts w:ascii="宋体" w:hAnsi="宋体" w:cs="黑体"/>
          <w:color w:val="000000"/>
          <w:kern w:val="0"/>
          <w:sz w:val="32"/>
          <w:szCs w:val="32"/>
        </w:rPr>
        <w:t xml:space="preserve"> </w:t>
      </w:r>
      <w:r>
        <w:rPr>
          <w:rFonts w:hint="eastAsia" w:ascii="宋体" w:hAnsi="宋体" w:cs="黑体"/>
          <w:color w:val="000000"/>
          <w:kern w:val="0"/>
          <w:sz w:val="32"/>
          <w:szCs w:val="32"/>
        </w:rPr>
        <w:t>万元，占政府性基金预算项目支出总额的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val="en-US" w:eastAsia="zh-CN"/>
        </w:rPr>
        <w:t>最低生活保障</w:t>
      </w:r>
      <w:r>
        <w:rPr>
          <w:rFonts w:hint="eastAsia" w:ascii="宋体" w:hAnsi="宋体" w:cs="黑体"/>
          <w:color w:val="000000"/>
          <w:kern w:val="0"/>
          <w:sz w:val="32"/>
          <w:szCs w:val="32"/>
        </w:rPr>
        <w:t>”“</w:t>
      </w:r>
      <w:r>
        <w:rPr>
          <w:rFonts w:hint="eastAsia" w:ascii="宋体" w:hAnsi="宋体" w:cs="黑体"/>
          <w:color w:val="000000"/>
          <w:kern w:val="0"/>
          <w:sz w:val="32"/>
          <w:szCs w:val="32"/>
          <w:lang w:val="en-US" w:eastAsia="zh-CN"/>
        </w:rPr>
        <w:t>特困供养</w:t>
      </w:r>
      <w:r>
        <w:rPr>
          <w:rFonts w:hint="eastAsia" w:ascii="宋体" w:hAnsi="宋体" w:cs="黑体"/>
          <w:color w:val="000000"/>
          <w:kern w:val="0"/>
          <w:sz w:val="32"/>
          <w:szCs w:val="32"/>
        </w:rPr>
        <w:t>”</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养老服务”</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15</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13594.33</w:t>
      </w:r>
      <w:r>
        <w:rPr>
          <w:rFonts w:ascii="宋体" w:hAnsi="宋体" w:cs="黑体"/>
          <w:color w:val="000000"/>
          <w:kern w:val="0"/>
          <w:sz w:val="32"/>
          <w:szCs w:val="32"/>
        </w:rPr>
        <w:t xml:space="preserve"> </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212.68</w:t>
      </w:r>
      <w:r>
        <w:rPr>
          <w:rFonts w:ascii="宋体" w:hAnsi="宋体" w:cs="黑体"/>
          <w:color w:val="000000"/>
          <w:kern w:val="0"/>
          <w:sz w:val="32"/>
          <w:szCs w:val="32"/>
        </w:rPr>
        <w:t xml:space="preserve"> </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val="en-US" w:eastAsia="zh-CN"/>
        </w:rPr>
        <w:t>都符合专款专用的原则，保障了民生，加大了政府在群众心中的满意度，增加群众的幸福值</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（2）部门评价项目绩效评价结果。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一、“三公经费”是指因公出国（境）费用、公务用车购置及运行使用维护费、公务接待费等三项具体经费。</w:t>
      </w:r>
    </w:p>
    <w:p>
      <w:pPr>
        <w:ind w:firstLine="640" w:firstLineChars="200"/>
        <w:jc w:val="left"/>
        <w:rPr>
          <w:rFonts w:hint="default" w:ascii="宋体" w:hAnsi="宋体" w:eastAsia="宋体" w:cs="黑体"/>
          <w:color w:val="000000"/>
          <w:kern w:val="0"/>
          <w:sz w:val="32"/>
          <w:szCs w:val="32"/>
          <w:lang w:val="en-US" w:eastAsia="zh-CN"/>
        </w:rPr>
      </w:pPr>
      <w:r>
        <w:rPr>
          <w:rFonts w:hint="eastAsia" w:ascii="宋体" w:hAnsi="宋体" w:cs="黑体"/>
          <w:color w:val="000000"/>
          <w:kern w:val="0"/>
          <w:sz w:val="32"/>
          <w:szCs w:val="32"/>
        </w:rPr>
        <w:t>二、</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会议费”是指会议住宿费、伙食费、会议场地租金、文件印刷费、交通费等。</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培训费”是指培训住宿费、伙食费、培训场地租金、培训资料印刷费、交通费等。</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pStyle w:val="2"/>
        <w:jc w:val="center"/>
      </w:pPr>
      <w:r>
        <w:rPr>
          <w:rFonts w:hint="eastAsia"/>
        </w:rPr>
        <w:t>道县民政局2021年部门整体绩效自评报告</w:t>
      </w:r>
    </w:p>
    <w:p>
      <w:pPr>
        <w:numPr>
          <w:ilvl w:val="0"/>
          <w:numId w:val="4"/>
        </w:numPr>
        <w:spacing w:line="360" w:lineRule="auto"/>
        <w:rPr>
          <w:b/>
          <w:bCs/>
          <w:sz w:val="32"/>
          <w:szCs w:val="40"/>
        </w:rPr>
      </w:pPr>
      <w:r>
        <w:rPr>
          <w:rFonts w:hint="eastAsia"/>
          <w:b/>
          <w:bCs/>
          <w:sz w:val="32"/>
          <w:szCs w:val="40"/>
        </w:rPr>
        <w:t>基本情况</w:t>
      </w:r>
    </w:p>
    <w:p>
      <w:pPr>
        <w:numPr>
          <w:ilvl w:val="0"/>
          <w:numId w:val="5"/>
        </w:numPr>
        <w:spacing w:line="360" w:lineRule="auto"/>
        <w:ind w:left="210"/>
        <w:rPr>
          <w:sz w:val="28"/>
          <w:szCs w:val="36"/>
        </w:rPr>
      </w:pPr>
      <w:r>
        <w:rPr>
          <w:rFonts w:hint="eastAsia"/>
          <w:sz w:val="28"/>
          <w:szCs w:val="36"/>
        </w:rPr>
        <w:t>部门（单位）基本情况</w:t>
      </w:r>
    </w:p>
    <w:p>
      <w:pPr>
        <w:widowControl/>
        <w:spacing w:line="360" w:lineRule="auto"/>
        <w:rPr>
          <w:sz w:val="28"/>
          <w:szCs w:val="36"/>
        </w:rPr>
      </w:pPr>
      <w:r>
        <w:rPr>
          <w:rFonts w:hint="eastAsia"/>
          <w:sz w:val="28"/>
          <w:szCs w:val="36"/>
        </w:rPr>
        <w:t xml:space="preserve">   　1、职能职责</w:t>
      </w:r>
    </w:p>
    <w:p>
      <w:pPr>
        <w:widowControl/>
        <w:spacing w:line="360" w:lineRule="auto"/>
        <w:ind w:firstLine="560" w:firstLineChars="200"/>
        <w:rPr>
          <w:sz w:val="28"/>
          <w:szCs w:val="36"/>
        </w:rPr>
      </w:pPr>
      <w:r>
        <w:rPr>
          <w:rFonts w:hint="eastAsia"/>
          <w:sz w:val="28"/>
          <w:szCs w:val="36"/>
        </w:rPr>
        <w:t>困难群众生活救助、基层政权和社区建设、社会事务管理工作，健全城乡社会救助体系，负责城乡居民最低生活保障、特困供养、临时救助、生活无着人员救助等工作。</w:t>
      </w:r>
    </w:p>
    <w:p>
      <w:pPr>
        <w:widowControl/>
        <w:spacing w:line="360" w:lineRule="auto"/>
        <w:ind w:firstLine="560" w:firstLineChars="200"/>
        <w:rPr>
          <w:sz w:val="28"/>
          <w:szCs w:val="36"/>
        </w:rPr>
      </w:pPr>
      <w:r>
        <w:rPr>
          <w:rFonts w:hint="eastAsia"/>
          <w:sz w:val="28"/>
          <w:szCs w:val="36"/>
        </w:rPr>
        <w:t>2、机构设置</w:t>
      </w:r>
    </w:p>
    <w:p>
      <w:pPr>
        <w:widowControl/>
        <w:spacing w:line="360" w:lineRule="auto"/>
        <w:ind w:firstLine="560" w:firstLineChars="200"/>
        <w:rPr>
          <w:rFonts w:hint="eastAsia"/>
          <w:sz w:val="28"/>
          <w:szCs w:val="36"/>
        </w:rPr>
      </w:pPr>
      <w:r>
        <w:rPr>
          <w:rFonts w:hint="eastAsia"/>
          <w:sz w:val="28"/>
          <w:szCs w:val="36"/>
        </w:rPr>
        <w:t>本单位为正科级单位，局机关内设办公室、行政审批股、规划财务股、社会组织管理股、社会救助股、养老服务股等10个股室，下设社会事务管理中心社会福利院、慈善办、募办、救助站等机构。现有在职在编人员74人，其中行政编制16人，全额拨款事业编制58人，差额拨款事业编制14人；离退休人员53人。公务用车</w:t>
      </w:r>
      <w:r>
        <w:rPr>
          <w:rFonts w:hint="eastAsia"/>
          <w:sz w:val="28"/>
          <w:szCs w:val="36"/>
          <w:lang w:val="en-US" w:eastAsia="zh-CN"/>
        </w:rPr>
        <w:t>1</w:t>
      </w:r>
      <w:r>
        <w:rPr>
          <w:rFonts w:hint="eastAsia"/>
          <w:sz w:val="28"/>
          <w:szCs w:val="36"/>
        </w:rPr>
        <w:t>辆。</w:t>
      </w:r>
    </w:p>
    <w:p>
      <w:pPr>
        <w:numPr>
          <w:ilvl w:val="0"/>
          <w:numId w:val="5"/>
        </w:numPr>
        <w:spacing w:line="360" w:lineRule="auto"/>
        <w:ind w:left="210"/>
        <w:rPr>
          <w:sz w:val="28"/>
          <w:szCs w:val="36"/>
        </w:rPr>
      </w:pPr>
      <w:r>
        <w:rPr>
          <w:rFonts w:hint="eastAsia"/>
          <w:sz w:val="28"/>
          <w:szCs w:val="36"/>
        </w:rPr>
        <w:t>部门（单位）年度整体支出绩效目标</w:t>
      </w:r>
    </w:p>
    <w:p>
      <w:pPr>
        <w:spacing w:line="360" w:lineRule="auto"/>
        <w:ind w:firstLine="560" w:firstLineChars="200"/>
        <w:rPr>
          <w:sz w:val="28"/>
          <w:szCs w:val="36"/>
        </w:rPr>
      </w:pPr>
      <w:r>
        <w:rPr>
          <w:rFonts w:hint="eastAsia"/>
          <w:sz w:val="28"/>
          <w:szCs w:val="36"/>
        </w:rPr>
        <w:t xml:space="preserve">1、保障民生，完善社会救助工作，加强社会救助平台建设，进一步提高社会救助水平，续续推动城乡低保标准稳步提高。 </w:t>
      </w:r>
    </w:p>
    <w:p>
      <w:pPr>
        <w:spacing w:line="360" w:lineRule="auto"/>
        <w:ind w:firstLine="560" w:firstLineChars="200"/>
        <w:rPr>
          <w:sz w:val="28"/>
          <w:szCs w:val="36"/>
        </w:rPr>
      </w:pPr>
      <w:r>
        <w:rPr>
          <w:rFonts w:hint="eastAsia"/>
          <w:sz w:val="28"/>
          <w:szCs w:val="36"/>
        </w:rPr>
        <w:t>2、加强社会福利和促进慈善业发展，保障残疾人两补，孤儿生活保障金、高龄补贴及时按规定发放到位。</w:t>
      </w:r>
    </w:p>
    <w:p>
      <w:pPr>
        <w:spacing w:line="360" w:lineRule="auto"/>
        <w:ind w:firstLine="560" w:firstLineChars="200"/>
        <w:rPr>
          <w:sz w:val="28"/>
          <w:szCs w:val="36"/>
        </w:rPr>
      </w:pPr>
      <w:r>
        <w:rPr>
          <w:rFonts w:hint="eastAsia"/>
          <w:sz w:val="28"/>
          <w:szCs w:val="36"/>
        </w:rPr>
        <w:t>3、加强基层政权及社区建设，加强社会组织管理，加强区划地名和界线管理，进一步规范婚姻、收养登记工作。</w:t>
      </w:r>
    </w:p>
    <w:p>
      <w:pPr>
        <w:spacing w:line="360" w:lineRule="auto"/>
        <w:ind w:firstLine="560" w:firstLineChars="200"/>
        <w:rPr>
          <w:sz w:val="28"/>
          <w:szCs w:val="36"/>
        </w:rPr>
      </w:pPr>
      <w:r>
        <w:rPr>
          <w:rFonts w:hint="eastAsia"/>
          <w:sz w:val="28"/>
          <w:szCs w:val="36"/>
        </w:rPr>
        <w:t>4、提高民政综合能力建设。</w:t>
      </w:r>
    </w:p>
    <w:p>
      <w:pPr>
        <w:numPr>
          <w:ilvl w:val="0"/>
          <w:numId w:val="4"/>
        </w:numPr>
        <w:spacing w:line="360" w:lineRule="auto"/>
        <w:rPr>
          <w:b/>
          <w:bCs/>
          <w:sz w:val="32"/>
          <w:szCs w:val="32"/>
        </w:rPr>
      </w:pPr>
      <w:r>
        <w:rPr>
          <w:rFonts w:hint="eastAsia"/>
          <w:b/>
          <w:bCs/>
          <w:sz w:val="32"/>
          <w:szCs w:val="32"/>
        </w:rPr>
        <w:t>一般公共预算支出情况</w:t>
      </w:r>
    </w:p>
    <w:p>
      <w:pPr>
        <w:spacing w:line="360" w:lineRule="auto"/>
        <w:ind w:firstLine="560" w:firstLineChars="200"/>
        <w:rPr>
          <w:rFonts w:hint="eastAsia"/>
          <w:sz w:val="28"/>
          <w:szCs w:val="36"/>
        </w:rPr>
      </w:pPr>
      <w:r>
        <w:rPr>
          <w:rFonts w:hint="eastAsia"/>
          <w:sz w:val="28"/>
          <w:szCs w:val="36"/>
        </w:rPr>
        <w:t>2021年一般公共预算</w:t>
      </w:r>
      <w:r>
        <w:rPr>
          <w:rFonts w:hint="eastAsia"/>
          <w:sz w:val="28"/>
          <w:szCs w:val="36"/>
          <w:lang w:val="en-US" w:eastAsia="zh-CN"/>
        </w:rPr>
        <w:t>预算</w:t>
      </w:r>
      <w:r>
        <w:rPr>
          <w:rFonts w:hint="eastAsia"/>
          <w:sz w:val="28"/>
          <w:szCs w:val="36"/>
        </w:rPr>
        <w:t>拨款收入5583.34万元，具体安排情况如下：</w:t>
      </w:r>
    </w:p>
    <w:p>
      <w:pPr>
        <w:spacing w:line="360" w:lineRule="auto"/>
        <w:ind w:firstLine="560" w:firstLineChars="200"/>
        <w:rPr>
          <w:rFonts w:hint="eastAsia"/>
          <w:sz w:val="28"/>
          <w:szCs w:val="36"/>
        </w:rPr>
      </w:pPr>
      <w:r>
        <w:rPr>
          <w:rFonts w:hint="eastAsia"/>
          <w:sz w:val="28"/>
          <w:szCs w:val="36"/>
        </w:rPr>
        <w:t xml:space="preserve"> （一）基本支出情况：</w:t>
      </w:r>
    </w:p>
    <w:p>
      <w:pPr>
        <w:spacing w:line="360" w:lineRule="auto"/>
        <w:ind w:firstLine="560" w:firstLineChars="200"/>
        <w:rPr>
          <w:rFonts w:hint="eastAsia"/>
          <w:sz w:val="28"/>
          <w:szCs w:val="36"/>
        </w:rPr>
      </w:pPr>
      <w:r>
        <w:rPr>
          <w:rFonts w:hint="eastAsia"/>
          <w:sz w:val="28"/>
          <w:szCs w:val="36"/>
        </w:rPr>
        <w:t>2021年年初预算数为796.24万元，其中：行政运行支出682.24万元，一般行政管理事务支出114万元。</w:t>
      </w:r>
    </w:p>
    <w:p>
      <w:pPr>
        <w:spacing w:line="360" w:lineRule="auto"/>
        <w:ind w:firstLine="560" w:firstLineChars="200"/>
        <w:rPr>
          <w:rFonts w:hint="eastAsia"/>
          <w:sz w:val="28"/>
          <w:szCs w:val="36"/>
        </w:rPr>
      </w:pPr>
      <w:r>
        <w:rPr>
          <w:rFonts w:hint="eastAsia"/>
          <w:sz w:val="28"/>
          <w:szCs w:val="36"/>
        </w:rPr>
        <w:t>（二）项目支出情况：</w:t>
      </w:r>
    </w:p>
    <w:p>
      <w:pPr>
        <w:spacing w:line="360" w:lineRule="auto"/>
        <w:ind w:firstLine="560" w:firstLineChars="200"/>
        <w:rPr>
          <w:rFonts w:hint="eastAsia"/>
          <w:sz w:val="28"/>
          <w:szCs w:val="36"/>
        </w:rPr>
      </w:pPr>
      <w:r>
        <w:rPr>
          <w:rFonts w:hint="eastAsia"/>
          <w:sz w:val="28"/>
          <w:szCs w:val="36"/>
        </w:rPr>
        <w:t>2021年专项经费支出4787.1万元，其中：城市低保300万元，农村低保680万元，农村特困2500万元，孤儿生活补助290万元，百岁老人生活补助12万元,敬老院运转经费285.1万元,65岁以上养老服务补贴90万元，90-99岁高龄补贴240万元，殡葬补贴80万元，残疾人两项补贴207万元。</w:t>
      </w:r>
    </w:p>
    <w:p>
      <w:pPr>
        <w:numPr>
          <w:ilvl w:val="0"/>
          <w:numId w:val="4"/>
        </w:numPr>
        <w:spacing w:line="360" w:lineRule="auto"/>
        <w:rPr>
          <w:b/>
          <w:bCs/>
          <w:sz w:val="32"/>
          <w:szCs w:val="32"/>
        </w:rPr>
      </w:pPr>
      <w:r>
        <w:rPr>
          <w:rFonts w:hint="eastAsia"/>
          <w:b/>
          <w:bCs/>
          <w:sz w:val="32"/>
          <w:szCs w:val="32"/>
        </w:rPr>
        <w:t>政府性基金预算支出情况</w:t>
      </w:r>
    </w:p>
    <w:p>
      <w:pPr>
        <w:ind w:firstLine="560" w:firstLineChars="200"/>
        <w:rPr>
          <w:rFonts w:hint="eastAsia" w:ascii="仿宋" w:hAnsi="仿宋" w:eastAsia="仿宋" w:cs="仿宋"/>
          <w:sz w:val="32"/>
          <w:szCs w:val="32"/>
        </w:rPr>
      </w:pPr>
      <w:r>
        <w:rPr>
          <w:rFonts w:hint="eastAsia"/>
          <w:sz w:val="28"/>
          <w:szCs w:val="36"/>
        </w:rPr>
        <w:t>道县民政局2021年度无涉及政府性基金的预算支出。</w:t>
      </w:r>
    </w:p>
    <w:p>
      <w:pPr>
        <w:numPr>
          <w:ilvl w:val="0"/>
          <w:numId w:val="4"/>
        </w:numPr>
        <w:spacing w:line="360" w:lineRule="auto"/>
        <w:rPr>
          <w:b/>
          <w:bCs/>
          <w:sz w:val="32"/>
          <w:szCs w:val="32"/>
        </w:rPr>
      </w:pPr>
      <w:r>
        <w:rPr>
          <w:rFonts w:hint="eastAsia"/>
          <w:b/>
          <w:bCs/>
          <w:sz w:val="32"/>
          <w:szCs w:val="32"/>
        </w:rPr>
        <w:t>国有资本经营预算支出情况</w:t>
      </w:r>
    </w:p>
    <w:p>
      <w:pPr>
        <w:ind w:firstLine="560" w:firstLineChars="200"/>
        <w:rPr>
          <w:rFonts w:hint="eastAsia" w:ascii="仿宋" w:hAnsi="仿宋" w:eastAsia="仿宋" w:cs="仿宋"/>
          <w:sz w:val="32"/>
          <w:szCs w:val="32"/>
        </w:rPr>
      </w:pPr>
      <w:r>
        <w:rPr>
          <w:rFonts w:hint="eastAsia"/>
          <w:sz w:val="28"/>
          <w:szCs w:val="36"/>
        </w:rPr>
        <w:t>道县民政局2021年度无涉及国有资本经营的预算支出。</w:t>
      </w:r>
    </w:p>
    <w:p>
      <w:pPr>
        <w:numPr>
          <w:ilvl w:val="0"/>
          <w:numId w:val="4"/>
        </w:numPr>
        <w:spacing w:line="360" w:lineRule="auto"/>
        <w:rPr>
          <w:b/>
          <w:bCs/>
          <w:sz w:val="32"/>
          <w:szCs w:val="32"/>
        </w:rPr>
      </w:pPr>
      <w:r>
        <w:rPr>
          <w:rFonts w:hint="eastAsia"/>
          <w:b/>
          <w:bCs/>
          <w:sz w:val="32"/>
          <w:szCs w:val="32"/>
        </w:rPr>
        <w:t>社会保险基金预算支出情况</w:t>
      </w:r>
    </w:p>
    <w:p>
      <w:pPr>
        <w:spacing w:line="360" w:lineRule="auto"/>
        <w:ind w:left="210"/>
        <w:rPr>
          <w:rFonts w:hint="eastAsia"/>
          <w:sz w:val="28"/>
          <w:szCs w:val="36"/>
        </w:rPr>
      </w:pPr>
      <w:r>
        <w:rPr>
          <w:rFonts w:hint="eastAsia"/>
          <w:b/>
          <w:bCs/>
          <w:sz w:val="32"/>
          <w:szCs w:val="32"/>
        </w:rPr>
        <w:t xml:space="preserve"> </w:t>
      </w:r>
      <w:r>
        <w:rPr>
          <w:rFonts w:hint="eastAsia" w:ascii="仿宋" w:hAnsi="仿宋" w:eastAsia="仿宋" w:cs="仿宋"/>
          <w:sz w:val="32"/>
          <w:szCs w:val="32"/>
        </w:rPr>
        <w:t xml:space="preserve"> </w:t>
      </w:r>
      <w:r>
        <w:rPr>
          <w:rFonts w:hint="eastAsia"/>
          <w:sz w:val="28"/>
          <w:szCs w:val="36"/>
        </w:rPr>
        <w:t>道县民政局2021年无涉及社会保险基金预算支出。</w:t>
      </w:r>
    </w:p>
    <w:p>
      <w:pPr>
        <w:numPr>
          <w:ilvl w:val="0"/>
          <w:numId w:val="4"/>
        </w:numPr>
        <w:spacing w:line="360" w:lineRule="auto"/>
        <w:rPr>
          <w:b/>
          <w:bCs/>
          <w:sz w:val="32"/>
          <w:szCs w:val="32"/>
        </w:rPr>
      </w:pPr>
      <w:r>
        <w:rPr>
          <w:rFonts w:hint="eastAsia"/>
          <w:b/>
          <w:bCs/>
          <w:sz w:val="32"/>
          <w:szCs w:val="32"/>
        </w:rPr>
        <w:t>部门整体支出绩效情况</w:t>
      </w:r>
    </w:p>
    <w:p>
      <w:pPr>
        <w:spacing w:line="600" w:lineRule="exact"/>
        <w:ind w:firstLine="420" w:firstLineChars="200"/>
        <w:rPr>
          <w:rFonts w:hint="eastAsia"/>
          <w:sz w:val="28"/>
          <w:szCs w:val="36"/>
        </w:rPr>
      </w:pPr>
      <w:r>
        <w:rPr>
          <w:rFonts w:hint="eastAsia"/>
        </w:rPr>
        <w:t xml:space="preserve">    </w:t>
      </w:r>
      <w:r>
        <w:rPr>
          <w:rFonts w:hint="eastAsia"/>
          <w:sz w:val="28"/>
          <w:szCs w:val="36"/>
        </w:rPr>
        <w:t xml:space="preserve"> 大力加强城乡社区建设，扎实推进村居自治工作，稳步提高救助水平，实现农村低保制度和扶贫开发制度有效衔接，依法开展婚姻收养登记，积极做好流浪乞讨人员救助工作。</w:t>
      </w:r>
    </w:p>
    <w:p>
      <w:pPr>
        <w:keepNext w:val="0"/>
        <w:keepLines w:val="0"/>
        <w:pageBreakBefore w:val="0"/>
        <w:numPr>
          <w:ilvl w:val="0"/>
          <w:numId w:val="4"/>
        </w:numPr>
        <w:kinsoku/>
        <w:wordWrap/>
        <w:overflowPunct/>
        <w:topLinePunct w:val="0"/>
        <w:autoSpaceDE/>
        <w:autoSpaceDN/>
        <w:bidi w:val="0"/>
        <w:adjustRightInd/>
        <w:snapToGrid/>
        <w:spacing w:line="360" w:lineRule="auto"/>
        <w:ind w:left="210" w:leftChars="0" w:firstLine="0" w:firstLineChars="0"/>
        <w:textAlignment w:val="auto"/>
        <w:rPr>
          <w:rFonts w:hint="eastAsia"/>
          <w:b/>
          <w:bCs/>
          <w:sz w:val="32"/>
          <w:szCs w:val="32"/>
        </w:rPr>
      </w:pPr>
      <w:r>
        <w:rPr>
          <w:rFonts w:hint="eastAsia"/>
          <w:b/>
          <w:bCs/>
          <w:sz w:val="32"/>
          <w:szCs w:val="32"/>
        </w:rPr>
        <w:t>存在的问题及原因分析</w:t>
      </w:r>
    </w:p>
    <w:p>
      <w:pPr>
        <w:spacing w:line="600" w:lineRule="exact"/>
        <w:ind w:firstLine="560" w:firstLineChars="200"/>
        <w:rPr>
          <w:rFonts w:hint="eastAsia"/>
          <w:sz w:val="28"/>
          <w:szCs w:val="36"/>
        </w:rPr>
      </w:pPr>
      <w:r>
        <w:rPr>
          <w:rFonts w:hint="eastAsia"/>
          <w:sz w:val="28"/>
          <w:szCs w:val="36"/>
          <w:lang w:eastAsia="zh-CN"/>
        </w:rPr>
        <w:t>（</w:t>
      </w:r>
      <w:r>
        <w:rPr>
          <w:rFonts w:hint="eastAsia"/>
          <w:sz w:val="28"/>
          <w:szCs w:val="36"/>
          <w:lang w:val="en-US" w:eastAsia="zh-CN"/>
        </w:rPr>
        <w:t>一</w:t>
      </w:r>
      <w:r>
        <w:rPr>
          <w:rFonts w:hint="eastAsia"/>
          <w:sz w:val="28"/>
          <w:szCs w:val="36"/>
          <w:lang w:eastAsia="zh-CN"/>
        </w:rPr>
        <w:t>）</w:t>
      </w:r>
      <w:r>
        <w:rPr>
          <w:rFonts w:hint="eastAsia"/>
          <w:sz w:val="28"/>
          <w:szCs w:val="36"/>
        </w:rPr>
        <w:t>存在的问题和困难</w:t>
      </w:r>
    </w:p>
    <w:p>
      <w:pPr>
        <w:spacing w:line="600" w:lineRule="exact"/>
        <w:ind w:firstLine="560" w:firstLineChars="200"/>
        <w:rPr>
          <w:rFonts w:hint="eastAsia"/>
          <w:sz w:val="28"/>
          <w:szCs w:val="36"/>
        </w:rPr>
      </w:pPr>
      <w:r>
        <w:rPr>
          <w:rFonts w:hint="eastAsia"/>
          <w:sz w:val="28"/>
          <w:szCs w:val="36"/>
        </w:rPr>
        <w:t>1、家庭经济核对信息化程度不高，城乡低保精准认定有一定难度，造成部分已享受低保对象难以清退。</w:t>
      </w:r>
    </w:p>
    <w:p>
      <w:pPr>
        <w:spacing w:line="600" w:lineRule="exact"/>
        <w:ind w:firstLine="560" w:firstLineChars="200"/>
        <w:rPr>
          <w:rFonts w:hint="eastAsia"/>
          <w:sz w:val="28"/>
          <w:szCs w:val="36"/>
        </w:rPr>
      </w:pPr>
      <w:r>
        <w:rPr>
          <w:rFonts w:hint="eastAsia"/>
          <w:sz w:val="28"/>
          <w:szCs w:val="36"/>
        </w:rPr>
        <w:t>2、资金压力大。</w:t>
      </w:r>
    </w:p>
    <w:p>
      <w:pPr>
        <w:spacing w:line="600" w:lineRule="exact"/>
        <w:ind w:firstLine="560" w:firstLineChars="200"/>
        <w:rPr>
          <w:rFonts w:hint="eastAsia"/>
          <w:sz w:val="28"/>
          <w:szCs w:val="36"/>
        </w:rPr>
      </w:pPr>
      <w:r>
        <w:rPr>
          <w:rFonts w:hint="eastAsia"/>
          <w:sz w:val="28"/>
          <w:szCs w:val="36"/>
        </w:rPr>
        <w:t>（二）建议</w:t>
      </w:r>
    </w:p>
    <w:p>
      <w:pPr>
        <w:spacing w:line="600" w:lineRule="exact"/>
        <w:ind w:firstLine="560" w:firstLineChars="200"/>
        <w:rPr>
          <w:rFonts w:hint="eastAsia"/>
          <w:sz w:val="28"/>
          <w:szCs w:val="36"/>
        </w:rPr>
      </w:pPr>
      <w:r>
        <w:rPr>
          <w:rFonts w:hint="eastAsia"/>
          <w:sz w:val="28"/>
          <w:szCs w:val="36"/>
        </w:rPr>
        <w:t>1、加大资金投入。请上级部门加大对社会保障资金的投入，全面提高救助标准，让弱势群体最基本的生活医疗得到有效保障。</w:t>
      </w:r>
    </w:p>
    <w:p>
      <w:pPr>
        <w:spacing w:line="600" w:lineRule="exact"/>
        <w:ind w:firstLine="560" w:firstLineChars="200"/>
        <w:rPr>
          <w:rFonts w:hint="eastAsia"/>
          <w:sz w:val="28"/>
          <w:szCs w:val="36"/>
        </w:rPr>
      </w:pPr>
      <w:r>
        <w:rPr>
          <w:rFonts w:hint="eastAsia"/>
          <w:sz w:val="28"/>
          <w:szCs w:val="36"/>
        </w:rPr>
        <w:t>2、加大民政项目建设资金的投入。民政的项目建设（如乡镇敬老院建设）都是关系民生的重点项目，也是上级考核的重要指标，但是依靠当地政府是不可能有资金投入，所有敬老院的建设、设施配备都需要大量的资金投入，希望上级部门加大对民政养老项目建设的投入，让特困人员群体享受最基本人保障。</w:t>
      </w:r>
    </w:p>
    <w:p>
      <w:pPr>
        <w:spacing w:line="600" w:lineRule="exact"/>
        <w:ind w:firstLine="560" w:firstLineChars="200"/>
        <w:rPr>
          <w:rFonts w:hint="eastAsia"/>
          <w:sz w:val="28"/>
          <w:szCs w:val="36"/>
        </w:rPr>
      </w:pPr>
    </w:p>
    <w:p>
      <w:pPr>
        <w:spacing w:line="600" w:lineRule="exact"/>
        <w:ind w:firstLine="560" w:firstLineChars="200"/>
        <w:rPr>
          <w:rFonts w:hint="eastAsia"/>
          <w:sz w:val="28"/>
          <w:szCs w:val="36"/>
        </w:rPr>
      </w:pPr>
      <w:r>
        <w:rPr>
          <w:rFonts w:hint="eastAsia"/>
          <w:sz w:val="28"/>
          <w:szCs w:val="36"/>
        </w:rPr>
        <w:t xml:space="preserve">                                        道县民政局</w:t>
      </w:r>
    </w:p>
    <w:p>
      <w:pPr>
        <w:spacing w:line="600" w:lineRule="exact"/>
        <w:ind w:firstLine="560" w:firstLineChars="200"/>
        <w:rPr>
          <w:rFonts w:hint="eastAsia"/>
          <w:sz w:val="28"/>
          <w:szCs w:val="36"/>
        </w:rPr>
      </w:pPr>
      <w:r>
        <w:rPr>
          <w:rFonts w:hint="eastAsia"/>
          <w:sz w:val="28"/>
          <w:szCs w:val="36"/>
        </w:rPr>
        <w:t xml:space="preserve">                                       202</w:t>
      </w:r>
      <w:r>
        <w:rPr>
          <w:rFonts w:hint="eastAsia"/>
          <w:sz w:val="28"/>
          <w:szCs w:val="36"/>
          <w:lang w:val="en-US" w:eastAsia="zh-CN"/>
        </w:rPr>
        <w:t>1</w:t>
      </w:r>
      <w:r>
        <w:rPr>
          <w:rFonts w:hint="eastAsia"/>
          <w:sz w:val="28"/>
          <w:szCs w:val="36"/>
        </w:rPr>
        <w:t>年06月02号</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CB153"/>
    <w:multiLevelType w:val="singleLevel"/>
    <w:tmpl w:val="9B7CB153"/>
    <w:lvl w:ilvl="0" w:tentative="0">
      <w:start w:val="3"/>
      <w:numFmt w:val="decimal"/>
      <w:suff w:val="nothing"/>
      <w:lvlText w:val="%1、"/>
      <w:lvlJc w:val="left"/>
    </w:lvl>
  </w:abstractNum>
  <w:abstractNum w:abstractNumId="1">
    <w:nsid w:val="C6F102A6"/>
    <w:multiLevelType w:val="singleLevel"/>
    <w:tmpl w:val="C6F102A6"/>
    <w:lvl w:ilvl="0" w:tentative="0">
      <w:start w:val="1"/>
      <w:numFmt w:val="chineseCounting"/>
      <w:suff w:val="nothing"/>
      <w:lvlText w:val="%1、"/>
      <w:lvlJc w:val="left"/>
      <w:pPr>
        <w:ind w:left="210" w:firstLine="0"/>
      </w:pPr>
      <w:rPr>
        <w:rFonts w:hint="eastAsia"/>
      </w:rPr>
    </w:lvl>
  </w:abstractNum>
  <w:abstractNum w:abstractNumId="2">
    <w:nsid w:val="E5833758"/>
    <w:multiLevelType w:val="singleLevel"/>
    <w:tmpl w:val="E5833758"/>
    <w:lvl w:ilvl="0" w:tentative="0">
      <w:start w:val="1"/>
      <w:numFmt w:val="decimal"/>
      <w:lvlText w:val="%1."/>
      <w:lvlJc w:val="left"/>
      <w:pPr>
        <w:tabs>
          <w:tab w:val="left" w:pos="312"/>
        </w:tabs>
      </w:pPr>
    </w:lvl>
  </w:abstractNum>
  <w:abstractNum w:abstractNumId="3">
    <w:nsid w:val="25980DB8"/>
    <w:multiLevelType w:val="singleLevel"/>
    <w:tmpl w:val="25980DB8"/>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13047CF"/>
    <w:rsid w:val="1F7029F4"/>
    <w:rsid w:val="21E21E7F"/>
    <w:rsid w:val="224A0F6E"/>
    <w:rsid w:val="27AA6A5A"/>
    <w:rsid w:val="34C915DD"/>
    <w:rsid w:val="34CB6886"/>
    <w:rsid w:val="442D3790"/>
    <w:rsid w:val="49B769F4"/>
    <w:rsid w:val="49C216DD"/>
    <w:rsid w:val="4B9648EC"/>
    <w:rsid w:val="4C2A11B0"/>
    <w:rsid w:val="4E4C0585"/>
    <w:rsid w:val="59987F3E"/>
    <w:rsid w:val="59D2726A"/>
    <w:rsid w:val="620D6A4A"/>
    <w:rsid w:val="6F3724EE"/>
    <w:rsid w:val="75EE2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8"/>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页眉 Char"/>
    <w:basedOn w:val="7"/>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9679</Words>
  <Characters>12672</Characters>
  <Lines>69</Lines>
  <Paragraphs>19</Paragraphs>
  <TotalTime>0</TotalTime>
  <ScaleCrop>false</ScaleCrop>
  <LinksUpToDate>false</LinksUpToDate>
  <CharactersWithSpaces>13892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2023-09-28T05:57:54Z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544B38419D0F415FA27C466296AD9B96_13</vt:lpwstr>
  </property>
</Properties>
</file>