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r>
        <w:rPr>
          <w:rFonts w:hint="eastAsia" w:eastAsia="方正小标宋_GBK"/>
          <w:sz w:val="36"/>
          <w:szCs w:val="36"/>
          <w:lang w:val="en-US" w:eastAsia="zh-CN"/>
        </w:rPr>
        <w:t>2021</w:t>
      </w:r>
      <w:r>
        <w:rPr>
          <w:rFonts w:hint="eastAsia" w:eastAsia="方正小标宋_GBK"/>
          <w:sz w:val="36"/>
          <w:szCs w:val="36"/>
        </w:rPr>
        <w:t>年度</w:t>
      </w:r>
      <w:r>
        <w:rPr>
          <w:rFonts w:hint="eastAsia" w:eastAsia="方正小标宋_GBK"/>
          <w:sz w:val="36"/>
          <w:szCs w:val="36"/>
          <w:lang w:val="en-US" w:eastAsia="zh-CN"/>
        </w:rPr>
        <w:t>道县发改局</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numPr>
          <w:ilvl w:val="0"/>
          <w:numId w:val="1"/>
        </w:numPr>
        <w:adjustRightInd w:val="0"/>
        <w:snapToGrid w:val="0"/>
        <w:spacing w:line="600" w:lineRule="exact"/>
        <w:ind w:firstLine="640" w:firstLineChars="200"/>
        <w:rPr>
          <w:rFonts w:eastAsia="黑体"/>
          <w:sz w:val="32"/>
          <w:szCs w:val="32"/>
        </w:rPr>
      </w:pPr>
      <w:r>
        <w:rPr>
          <w:rFonts w:hint="eastAsia" w:eastAsia="黑体"/>
          <w:sz w:val="32"/>
          <w:szCs w:val="32"/>
          <w:lang w:eastAsia="zh-CN"/>
        </w:rPr>
        <w:t>基本情况</w:t>
      </w:r>
      <w:bookmarkStart w:id="0" w:name="_GoBack"/>
      <w:bookmarkEnd w:id="0"/>
    </w:p>
    <w:p>
      <w:pPr>
        <w:numPr>
          <w:ilvl w:val="0"/>
          <w:numId w:val="0"/>
        </w:numPr>
        <w:adjustRightInd w:val="0"/>
        <w:snapToGrid w:val="0"/>
        <w:spacing w:line="600" w:lineRule="exact"/>
        <w:rPr>
          <w:rFonts w:hint="default" w:eastAsia="黑体"/>
          <w:sz w:val="32"/>
          <w:szCs w:val="32"/>
          <w:lang w:val="en-US"/>
        </w:rPr>
      </w:pPr>
      <w:r>
        <w:rPr>
          <w:rFonts w:hint="eastAsia" w:eastAsia="黑体"/>
          <w:sz w:val="32"/>
          <w:szCs w:val="32"/>
          <w:lang w:val="en-US" w:eastAsia="zh-CN"/>
        </w:rPr>
        <w:t xml:space="preserve">   （一）部门基本情况</w:t>
      </w:r>
    </w:p>
    <w:p>
      <w:pPr>
        <w:snapToGrid w:val="0"/>
        <w:spacing w:line="579" w:lineRule="atLeast"/>
        <w:ind w:firstLine="640" w:firstLineChars="200"/>
        <w:rPr>
          <w:rFonts w:hint="eastAsia" w:eastAsia="仿宋_GB2312"/>
          <w:sz w:val="32"/>
          <w:szCs w:val="32"/>
        </w:rPr>
      </w:pPr>
      <w:r>
        <w:rPr>
          <w:rFonts w:hint="eastAsia" w:eastAsia="黑体"/>
          <w:sz w:val="32"/>
          <w:szCs w:val="32"/>
          <w:lang w:val="en-US" w:eastAsia="zh-CN"/>
        </w:rPr>
        <w:t xml:space="preserve"> </w:t>
      </w:r>
      <w:r>
        <w:rPr>
          <w:rFonts w:hint="eastAsia" w:eastAsia="仿宋_GB2312"/>
          <w:sz w:val="32"/>
          <w:szCs w:val="32"/>
          <w:lang w:eastAsia="zh-CN"/>
        </w:rPr>
        <w:t>道县发改</w:t>
      </w:r>
      <w:r>
        <w:rPr>
          <w:rFonts w:hint="eastAsia" w:eastAsia="仿宋_GB2312"/>
          <w:sz w:val="32"/>
          <w:szCs w:val="32"/>
          <w:lang w:val="en-US" w:eastAsia="zh-CN"/>
        </w:rPr>
        <w:t>局</w:t>
      </w:r>
      <w:r>
        <w:rPr>
          <w:rFonts w:eastAsia="仿宋_GB2312"/>
          <w:sz w:val="32"/>
          <w:szCs w:val="32"/>
        </w:rPr>
        <w:t>是</w:t>
      </w:r>
      <w:r>
        <w:rPr>
          <w:rFonts w:hint="eastAsia" w:eastAsia="仿宋_GB2312"/>
          <w:sz w:val="32"/>
          <w:szCs w:val="32"/>
          <w:lang w:eastAsia="zh-CN"/>
        </w:rPr>
        <w:t>道县人民</w:t>
      </w:r>
      <w:r>
        <w:rPr>
          <w:rFonts w:eastAsia="仿宋_GB2312"/>
          <w:sz w:val="32"/>
          <w:szCs w:val="32"/>
        </w:rPr>
        <w:t>政府</w:t>
      </w:r>
      <w:r>
        <w:rPr>
          <w:rFonts w:hint="eastAsia" w:eastAsia="仿宋_GB2312"/>
          <w:sz w:val="32"/>
          <w:szCs w:val="32"/>
          <w:lang w:val="en-US" w:eastAsia="zh-CN"/>
        </w:rPr>
        <w:t>的</w:t>
      </w:r>
      <w:r>
        <w:rPr>
          <w:rFonts w:hint="eastAsia" w:eastAsia="仿宋_GB2312"/>
          <w:sz w:val="32"/>
          <w:szCs w:val="32"/>
          <w:lang w:eastAsia="zh-CN"/>
        </w:rPr>
        <w:t>工作</w:t>
      </w:r>
      <w:r>
        <w:rPr>
          <w:rFonts w:eastAsia="仿宋_GB2312"/>
          <w:sz w:val="32"/>
          <w:szCs w:val="32"/>
        </w:rPr>
        <w:t>部门，主要职责是</w:t>
      </w:r>
      <w:r>
        <w:rPr>
          <w:rFonts w:hint="eastAsia" w:eastAsia="仿宋_GB2312"/>
          <w:sz w:val="32"/>
          <w:szCs w:val="32"/>
          <w:lang w:eastAsia="zh-CN"/>
        </w:rPr>
        <w:t>：</w:t>
      </w:r>
      <w:r>
        <w:rPr>
          <w:rFonts w:hint="eastAsia" w:eastAsia="仿宋_GB2312"/>
          <w:sz w:val="32"/>
          <w:szCs w:val="32"/>
        </w:rPr>
        <w:t>1、拟订并组织实施全县国民经济和社会发展战略、中长期规划和年度计划并监督管理；2、监测全县宏观经济和社会发展态势并协调解决宏观经济运行中的重大问题；3、产业政策、全口径外债、投资基金、企业债券的监督管理；4、协调促进专项经济体制改革；5、全县重大建设项目和固定资产投资的监督管理；6、服务业、全县物流、高新技术产业的监督管理；7、区域经济和城镇化发展管理；8、市场调控和国家战略物资监督管理；9、人口和计划生育、教育、文化、卫生、民政等发展政策的贯彻执行；10、负责节能减排的综合协调工作；11、组织实施国民经济动员和装备动员有关工作；1</w:t>
      </w:r>
      <w:r>
        <w:rPr>
          <w:rFonts w:hint="eastAsia" w:eastAsia="仿宋_GB2312"/>
          <w:sz w:val="32"/>
          <w:szCs w:val="32"/>
          <w:lang w:val="en-US" w:eastAsia="zh-CN"/>
        </w:rPr>
        <w:t>2</w:t>
      </w:r>
      <w:r>
        <w:rPr>
          <w:rFonts w:hint="eastAsia" w:eastAsia="仿宋_GB2312"/>
          <w:sz w:val="32"/>
          <w:szCs w:val="32"/>
        </w:rPr>
        <w:t>、指导和协调本行政区域内招标投标活动，并对重大建设项目的招投标活动进行监督检查执法；1</w:t>
      </w:r>
      <w:r>
        <w:rPr>
          <w:rFonts w:hint="eastAsia" w:eastAsia="仿宋_GB2312"/>
          <w:sz w:val="32"/>
          <w:szCs w:val="32"/>
          <w:lang w:val="en-US" w:eastAsia="zh-CN"/>
        </w:rPr>
        <w:t>3</w:t>
      </w:r>
      <w:r>
        <w:rPr>
          <w:rFonts w:hint="eastAsia" w:eastAsia="仿宋_GB2312"/>
          <w:sz w:val="32"/>
          <w:szCs w:val="32"/>
        </w:rPr>
        <w:t>、承办县人民政府交办的其他事项。</w:t>
      </w:r>
    </w:p>
    <w:p>
      <w:pPr>
        <w:snapToGrid w:val="0"/>
        <w:spacing w:line="579" w:lineRule="atLeast"/>
        <w:ind w:firstLine="640" w:firstLineChars="200"/>
        <w:rPr>
          <w:rFonts w:hint="eastAsia" w:eastAsia="仿宋_GB2312"/>
          <w:sz w:val="32"/>
          <w:szCs w:val="32"/>
          <w:lang w:val="en-US" w:eastAsia="zh-CN"/>
        </w:rPr>
      </w:pPr>
      <w:r>
        <w:rPr>
          <w:rFonts w:hint="eastAsia" w:eastAsia="仿宋_GB2312"/>
          <w:sz w:val="32"/>
          <w:szCs w:val="32"/>
          <w:lang w:eastAsia="zh-CN"/>
        </w:rPr>
        <w:t>道县发改</w:t>
      </w:r>
      <w:r>
        <w:rPr>
          <w:rFonts w:hint="eastAsia" w:eastAsia="仿宋_GB2312"/>
          <w:sz w:val="32"/>
          <w:szCs w:val="32"/>
          <w:lang w:val="en-US" w:eastAsia="zh-CN"/>
        </w:rPr>
        <w:t>局</w:t>
      </w:r>
      <w:r>
        <w:rPr>
          <w:rFonts w:hint="eastAsia" w:eastAsia="仿宋_GB2312"/>
          <w:sz w:val="32"/>
          <w:szCs w:val="32"/>
        </w:rPr>
        <w:t>内设机构10个：办公室（政工股）、综合规划和社会发展股、法规股（县公共资源交易管理委员会办公室）、固定资产投资股（加挂重大项目前期工作办公室牌子）、农村经济股、工交服务业股（县国民经济动员办公室）、能源股（挂道县能源局牌子）、资源节约和环境保护股（县节能减排工作领导小组办公室，加挂县节能监察中心牌子）、重大项目稽察股、价格管理股（道县价格调节基金管理办公室）</w:t>
      </w:r>
      <w:r>
        <w:rPr>
          <w:rFonts w:hint="eastAsia" w:eastAsia="仿宋_GB2312"/>
          <w:sz w:val="32"/>
          <w:szCs w:val="32"/>
          <w:lang w:eastAsia="zh-CN"/>
        </w:rPr>
        <w:t>。下属事业单位</w:t>
      </w:r>
      <w:r>
        <w:rPr>
          <w:rFonts w:hint="eastAsia" w:eastAsia="仿宋_GB2312"/>
          <w:sz w:val="32"/>
          <w:szCs w:val="32"/>
          <w:lang w:val="en-US" w:eastAsia="zh-CN"/>
        </w:rPr>
        <w:t>3</w:t>
      </w:r>
      <w:r>
        <w:rPr>
          <w:rFonts w:hint="eastAsia" w:eastAsia="仿宋_GB2312"/>
          <w:sz w:val="32"/>
          <w:szCs w:val="32"/>
          <w:lang w:eastAsia="zh-CN"/>
        </w:rPr>
        <w:t>个：道县重点建设工程领导小组办公室（副科级公益一类事业单位）、价格认证中心（正股级公益一类事业单位）、价格监测中心（正股级公益一类单位）。行政编制25人，事业编制21人，实有人员</w:t>
      </w:r>
      <w:r>
        <w:rPr>
          <w:rFonts w:hint="eastAsia" w:eastAsia="仿宋_GB2312"/>
          <w:sz w:val="32"/>
          <w:szCs w:val="32"/>
          <w:lang w:val="en-US" w:eastAsia="zh-CN"/>
        </w:rPr>
        <w:t>58</w:t>
      </w:r>
      <w:r>
        <w:rPr>
          <w:rFonts w:hint="eastAsia" w:eastAsia="仿宋_GB2312"/>
          <w:sz w:val="32"/>
          <w:szCs w:val="32"/>
          <w:lang w:eastAsia="zh-CN"/>
        </w:rPr>
        <w:t>人。公务用车</w:t>
      </w:r>
      <w:r>
        <w:rPr>
          <w:rFonts w:hint="eastAsia" w:eastAsia="仿宋_GB2312"/>
          <w:sz w:val="32"/>
          <w:szCs w:val="32"/>
          <w:lang w:val="en-US" w:eastAsia="zh-CN"/>
        </w:rPr>
        <w:t>2辆。</w:t>
      </w:r>
    </w:p>
    <w:p>
      <w:pPr>
        <w:numPr>
          <w:ilvl w:val="0"/>
          <w:numId w:val="2"/>
        </w:numPr>
        <w:snapToGrid w:val="0"/>
        <w:spacing w:line="520" w:lineRule="exact"/>
        <w:ind w:firstLine="964" w:firstLineChars="300"/>
        <w:rPr>
          <w:rFonts w:hint="eastAsia" w:ascii="仿宋" w:hAnsi="仿宋" w:eastAsia="仿宋"/>
          <w:b/>
          <w:bCs/>
          <w:sz w:val="32"/>
          <w:szCs w:val="32"/>
          <w:lang w:eastAsia="zh-CN"/>
        </w:rPr>
      </w:pPr>
      <w:r>
        <w:rPr>
          <w:rFonts w:hint="eastAsia" w:ascii="仿宋" w:hAnsi="仿宋" w:eastAsia="仿宋"/>
          <w:b/>
          <w:bCs/>
          <w:sz w:val="32"/>
          <w:szCs w:val="32"/>
          <w:lang w:eastAsia="zh-CN"/>
        </w:rPr>
        <w:t>部门年度整体支出绩效目标</w:t>
      </w:r>
    </w:p>
    <w:p>
      <w:pPr>
        <w:numPr>
          <w:ilvl w:val="0"/>
          <w:numId w:val="0"/>
        </w:numPr>
        <w:snapToGrid w:val="0"/>
        <w:spacing w:line="520" w:lineRule="exact"/>
        <w:ind w:firstLine="960" w:firstLineChars="300"/>
        <w:rPr>
          <w:rFonts w:hint="eastAsia"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年，在县委、县政府的正确领导下，县发改</w:t>
      </w:r>
      <w:r>
        <w:rPr>
          <w:rFonts w:hint="eastAsia" w:ascii="仿宋" w:hAnsi="仿宋" w:eastAsia="仿宋"/>
          <w:sz w:val="32"/>
          <w:szCs w:val="32"/>
          <w:lang w:val="en-US" w:eastAsia="zh-CN"/>
        </w:rPr>
        <w:t>局</w:t>
      </w:r>
      <w:r>
        <w:rPr>
          <w:rFonts w:hint="eastAsia" w:ascii="仿宋" w:hAnsi="仿宋" w:eastAsia="仿宋"/>
          <w:sz w:val="32"/>
          <w:szCs w:val="32"/>
        </w:rPr>
        <w:t>紧紧围绕县委经济工作会议确定的总体目标，以经济建设为中心，坚持项目为王，聚焦“产业项目建设年”，科学谋划，狠抓落实，推动县域经济高质量发展。</w:t>
      </w:r>
    </w:p>
    <w:p>
      <w:pPr>
        <w:adjustRightInd w:val="0"/>
        <w:snapToGrid w:val="0"/>
        <w:spacing w:line="600" w:lineRule="exact"/>
        <w:ind w:firstLine="643" w:firstLineChars="200"/>
        <w:rPr>
          <w:rFonts w:hint="eastAsia" w:ascii="仿宋_GB2312" w:hAnsi="仿宋" w:eastAsiaTheme="minorEastAsia"/>
          <w:b/>
          <w:sz w:val="32"/>
          <w:szCs w:val="32"/>
          <w:lang w:eastAsia="zh-CN"/>
        </w:rPr>
      </w:pPr>
      <w:r>
        <w:rPr>
          <w:rFonts w:hint="eastAsia" w:asciiTheme="minorEastAsia" w:hAnsiTheme="minorEastAsia" w:eastAsiaTheme="minorEastAsia"/>
          <w:b/>
          <w:sz w:val="32"/>
          <w:szCs w:val="32"/>
          <w:lang w:eastAsia="zh-CN"/>
        </w:rPr>
        <w:t>二</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eastAsia="zh-CN"/>
        </w:rPr>
        <w:t>一般公共预算支出情况</w:t>
      </w:r>
    </w:p>
    <w:p>
      <w:pPr>
        <w:snapToGrid w:val="0"/>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2021年支出1361.23万元，具体安排情况如下：</w:t>
      </w:r>
    </w:p>
    <w:p>
      <w:pPr>
        <w:numPr>
          <w:ilvl w:val="0"/>
          <w:numId w:val="3"/>
        </w:numPr>
        <w:snapToGrid w:val="0"/>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基本支出：</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年</w:t>
      </w:r>
      <w:r>
        <w:rPr>
          <w:rFonts w:hint="eastAsia" w:eastAsia="仿宋_GB2312"/>
          <w:sz w:val="32"/>
          <w:szCs w:val="32"/>
          <w:lang w:val="en-US" w:eastAsia="zh-CN"/>
        </w:rPr>
        <w:t>支出</w:t>
      </w:r>
      <w:r>
        <w:rPr>
          <w:rFonts w:hint="eastAsia" w:eastAsia="仿宋_GB2312"/>
          <w:sz w:val="32"/>
          <w:szCs w:val="32"/>
          <w:lang w:eastAsia="zh-CN"/>
        </w:rPr>
        <w:t>数为</w:t>
      </w:r>
      <w:r>
        <w:rPr>
          <w:rFonts w:hint="eastAsia" w:eastAsia="仿宋_GB2312"/>
          <w:sz w:val="32"/>
          <w:szCs w:val="32"/>
          <w:lang w:val="en-US" w:eastAsia="zh-CN"/>
        </w:rPr>
        <w:t>773.6</w:t>
      </w:r>
      <w:r>
        <w:rPr>
          <w:rFonts w:hint="eastAsia" w:eastAsia="仿宋_GB2312"/>
          <w:sz w:val="32"/>
          <w:szCs w:val="32"/>
          <w:lang w:eastAsia="zh-CN"/>
        </w:rPr>
        <w:t>万元，其中：工资福利支出</w:t>
      </w:r>
      <w:r>
        <w:rPr>
          <w:rFonts w:hint="eastAsia" w:eastAsia="仿宋_GB2312"/>
          <w:sz w:val="32"/>
          <w:szCs w:val="32"/>
          <w:lang w:val="en-US" w:eastAsia="zh-CN"/>
        </w:rPr>
        <w:t>562.05</w:t>
      </w:r>
      <w:r>
        <w:rPr>
          <w:rFonts w:hint="eastAsia" w:eastAsia="仿宋_GB2312"/>
          <w:sz w:val="32"/>
          <w:szCs w:val="32"/>
          <w:lang w:eastAsia="zh-CN"/>
        </w:rPr>
        <w:t>万元（</w:t>
      </w:r>
      <w:r>
        <w:rPr>
          <w:rFonts w:hint="eastAsia" w:eastAsia="仿宋_GB2312"/>
          <w:sz w:val="32"/>
          <w:szCs w:val="32"/>
          <w:lang w:val="en-US" w:eastAsia="zh-CN"/>
        </w:rPr>
        <w:t>基本工资279.56万元，津补贴85.44万元，基本养老保险缴费38.11万元，基本医疗45.63万元，绩效工资11.72万元，奖金59.52万元，其他工资福利支出37.95万元</w:t>
      </w:r>
      <w:r>
        <w:rPr>
          <w:rFonts w:hint="eastAsia" w:eastAsia="仿宋_GB2312"/>
          <w:sz w:val="32"/>
          <w:szCs w:val="32"/>
          <w:lang w:eastAsia="zh-CN"/>
        </w:rPr>
        <w:t>）；一般商品和服务支出</w:t>
      </w:r>
      <w:r>
        <w:rPr>
          <w:rFonts w:hint="eastAsia" w:eastAsia="仿宋_GB2312"/>
          <w:sz w:val="32"/>
          <w:szCs w:val="32"/>
          <w:lang w:val="en-US" w:eastAsia="zh-CN"/>
        </w:rPr>
        <w:t>211.54</w:t>
      </w:r>
      <w:r>
        <w:rPr>
          <w:rFonts w:hint="eastAsia" w:eastAsia="仿宋_GB2312"/>
          <w:sz w:val="32"/>
          <w:szCs w:val="32"/>
          <w:lang w:eastAsia="zh-CN"/>
        </w:rPr>
        <w:t>万元（办公费</w:t>
      </w:r>
      <w:r>
        <w:rPr>
          <w:rFonts w:hint="eastAsia" w:eastAsia="仿宋_GB2312"/>
          <w:sz w:val="32"/>
          <w:szCs w:val="32"/>
          <w:lang w:val="en-US" w:eastAsia="zh-CN"/>
        </w:rPr>
        <w:t>15.2万元，印刷费24.42万元，咨询费66.5万元，租赁费9万元，培训费0.66万元，公务接待费16.9万元，劳务费2.87万元，工会经费43.46万元，公务用车运行及维护费13.3万元，其他交通费19.23万元。</w:t>
      </w:r>
      <w:r>
        <w:rPr>
          <w:rFonts w:hint="eastAsia" w:eastAsia="仿宋_GB2312"/>
          <w:sz w:val="32"/>
          <w:szCs w:val="32"/>
          <w:lang w:eastAsia="zh-CN"/>
        </w:rPr>
        <w:t>）。</w:t>
      </w:r>
    </w:p>
    <w:p>
      <w:pPr>
        <w:numPr>
          <w:ilvl w:val="0"/>
          <w:numId w:val="3"/>
        </w:numPr>
        <w:snapToGrid w:val="0"/>
        <w:spacing w:line="52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项目支出：</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年</w:t>
      </w:r>
      <w:r>
        <w:rPr>
          <w:rFonts w:hint="eastAsia" w:eastAsia="仿宋_GB2312"/>
          <w:sz w:val="32"/>
          <w:szCs w:val="32"/>
          <w:lang w:val="en-US" w:eastAsia="zh-CN"/>
        </w:rPr>
        <w:t>支出</w:t>
      </w:r>
      <w:r>
        <w:rPr>
          <w:rFonts w:hint="eastAsia" w:eastAsia="仿宋_GB2312"/>
          <w:sz w:val="32"/>
          <w:szCs w:val="32"/>
          <w:lang w:eastAsia="zh-CN"/>
        </w:rPr>
        <w:t>数为</w:t>
      </w:r>
      <w:r>
        <w:rPr>
          <w:rFonts w:hint="eastAsia" w:eastAsia="仿宋_GB2312"/>
          <w:sz w:val="32"/>
          <w:szCs w:val="32"/>
          <w:lang w:val="en-US" w:eastAsia="zh-CN"/>
        </w:rPr>
        <w:t>587.64</w:t>
      </w:r>
      <w:r>
        <w:rPr>
          <w:rFonts w:hint="eastAsia" w:eastAsia="仿宋_GB2312"/>
          <w:sz w:val="32"/>
          <w:szCs w:val="32"/>
          <w:lang w:eastAsia="zh-CN"/>
        </w:rPr>
        <w:t>万元，其中：工资福利支出</w:t>
      </w:r>
      <w:r>
        <w:rPr>
          <w:rFonts w:hint="eastAsia" w:eastAsia="仿宋_GB2312"/>
          <w:sz w:val="32"/>
          <w:szCs w:val="32"/>
          <w:lang w:val="en-US" w:eastAsia="zh-CN"/>
        </w:rPr>
        <w:t>99万元（津贴补贴99万元）</w:t>
      </w:r>
      <w:r>
        <w:rPr>
          <w:rFonts w:hint="eastAsia" w:eastAsia="仿宋_GB2312"/>
          <w:sz w:val="32"/>
          <w:szCs w:val="32"/>
          <w:lang w:eastAsia="zh-CN"/>
        </w:rPr>
        <w:t>一般商品和服务支出</w:t>
      </w:r>
      <w:r>
        <w:rPr>
          <w:rFonts w:hint="eastAsia" w:eastAsia="仿宋_GB2312"/>
          <w:sz w:val="32"/>
          <w:szCs w:val="32"/>
          <w:lang w:val="en-US" w:eastAsia="zh-CN"/>
        </w:rPr>
        <w:t>98.6</w:t>
      </w:r>
      <w:r>
        <w:rPr>
          <w:rFonts w:hint="eastAsia" w:eastAsia="仿宋_GB2312"/>
          <w:sz w:val="32"/>
          <w:szCs w:val="32"/>
          <w:lang w:eastAsia="zh-CN"/>
        </w:rPr>
        <w:t>万元（</w:t>
      </w:r>
      <w:r>
        <w:rPr>
          <w:rFonts w:hint="eastAsia" w:eastAsia="仿宋_GB2312"/>
          <w:sz w:val="32"/>
          <w:szCs w:val="32"/>
          <w:lang w:val="en-US" w:eastAsia="zh-CN"/>
        </w:rPr>
        <w:t>印刷费30.55万元，咨询费29.08万元，劳务费21.3万元，其他交通费17.67万元。</w:t>
      </w:r>
      <w:r>
        <w:rPr>
          <w:rFonts w:hint="eastAsia" w:eastAsia="仿宋_GB2312"/>
          <w:sz w:val="32"/>
          <w:szCs w:val="32"/>
          <w:lang w:eastAsia="zh-CN"/>
        </w:rPr>
        <w:t>）；对个人和家庭补助支出</w:t>
      </w:r>
      <w:r>
        <w:rPr>
          <w:rFonts w:hint="eastAsia" w:eastAsia="仿宋_GB2312"/>
          <w:sz w:val="32"/>
          <w:szCs w:val="32"/>
          <w:lang w:val="en-US" w:eastAsia="zh-CN"/>
        </w:rPr>
        <w:t>243.8</w:t>
      </w:r>
      <w:r>
        <w:rPr>
          <w:rFonts w:hint="eastAsia" w:eastAsia="仿宋_GB2312"/>
          <w:sz w:val="32"/>
          <w:szCs w:val="32"/>
          <w:lang w:eastAsia="zh-CN"/>
        </w:rPr>
        <w:t>万元（</w:t>
      </w:r>
      <w:r>
        <w:rPr>
          <w:rFonts w:hint="eastAsia" w:eastAsia="仿宋_GB2312"/>
          <w:sz w:val="32"/>
          <w:szCs w:val="32"/>
          <w:lang w:val="en-US" w:eastAsia="zh-CN"/>
        </w:rPr>
        <w:t>奖励金243.8万元</w:t>
      </w:r>
      <w:r>
        <w:rPr>
          <w:rFonts w:hint="eastAsia" w:eastAsia="仿宋_GB2312"/>
          <w:sz w:val="32"/>
          <w:szCs w:val="32"/>
          <w:lang w:eastAsia="zh-CN"/>
        </w:rPr>
        <w:t>）；</w:t>
      </w:r>
      <w:r>
        <w:rPr>
          <w:rFonts w:hint="eastAsia" w:eastAsia="仿宋_GB2312"/>
          <w:sz w:val="32"/>
          <w:szCs w:val="32"/>
          <w:lang w:val="en-US" w:eastAsia="zh-CN"/>
        </w:rPr>
        <w:t>资本性支出44.4万元（办公设备购置1.65万元，物资储备42.75万元）；对企业补助101.84万元（费用补贴101.84万元）</w:t>
      </w:r>
      <w:r>
        <w:rPr>
          <w:rFonts w:hint="eastAsia" w:eastAsia="仿宋_GB2312"/>
          <w:sz w:val="32"/>
          <w:szCs w:val="32"/>
          <w:lang w:eastAsia="zh-CN"/>
        </w:rPr>
        <w:t>。</w:t>
      </w:r>
    </w:p>
    <w:p>
      <w:pPr>
        <w:numPr>
          <w:ilvl w:val="0"/>
          <w:numId w:val="0"/>
        </w:numPr>
        <w:snapToGrid w:val="0"/>
        <w:spacing w:line="52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sz w:val="32"/>
          <w:szCs w:val="32"/>
          <w:lang w:val="en-US" w:eastAsia="zh-CN"/>
        </w:rPr>
        <w:t>“</w:t>
      </w:r>
      <w:r>
        <w:rPr>
          <w:rFonts w:hint="eastAsia" w:ascii="黑体" w:hAnsi="黑体" w:eastAsia="黑体"/>
          <w:b w:val="0"/>
          <w:bCs w:val="0"/>
          <w:sz w:val="32"/>
          <w:szCs w:val="32"/>
          <w:lang w:val="en-US" w:eastAsia="zh-CN"/>
        </w:rPr>
        <w:t>三公”经费使用情况</w:t>
      </w:r>
    </w:p>
    <w:p>
      <w:pPr>
        <w:numPr>
          <w:ilvl w:val="0"/>
          <w:numId w:val="0"/>
        </w:numPr>
        <w:snapToGrid w:val="0"/>
        <w:spacing w:line="52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2021年公务用车购置数为0，车辆保有量2台。</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2021年“三公”经费决算为30.2万元，其中：公务接待费16.9万元，公务用车运行及维护费13.3万元，比2020年减少0.2万元。</w:t>
      </w:r>
    </w:p>
    <w:p>
      <w:pPr>
        <w:numPr>
          <w:ilvl w:val="0"/>
          <w:numId w:val="0"/>
        </w:numPr>
        <w:adjustRightInd w:val="0"/>
        <w:snapToGrid w:val="0"/>
        <w:spacing w:line="600" w:lineRule="exact"/>
        <w:ind w:firstLine="960" w:firstLineChars="300"/>
        <w:rPr>
          <w:rFonts w:hint="eastAsia" w:ascii="仿宋_GB2312" w:hAnsi="仿宋" w:eastAsia="仿宋_GB2312"/>
          <w:sz w:val="32"/>
          <w:szCs w:val="32"/>
          <w:lang w:val="en-US" w:eastAsia="zh-CN"/>
        </w:rPr>
      </w:pPr>
      <w:r>
        <w:rPr>
          <w:rFonts w:hint="eastAsia" w:eastAsia="黑体"/>
          <w:sz w:val="32"/>
          <w:szCs w:val="32"/>
          <w:lang w:eastAsia="zh-CN"/>
        </w:rPr>
        <w:t>三、政府性基金预算支出情况</w:t>
      </w:r>
    </w:p>
    <w:p>
      <w:pPr>
        <w:pStyle w:val="3"/>
        <w:numPr>
          <w:ilvl w:val="0"/>
          <w:numId w:val="0"/>
        </w:numPr>
        <w:ind w:left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本单位无政府性基金预算收支。</w:t>
      </w:r>
    </w:p>
    <w:p>
      <w:pPr>
        <w:numPr>
          <w:ilvl w:val="0"/>
          <w:numId w:val="0"/>
        </w:numPr>
        <w:adjustRightInd w:val="0"/>
        <w:snapToGrid w:val="0"/>
        <w:spacing w:line="600" w:lineRule="exact"/>
        <w:ind w:leftChars="200" w:firstLine="320" w:firstLineChars="100"/>
        <w:rPr>
          <w:rFonts w:hint="eastAsia" w:eastAsia="黑体"/>
          <w:b/>
          <w:bCs/>
          <w:sz w:val="32"/>
          <w:szCs w:val="32"/>
          <w:lang w:eastAsia="zh-CN"/>
        </w:rPr>
      </w:pPr>
      <w:r>
        <w:rPr>
          <w:rFonts w:hint="eastAsia" w:eastAsia="黑体"/>
          <w:sz w:val="32"/>
          <w:szCs w:val="32"/>
          <w:lang w:val="en-US" w:eastAsia="zh-CN"/>
        </w:rPr>
        <w:t xml:space="preserve"> 四</w:t>
      </w:r>
      <w:r>
        <w:rPr>
          <w:rFonts w:hint="eastAsia" w:eastAsia="黑体"/>
          <w:sz w:val="32"/>
          <w:szCs w:val="32"/>
          <w:lang w:eastAsia="zh-CN"/>
        </w:rPr>
        <w:t>、国有资本经营预算支出情况</w:t>
      </w:r>
    </w:p>
    <w:p>
      <w:pPr>
        <w:pStyle w:val="3"/>
        <w:numPr>
          <w:ilvl w:val="0"/>
          <w:numId w:val="0"/>
        </w:numPr>
        <w:ind w:left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本单位无国有资本经营预算收支。</w:t>
      </w:r>
    </w:p>
    <w:p>
      <w:pPr>
        <w:pStyle w:val="3"/>
        <w:numPr>
          <w:ilvl w:val="0"/>
          <w:numId w:val="4"/>
        </w:numPr>
        <w:ind w:left="981" w:leftChars="0" w:firstLine="0" w:firstLineChars="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社会保险基金预算支出情况</w:t>
      </w:r>
    </w:p>
    <w:p>
      <w:pPr>
        <w:pStyle w:val="3"/>
        <w:numPr>
          <w:ilvl w:val="0"/>
          <w:numId w:val="0"/>
        </w:numPr>
        <w:rPr>
          <w:rFonts w:hint="default" w:ascii="仿宋_GB2312" w:hAnsi="仿宋"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   </w:t>
      </w:r>
      <w:r>
        <w:rPr>
          <w:rFonts w:hint="eastAsia" w:ascii="仿宋_GB2312" w:hAnsi="仿宋" w:eastAsia="仿宋_GB2312" w:cs="Times New Roman"/>
          <w:kern w:val="2"/>
          <w:sz w:val="32"/>
          <w:szCs w:val="32"/>
          <w:lang w:val="en-US" w:eastAsia="zh-CN" w:bidi="ar-SA"/>
        </w:rPr>
        <w:t>本单位无社会保险基金预算支出情况</w:t>
      </w:r>
    </w:p>
    <w:p>
      <w:pPr>
        <w:pStyle w:val="3"/>
        <w:numPr>
          <w:ilvl w:val="0"/>
          <w:numId w:val="0"/>
        </w:numPr>
        <w:ind w:left="981" w:leftChars="0"/>
        <w:rPr>
          <w:rFonts w:eastAsia="黑体"/>
          <w:sz w:val="32"/>
          <w:szCs w:val="32"/>
        </w:rPr>
      </w:pPr>
      <w:r>
        <w:rPr>
          <w:rFonts w:hint="eastAsia" w:eastAsia="黑体"/>
          <w:sz w:val="32"/>
          <w:szCs w:val="32"/>
          <w:lang w:eastAsia="zh-CN"/>
        </w:rPr>
        <w:t>六</w:t>
      </w:r>
      <w:r>
        <w:rPr>
          <w:rFonts w:eastAsia="黑体"/>
          <w:sz w:val="32"/>
          <w:szCs w:val="32"/>
        </w:rPr>
        <w:t>、</w:t>
      </w:r>
      <w:r>
        <w:rPr>
          <w:rFonts w:hint="eastAsia" w:eastAsia="黑体"/>
          <w:sz w:val="32"/>
          <w:szCs w:val="32"/>
        </w:rPr>
        <w:t>部门整体支出</w:t>
      </w:r>
      <w:r>
        <w:rPr>
          <w:rFonts w:eastAsia="黑体"/>
          <w:sz w:val="32"/>
          <w:szCs w:val="32"/>
        </w:rPr>
        <w:t>绩效情况</w:t>
      </w:r>
    </w:p>
    <w:p>
      <w:pPr>
        <w:spacing w:line="596" w:lineRule="exact"/>
        <w:ind w:firstLine="640" w:firstLineChars="200"/>
        <w:rPr>
          <w:rFonts w:hint="eastAsia" w:ascii="仿宋_GB2312" w:hAnsi="仿宋_GB2312" w:eastAsia="仿宋_GB2312" w:cs="仿宋_GB2312"/>
          <w:sz w:val="32"/>
          <w:szCs w:val="32"/>
          <w:shd w:val="clear" w:color="auto" w:fill="FFFFFF"/>
        </w:rPr>
      </w:pPr>
      <w:r>
        <w:rPr>
          <w:rFonts w:hint="default" w:ascii="Times New Roman" w:hAnsi="Times New Roman" w:eastAsia="仿宋_GB2312" w:cs="Times New Roman"/>
          <w:color w:val="000000"/>
          <w:sz w:val="32"/>
          <w:szCs w:val="32"/>
        </w:rPr>
        <w:t>我</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各部门根据20</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年度工作计划、立法工作计划和监督工作计划的要求，认真履行职责，较好地完成了年初确定的各项工作任务，</w:t>
      </w:r>
      <w:r>
        <w:rPr>
          <w:rFonts w:hint="eastAsia" w:ascii="Times New Roman" w:hAnsi="Times New Roman" w:eastAsia="仿宋_GB2312" w:cs="Times New Roman"/>
          <w:color w:val="000000"/>
          <w:kern w:val="2"/>
          <w:sz w:val="32"/>
          <w:szCs w:val="32"/>
          <w:lang w:val="en-US" w:eastAsia="zh-CN" w:bidi="ar-SA"/>
        </w:rPr>
        <w:t>坚持厉行节约、以收定支，按照“先基本支出、后项目支出”安排</w:t>
      </w:r>
      <w:r>
        <w:rPr>
          <w:rFonts w:hint="eastAsia" w:eastAsia="仿宋_GB2312" w:cs="Times New Roman"/>
          <w:color w:val="000000"/>
          <w:kern w:val="2"/>
          <w:sz w:val="32"/>
          <w:szCs w:val="32"/>
          <w:lang w:val="en-US" w:eastAsia="zh-CN" w:bidi="ar-SA"/>
        </w:rPr>
        <w:t>顺</w:t>
      </w:r>
      <w:r>
        <w:rPr>
          <w:rFonts w:hint="eastAsia" w:ascii="Times New Roman" w:hAnsi="Times New Roman" w:eastAsia="仿宋_GB2312" w:cs="Times New Roman"/>
          <w:color w:val="000000"/>
          <w:kern w:val="2"/>
          <w:sz w:val="32"/>
          <w:szCs w:val="32"/>
          <w:lang w:val="en-US" w:eastAsia="zh-CN" w:bidi="ar-SA"/>
        </w:rPr>
        <w:t>序，保障了人员经费、基本运转、内涵建设，严格控制财政资金支出，强化了预算执行的刚性，</w:t>
      </w:r>
      <w:r>
        <w:rPr>
          <w:rFonts w:hint="default" w:ascii="Times New Roman" w:hAnsi="Times New Roman" w:eastAsia="仿宋_GB2312" w:cs="Times New Roman"/>
          <w:color w:val="000000"/>
          <w:sz w:val="32"/>
          <w:szCs w:val="32"/>
        </w:rPr>
        <w:t>为推进发改建设事业和全</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经济社会发展作出了积极贡献。根据部门整体支出绩效自评表评分，得分</w:t>
      </w:r>
      <w:r>
        <w:rPr>
          <w:rFonts w:hint="eastAsia" w:ascii="Times New Roman" w:hAnsi="Times New Roman" w:eastAsia="仿宋_GB2312" w:cs="Times New Roman"/>
          <w:color w:val="000000"/>
          <w:sz w:val="32"/>
          <w:szCs w:val="32"/>
          <w:lang w:val="en-US" w:eastAsia="zh-CN"/>
        </w:rPr>
        <w:t>90</w:t>
      </w:r>
      <w:r>
        <w:rPr>
          <w:rFonts w:hint="default" w:ascii="Times New Roman" w:hAnsi="Times New Roman" w:eastAsia="仿宋_GB2312" w:cs="Times New Roman"/>
          <w:color w:val="000000"/>
          <w:sz w:val="32"/>
          <w:szCs w:val="32"/>
        </w:rPr>
        <w:t>分（详见附件2），部门整体支出绩效为“优”。主要绩效如下：</w:t>
      </w:r>
    </w:p>
    <w:p>
      <w:pPr>
        <w:spacing w:line="560" w:lineRule="exact"/>
        <w:ind w:firstLine="643" w:firstLineChars="200"/>
        <w:rPr>
          <w:rFonts w:ascii="仿宋_GB2312" w:hAnsi="仿宋" w:eastAsia="仿宋_GB2312" w:cs="Times New Roman"/>
          <w:sz w:val="32"/>
          <w:szCs w:val="32"/>
        </w:rPr>
      </w:pPr>
      <w:r>
        <w:rPr>
          <w:rFonts w:hint="eastAsia" w:ascii="仿宋_GB2312" w:eastAsia="仿宋_GB2312"/>
          <w:b/>
          <w:sz w:val="32"/>
          <w:szCs w:val="32"/>
        </w:rPr>
        <w:t>1.</w:t>
      </w:r>
      <w:r>
        <w:rPr>
          <w:rFonts w:hint="eastAsia" w:ascii="仿宋_GB2312" w:hAnsi="仿宋" w:eastAsia="仿宋_GB2312" w:cs="Times New Roman"/>
          <w:b/>
          <w:sz w:val="32"/>
          <w:szCs w:val="32"/>
        </w:rPr>
        <w:t>重点项目进展顺利。</w:t>
      </w:r>
      <w:r>
        <w:rPr>
          <w:rFonts w:hint="eastAsia" w:ascii="仿宋_GB2312" w:hAnsi="仿宋" w:eastAsia="仿宋_GB2312" w:cs="Times New Roman"/>
          <w:sz w:val="32"/>
          <w:szCs w:val="32"/>
        </w:rPr>
        <w:t>省重点项目数字小镇、长征国家文化公园道县段分别完成投资8.76亿元、3.05亿元，占年度计划的159.27 %、152.5 %；41个市级重点项目完成投资102.87亿元，占年度计划的143.79 %。全省电子信息产业发展工作会议在我县召开，道县链条化发展经验向全省推介。成功举行六次重大项目集中签约开工竣工活动，集中签约项目26个、集中开工项目32个、集中竣工项目22个，集中开工项目入库率、集中签约项目开工率均排名全市前列，获全市通报表扬。</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2.争资争项成效显著。</w:t>
      </w:r>
      <w:r>
        <w:rPr>
          <w:rFonts w:hint="eastAsia" w:ascii="仿宋" w:hAnsi="仿宋" w:eastAsia="仿宋" w:cs="仿宋"/>
          <w:sz w:val="32"/>
          <w:szCs w:val="32"/>
        </w:rPr>
        <w:t>敏锐捕捉国家投资政策，</w:t>
      </w:r>
      <w:r>
        <w:rPr>
          <w:rFonts w:hint="eastAsia" w:ascii="仿宋_GB2312" w:eastAsia="仿宋_GB2312"/>
          <w:sz w:val="32"/>
          <w:szCs w:val="32"/>
        </w:rPr>
        <w:t>从发改口争取到中央、省预算内资金9090万元，</w:t>
      </w:r>
      <w:r>
        <w:rPr>
          <w:rFonts w:hint="eastAsia" w:ascii="仿宋" w:hAnsi="仿宋" w:eastAsia="仿宋" w:cs="仿宋"/>
          <w:sz w:val="32"/>
          <w:szCs w:val="32"/>
        </w:rPr>
        <w:t>涉及到老旧小区改造、高标准农田建设、城市防洪、生态保护及修复等民生领域项目14个，</w:t>
      </w:r>
      <w:r>
        <w:rPr>
          <w:rFonts w:hint="eastAsia" w:ascii="仿宋_GB2312" w:eastAsia="仿宋_GB2312"/>
          <w:sz w:val="32"/>
          <w:szCs w:val="32"/>
        </w:rPr>
        <w:t>其中道县城市防洪工程下达资金3520万元，为近年来争取中央资金最多的水利项目。陈树湘红色文化园被列为第二批全省发改系统党性教育基地。</w:t>
      </w:r>
    </w:p>
    <w:p>
      <w:pPr>
        <w:spacing w:line="560" w:lineRule="exact"/>
        <w:ind w:firstLine="643" w:firstLineChars="200"/>
        <w:rPr>
          <w:rFonts w:ascii="仿宋_GB2312" w:hAnsi="仿宋" w:eastAsia="仿宋_GB2312" w:cs="Times New Roman"/>
          <w:sz w:val="32"/>
          <w:szCs w:val="32"/>
        </w:rPr>
      </w:pPr>
      <w:r>
        <w:rPr>
          <w:rFonts w:hint="eastAsia" w:ascii="仿宋_GB2312" w:eastAsia="仿宋_GB2312"/>
          <w:b/>
          <w:sz w:val="32"/>
          <w:szCs w:val="32"/>
        </w:rPr>
        <w:t>3.能源项目招大引强。</w:t>
      </w:r>
      <w:r>
        <w:rPr>
          <w:rFonts w:hint="eastAsia" w:ascii="仿宋_GB2312" w:hAnsi="仿宋" w:eastAsia="仿宋_GB2312" w:cs="Times New Roman"/>
          <w:sz w:val="32"/>
          <w:szCs w:val="32"/>
        </w:rPr>
        <w:t>认真贯彻落实碳达峰碳中和目标任务，积极为全县财源建设作贡献，签订新能源项目合作协议9个，协助县财政收取履约保证金2000万元，计划新开发风力发电项目1个、光伏发电项目7个，扎实推进抽水蓄能电站项目前期论证。洪塘营风电场一期项目建成并网发电，永州南部（道县）生活垃圾焚烧发电项目“点火”运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与此同时，编制出台道县“十四五”规划和二</w:t>
      </w:r>
      <w:r>
        <w:rPr>
          <w:rFonts w:hint="eastAsia" w:ascii="仿宋_GB2312" w:hAnsi="宋体" w:cs="宋体"/>
          <w:sz w:val="32"/>
          <w:szCs w:val="32"/>
        </w:rPr>
        <w:t>〇</w:t>
      </w:r>
      <w:r>
        <w:rPr>
          <w:rFonts w:hint="eastAsia" w:ascii="仿宋_GB2312" w:eastAsia="仿宋_GB2312"/>
          <w:sz w:val="32"/>
          <w:szCs w:val="32"/>
        </w:rPr>
        <w:t>三五年远景目标纲要，梳理储备县“十四五”重大项目383个，申报纳入市“十四五”重大储备项目221个、省“十四五”重大储备项目60个。道县营阳通用机场项目挤进全省集中呈报中央军委审批之列。严格落实粮食安全责任制，扎实做好粮食购销储备轮换工作，全力配合粮食专项巡察。粮企破产改制取得新进展，城北粮库净地攻坚扎实推进。招投标、超概算专项整治成效明显、重点突出、流程规范，在全市起到示范引领作用。超额完成疫苗接种任务。党史学习教育、价格审批监测认证、易地搬迁后扶等工作均取得良好进展。</w:t>
      </w:r>
    </w:p>
    <w:p>
      <w:pPr>
        <w:spacing w:line="56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在肯定成绩的同时，我们也清醒认识到发展中存在的问题</w:t>
      </w:r>
      <w:r>
        <w:rPr>
          <w:rFonts w:hint="eastAsia" w:ascii="仿宋_GB2312" w:hAnsi="仿宋" w:eastAsia="仿宋_GB2312"/>
          <w:bCs/>
          <w:sz w:val="32"/>
          <w:szCs w:val="32"/>
        </w:rPr>
        <w:t>困难</w:t>
      </w:r>
      <w:r>
        <w:rPr>
          <w:rFonts w:hint="eastAsia" w:ascii="仿宋_GB2312" w:hAnsi="仿宋" w:eastAsia="仿宋_GB2312" w:cs="Times New Roman"/>
          <w:bCs/>
          <w:sz w:val="32"/>
          <w:szCs w:val="32"/>
        </w:rPr>
        <w:t>。主要是:</w:t>
      </w:r>
      <w:r>
        <w:rPr>
          <w:rFonts w:hint="eastAsia" w:ascii="Calibri" w:hAnsi="Calibri" w:eastAsia="仿宋_GB2312" w:cs="Times New Roman"/>
          <w:sz w:val="32"/>
          <w:szCs w:val="32"/>
        </w:rPr>
        <w:t xml:space="preserve"> 经济上升动力不足</w:t>
      </w:r>
      <w:r>
        <w:rPr>
          <w:rFonts w:hint="eastAsia" w:ascii="仿宋_GB2312" w:hAnsi="仿宋" w:eastAsia="仿宋_GB2312" w:cs="Times New Roman"/>
          <w:bCs/>
          <w:sz w:val="32"/>
          <w:szCs w:val="32"/>
        </w:rPr>
        <w:t>，工业基础较为薄弱，现代服务业质量不高</w:t>
      </w:r>
      <w:r>
        <w:rPr>
          <w:rFonts w:hint="eastAsia" w:ascii="Calibri" w:hAnsi="Calibri" w:eastAsia="仿宋_GB2312" w:cs="Times New Roman"/>
          <w:sz w:val="32"/>
          <w:szCs w:val="32"/>
        </w:rPr>
        <w:t>，缺少标志型引领型龙头企业，</w:t>
      </w:r>
      <w:r>
        <w:rPr>
          <w:rFonts w:hint="eastAsia" w:ascii="仿宋_GB2312" w:hAnsi="仿宋" w:eastAsia="仿宋_GB2312" w:cs="Times New Roman"/>
          <w:bCs/>
          <w:sz w:val="32"/>
          <w:szCs w:val="32"/>
        </w:rPr>
        <w:t>保持投资增长的</w:t>
      </w:r>
      <w:r>
        <w:rPr>
          <w:rFonts w:hint="eastAsia" w:ascii="Calibri" w:hAnsi="Calibri" w:eastAsia="仿宋_GB2312" w:cs="Times New Roman"/>
          <w:sz w:val="32"/>
          <w:szCs w:val="32"/>
        </w:rPr>
        <w:t>压力较大</w:t>
      </w:r>
      <w:r>
        <w:rPr>
          <w:rFonts w:hint="eastAsia" w:ascii="仿宋_GB2312" w:hAnsi="仿宋" w:eastAsia="仿宋_GB2312" w:cs="Times New Roman"/>
          <w:bCs/>
          <w:sz w:val="32"/>
          <w:szCs w:val="32"/>
        </w:rPr>
        <w:t>；</w:t>
      </w:r>
      <w:r>
        <w:rPr>
          <w:rFonts w:hint="eastAsia" w:ascii="Calibri" w:hAnsi="Calibri" w:eastAsia="仿宋_GB2312" w:cs="Times New Roman"/>
          <w:sz w:val="32"/>
          <w:szCs w:val="32"/>
        </w:rPr>
        <w:t>营商环境不优，主动服务意识不强，征地成本高、手续周期长、产业项目融资难、环境容量指标限制等要素瓶颈制约明显，落地开工产业项目特别是重特大制造业项目不多，</w:t>
      </w:r>
      <w:r>
        <w:rPr>
          <w:rFonts w:hint="eastAsia" w:ascii="仿宋_GB2312" w:hAnsi="仿宋" w:eastAsia="仿宋_GB2312" w:cs="Times New Roman"/>
          <w:bCs/>
          <w:sz w:val="32"/>
          <w:szCs w:val="32"/>
        </w:rPr>
        <w:t>项目投资达效不快；城乡协调发展不够平衡，城市功能品位还需提升，乡村基础设施存在短板，教育、医疗、养老等优质公共服务仍需加强，社会治理创新还有弱项，财政收支矛盾日益突出，等等。对此，我们</w:t>
      </w:r>
      <w:r>
        <w:rPr>
          <w:rFonts w:hint="eastAsia" w:ascii="仿宋_GB2312" w:hAnsi="仿宋" w:eastAsia="仿宋_GB2312"/>
          <w:bCs/>
          <w:sz w:val="32"/>
          <w:szCs w:val="32"/>
        </w:rPr>
        <w:t>将</w:t>
      </w:r>
      <w:r>
        <w:rPr>
          <w:rFonts w:hint="eastAsia" w:ascii="仿宋_GB2312" w:hAnsi="仿宋" w:eastAsia="仿宋_GB2312" w:cs="Times New Roman"/>
          <w:bCs/>
          <w:sz w:val="32"/>
          <w:szCs w:val="32"/>
        </w:rPr>
        <w:t>高度重视，采取有效措施，切实加以解决。</w:t>
      </w:r>
    </w:p>
    <w:p>
      <w:pPr>
        <w:pStyle w:val="2"/>
        <w:rPr>
          <w:rFonts w:hint="eastAsia" w:ascii="仿宋_GB2312" w:hAnsi="仿宋" w:eastAsia="仿宋_GB2312" w:cs="Times New Roman"/>
          <w:bCs/>
          <w:sz w:val="32"/>
          <w:szCs w:val="32"/>
        </w:rPr>
      </w:pPr>
    </w:p>
    <w:p>
      <w:pPr>
        <w:pStyle w:val="2"/>
        <w:rPr>
          <w:rFonts w:hint="eastAsia" w:ascii="仿宋_GB2312" w:hAnsi="仿宋" w:eastAsia="仿宋_GB2312" w:cs="Times New Roman"/>
          <w:bCs/>
          <w:sz w:val="32"/>
          <w:szCs w:val="32"/>
        </w:rPr>
      </w:pPr>
    </w:p>
    <w:p>
      <w:p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rPr>
        <w:t>七</w:t>
      </w:r>
      <w:r>
        <w:rPr>
          <w:rFonts w:eastAsia="黑体"/>
          <w:sz w:val="32"/>
          <w:szCs w:val="32"/>
        </w:rPr>
        <w:t>、</w:t>
      </w:r>
      <w:r>
        <w:rPr>
          <w:rFonts w:hint="eastAsia" w:eastAsia="黑体"/>
          <w:sz w:val="32"/>
          <w:szCs w:val="32"/>
          <w:lang w:eastAsia="zh-CN"/>
        </w:rPr>
        <w:t>存在的问题及原因分析</w:t>
      </w:r>
    </w:p>
    <w:p>
      <w:pPr>
        <w:spacing w:line="596" w:lineRule="exact"/>
        <w:ind w:firstLine="640" w:firstLineChars="200"/>
        <w:rPr>
          <w:rFonts w:hint="eastAsia" w:eastAsia="仿宋_GB2312"/>
          <w:color w:val="000000"/>
          <w:sz w:val="32"/>
          <w:szCs w:val="32"/>
        </w:rPr>
      </w:pPr>
      <w:r>
        <w:rPr>
          <w:rFonts w:hint="eastAsia" w:eastAsia="仿宋_GB2312"/>
          <w:color w:val="000000"/>
          <w:sz w:val="32"/>
          <w:szCs w:val="32"/>
        </w:rPr>
        <w:t>通过本次绩效自评，发现我</w:t>
      </w:r>
      <w:r>
        <w:rPr>
          <w:rFonts w:hint="eastAsia" w:eastAsia="仿宋_GB2312"/>
          <w:color w:val="000000"/>
          <w:sz w:val="32"/>
          <w:szCs w:val="32"/>
          <w:lang w:eastAsia="zh-CN"/>
        </w:rPr>
        <w:t>局</w:t>
      </w:r>
      <w:r>
        <w:rPr>
          <w:rFonts w:hint="eastAsia" w:eastAsia="仿宋_GB2312"/>
          <w:color w:val="000000"/>
          <w:sz w:val="32"/>
          <w:szCs w:val="32"/>
        </w:rPr>
        <w:t>还存在以下几方面不足：</w:t>
      </w:r>
    </w:p>
    <w:p>
      <w:pPr>
        <w:pStyle w:val="14"/>
        <w:spacing w:line="596" w:lineRule="exact"/>
        <w:ind w:firstLine="643"/>
        <w:rPr>
          <w:rFonts w:hint="eastAsia" w:eastAsia="楷体_GB2312"/>
          <w:b/>
          <w:color w:val="000000"/>
          <w:sz w:val="32"/>
          <w:szCs w:val="32"/>
        </w:rPr>
      </w:pPr>
      <w:r>
        <w:rPr>
          <w:rFonts w:hint="eastAsia" w:eastAsia="楷体_GB2312"/>
          <w:b/>
          <w:color w:val="000000"/>
          <w:sz w:val="32"/>
          <w:szCs w:val="32"/>
          <w:lang w:eastAsia="zh-CN"/>
        </w:rPr>
        <w:t>（</w:t>
      </w:r>
      <w:r>
        <w:rPr>
          <w:rFonts w:hint="eastAsia" w:eastAsia="楷体_GB2312"/>
          <w:b/>
          <w:color w:val="000000"/>
          <w:sz w:val="32"/>
          <w:szCs w:val="32"/>
        </w:rPr>
        <w:t>一）预算管理有待加强</w:t>
      </w:r>
    </w:p>
    <w:p>
      <w:pPr>
        <w:pStyle w:val="14"/>
        <w:numPr>
          <w:ilvl w:val="0"/>
          <w:numId w:val="0"/>
        </w:numPr>
        <w:spacing w:line="596"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1、预算追加占比较大</w:t>
      </w:r>
    </w:p>
    <w:p>
      <w:pPr>
        <w:pStyle w:val="14"/>
        <w:numPr>
          <w:ilvl w:val="0"/>
          <w:numId w:val="0"/>
        </w:numPr>
        <w:spacing w:line="596"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w:t>
      </w:r>
      <w:r>
        <w:rPr>
          <w:rFonts w:hint="eastAsia"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年度我委年初预算数为</w:t>
      </w:r>
      <w:r>
        <w:rPr>
          <w:rFonts w:hint="eastAsia" w:eastAsia="仿宋_GB2312" w:cs="Times New Roman"/>
          <w:color w:val="000000"/>
          <w:sz w:val="32"/>
          <w:szCs w:val="32"/>
          <w:highlight w:val="none"/>
          <w:lang w:val="en-US" w:eastAsia="zh-CN"/>
        </w:rPr>
        <w:t>1070.19</w:t>
      </w:r>
      <w:r>
        <w:rPr>
          <w:rFonts w:hint="default" w:ascii="Times New Roman" w:hAnsi="Times New Roman" w:eastAsia="仿宋_GB2312" w:cs="Times New Roman"/>
          <w:color w:val="000000"/>
          <w:sz w:val="32"/>
          <w:szCs w:val="32"/>
          <w:highlight w:val="none"/>
          <w:lang w:val="en-US" w:eastAsia="zh-CN"/>
        </w:rPr>
        <w:t>万元，</w:t>
      </w:r>
      <w:r>
        <w:rPr>
          <w:rFonts w:hint="eastAsia" w:ascii="Times New Roman" w:hAnsi="Times New Roman" w:eastAsia="仿宋_GB2312" w:cs="Times New Roman"/>
          <w:color w:val="000000"/>
          <w:sz w:val="32"/>
          <w:szCs w:val="32"/>
          <w:highlight w:val="none"/>
          <w:lang w:val="en-US" w:eastAsia="zh-CN"/>
        </w:rPr>
        <w:t>由于年初预算经费有限，因工作需要，在年中追加部分专项工作经费，</w:t>
      </w:r>
      <w:r>
        <w:rPr>
          <w:rFonts w:hint="default" w:ascii="Times New Roman" w:hAnsi="Times New Roman" w:eastAsia="仿宋_GB2312" w:cs="Times New Roman"/>
          <w:color w:val="000000"/>
          <w:sz w:val="32"/>
          <w:szCs w:val="32"/>
          <w:highlight w:val="none"/>
          <w:lang w:val="en-US" w:eastAsia="zh-CN"/>
        </w:rPr>
        <w:t>年中</w:t>
      </w:r>
      <w:r>
        <w:rPr>
          <w:rFonts w:hint="eastAsia" w:ascii="Times New Roman" w:hAnsi="Times New Roman" w:eastAsia="仿宋_GB2312" w:cs="Times New Roman"/>
          <w:color w:val="000000"/>
          <w:sz w:val="32"/>
          <w:szCs w:val="32"/>
          <w:highlight w:val="none"/>
          <w:lang w:val="en-US" w:eastAsia="zh-CN"/>
        </w:rPr>
        <w:t>追加</w:t>
      </w:r>
      <w:r>
        <w:rPr>
          <w:rFonts w:hint="default" w:ascii="Times New Roman" w:hAnsi="Times New Roman" w:eastAsia="仿宋_GB2312" w:cs="Times New Roman"/>
          <w:color w:val="000000"/>
          <w:sz w:val="32"/>
          <w:szCs w:val="32"/>
          <w:highlight w:val="none"/>
          <w:lang w:val="en-US" w:eastAsia="zh-CN"/>
        </w:rPr>
        <w:t>预算数为</w:t>
      </w:r>
      <w:r>
        <w:rPr>
          <w:rFonts w:hint="eastAsia" w:eastAsia="仿宋_GB2312" w:cs="Times New Roman"/>
          <w:color w:val="000000"/>
          <w:sz w:val="32"/>
          <w:szCs w:val="32"/>
          <w:highlight w:val="none"/>
          <w:lang w:val="en-US" w:eastAsia="zh-CN"/>
        </w:rPr>
        <w:t>1361.23</w:t>
      </w:r>
      <w:r>
        <w:rPr>
          <w:rFonts w:hint="eastAsia" w:ascii="Times New Roman" w:hAnsi="Times New Roman" w:eastAsia="仿宋_GB2312" w:cs="Times New Roman"/>
          <w:color w:val="000000"/>
          <w:sz w:val="32"/>
          <w:szCs w:val="32"/>
          <w:highlight w:val="none"/>
          <w:lang w:val="en-US" w:eastAsia="zh-CN"/>
        </w:rPr>
        <w:t>万元</w:t>
      </w:r>
      <w:r>
        <w:rPr>
          <w:rFonts w:hint="default" w:ascii="Times New Roman" w:hAnsi="Times New Roman" w:eastAsia="仿宋_GB2312" w:cs="Times New Roman"/>
          <w:color w:val="000000"/>
          <w:sz w:val="32"/>
          <w:szCs w:val="32"/>
          <w:highlight w:val="none"/>
          <w:lang w:val="en-US" w:eastAsia="zh-CN"/>
        </w:rPr>
        <w:t>，预算追加占年初比</w:t>
      </w:r>
      <w:r>
        <w:rPr>
          <w:rFonts w:hint="eastAsia" w:ascii="Times New Roman" w:hAnsi="Times New Roman" w:eastAsia="仿宋_GB2312" w:cs="Times New Roman"/>
          <w:color w:val="000000"/>
          <w:sz w:val="32"/>
          <w:szCs w:val="32"/>
          <w:highlight w:val="none"/>
          <w:lang w:val="en-US" w:eastAsia="zh-CN"/>
        </w:rPr>
        <w:t>1</w:t>
      </w:r>
      <w:r>
        <w:rPr>
          <w:rFonts w:hint="eastAsia" w:eastAsia="仿宋_GB2312" w:cs="Times New Roman"/>
          <w:color w:val="000000"/>
          <w:sz w:val="32"/>
          <w:szCs w:val="32"/>
          <w:highlight w:val="none"/>
          <w:lang w:val="en-US" w:eastAsia="zh-CN"/>
        </w:rPr>
        <w:t>27</w:t>
      </w:r>
      <w:r>
        <w:rPr>
          <w:rFonts w:hint="default" w:ascii="Times New Roman" w:hAnsi="Times New Roman" w:eastAsia="仿宋_GB2312" w:cs="Times New Roman"/>
          <w:color w:val="000000"/>
          <w:sz w:val="32"/>
          <w:szCs w:val="32"/>
          <w:highlight w:val="none"/>
          <w:lang w:val="en-US" w:eastAsia="zh-CN"/>
        </w:rPr>
        <w:t>%，年中预算追加占比</w:t>
      </w:r>
      <w:r>
        <w:rPr>
          <w:rFonts w:hint="eastAsia" w:eastAsia="仿宋_GB2312" w:cs="Times New Roman"/>
          <w:color w:val="000000"/>
          <w:sz w:val="32"/>
          <w:szCs w:val="32"/>
          <w:highlight w:val="none"/>
          <w:lang w:val="en-US" w:eastAsia="zh-CN"/>
        </w:rPr>
        <w:t>偏</w:t>
      </w:r>
      <w:r>
        <w:rPr>
          <w:rFonts w:hint="default" w:ascii="Times New Roman" w:hAnsi="Times New Roman" w:eastAsia="仿宋_GB2312" w:cs="Times New Roman"/>
          <w:color w:val="000000"/>
          <w:sz w:val="32"/>
          <w:szCs w:val="32"/>
          <w:highlight w:val="none"/>
          <w:lang w:val="en-US" w:eastAsia="zh-CN"/>
        </w:rPr>
        <w:t>大。</w:t>
      </w:r>
    </w:p>
    <w:p>
      <w:pPr>
        <w:numPr>
          <w:ilvl w:val="0"/>
          <w:numId w:val="0"/>
        </w:numPr>
        <w:spacing w:line="596" w:lineRule="exact"/>
        <w:ind w:leftChars="200" w:firstLine="320" w:firstLineChars="1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2、年初预算编制不够精准</w:t>
      </w:r>
    </w:p>
    <w:p>
      <w:pPr>
        <w:pStyle w:val="2"/>
        <w:rPr>
          <w:rFonts w:hint="eastAsia"/>
          <w:lang w:eastAsia="zh-CN"/>
        </w:rPr>
      </w:pPr>
    </w:p>
    <w:p>
      <w:pPr>
        <w:numPr>
          <w:ilvl w:val="0"/>
          <w:numId w:val="5"/>
        </w:num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lang w:eastAsia="zh-CN"/>
        </w:rPr>
        <w:t>下一步改进措施</w:t>
      </w:r>
    </w:p>
    <w:p>
      <w:pPr>
        <w:spacing w:line="596" w:lineRule="exact"/>
        <w:ind w:firstLine="640" w:firstLineChars="200"/>
        <w:rPr>
          <w:rFonts w:hint="eastAsia" w:eastAsia="仿宋_GB2312"/>
          <w:color w:val="000000"/>
          <w:sz w:val="32"/>
          <w:szCs w:val="32"/>
        </w:rPr>
      </w:pPr>
      <w:r>
        <w:rPr>
          <w:rFonts w:hint="eastAsia" w:eastAsia="仿宋_GB2312"/>
          <w:color w:val="000000"/>
          <w:sz w:val="32"/>
          <w:szCs w:val="32"/>
        </w:rPr>
        <w:t>针对以上存在的不足之处，我</w:t>
      </w:r>
      <w:r>
        <w:rPr>
          <w:rFonts w:hint="eastAsia" w:eastAsia="仿宋_GB2312"/>
          <w:color w:val="000000"/>
          <w:sz w:val="32"/>
          <w:szCs w:val="32"/>
          <w:lang w:eastAsia="zh-CN"/>
        </w:rPr>
        <w:t>局</w:t>
      </w:r>
      <w:r>
        <w:rPr>
          <w:rFonts w:hint="eastAsia" w:eastAsia="仿宋_GB2312"/>
          <w:color w:val="000000"/>
          <w:sz w:val="32"/>
          <w:szCs w:val="32"/>
        </w:rPr>
        <w:t>将采取以下措施加以改进：</w:t>
      </w:r>
    </w:p>
    <w:p>
      <w:pPr>
        <w:pStyle w:val="14"/>
        <w:numPr>
          <w:ilvl w:val="0"/>
          <w:numId w:val="6"/>
        </w:numPr>
        <w:spacing w:line="596" w:lineRule="exact"/>
        <w:ind w:firstLine="643"/>
        <w:rPr>
          <w:rFonts w:hint="eastAsia" w:eastAsia="楷体_GB2312"/>
          <w:b/>
          <w:color w:val="000000"/>
          <w:sz w:val="32"/>
          <w:szCs w:val="32"/>
        </w:rPr>
      </w:pPr>
      <w:r>
        <w:rPr>
          <w:rFonts w:hint="eastAsia" w:eastAsia="楷体_GB2312"/>
          <w:b/>
          <w:color w:val="000000"/>
          <w:sz w:val="32"/>
          <w:szCs w:val="32"/>
        </w:rPr>
        <w:t>加大绩效管理宣传力度</w:t>
      </w:r>
      <w:r>
        <w:rPr>
          <w:rFonts w:hint="eastAsia" w:eastAsia="楷体_GB2312"/>
          <w:b/>
          <w:color w:val="000000"/>
          <w:sz w:val="32"/>
          <w:szCs w:val="32"/>
          <w:lang w:eastAsia="zh-CN"/>
        </w:rPr>
        <w:t>，</w:t>
      </w:r>
      <w:r>
        <w:rPr>
          <w:rFonts w:hint="eastAsia" w:eastAsia="楷体_GB2312"/>
          <w:b/>
          <w:color w:val="000000"/>
          <w:sz w:val="32"/>
          <w:szCs w:val="32"/>
        </w:rPr>
        <w:t>健全绩效管理制度</w:t>
      </w:r>
    </w:p>
    <w:p>
      <w:pPr>
        <w:pStyle w:val="14"/>
        <w:numPr>
          <w:ilvl w:val="0"/>
          <w:numId w:val="0"/>
        </w:numPr>
        <w:spacing w:line="596" w:lineRule="exact"/>
        <w:ind w:firstLine="640" w:firstLineChars="200"/>
        <w:rPr>
          <w:rFonts w:hint="eastAsia" w:eastAsia="仿宋_GB2312"/>
          <w:color w:val="000000"/>
          <w:sz w:val="32"/>
          <w:szCs w:val="32"/>
          <w:lang w:eastAsia="zh-CN"/>
        </w:rPr>
      </w:pPr>
      <w:r>
        <w:rPr>
          <w:rFonts w:hint="eastAsia" w:eastAsia="仿宋_GB2312"/>
          <w:color w:val="000000"/>
          <w:sz w:val="32"/>
          <w:szCs w:val="32"/>
        </w:rPr>
        <w:t>紧紧围绕“全方位、全过程、全覆盖”预算绩效管理体系的主要内容和关键环节，按照财政的要求建立健全完善符合被单位工作实际的涵盖绩效评估、绩效目标管理、绩效跟踪监控管理、绩效评价管理、评价结果管理、工作监督管理等各环节的管理制度和实施细则，压实部门内部绩效管理主体责任，使预算绩效管理真正落到实处，充分发挥绩效管理提高资金使用效益的作用</w:t>
      </w:r>
      <w:r>
        <w:rPr>
          <w:rFonts w:hint="eastAsia" w:eastAsia="仿宋_GB2312"/>
          <w:color w:val="000000"/>
          <w:sz w:val="32"/>
          <w:szCs w:val="32"/>
          <w:lang w:eastAsia="zh-CN"/>
        </w:rPr>
        <w:t>。</w:t>
      </w:r>
    </w:p>
    <w:p>
      <w:pPr>
        <w:pStyle w:val="14"/>
        <w:spacing w:line="596" w:lineRule="exact"/>
        <w:ind w:firstLine="643"/>
        <w:rPr>
          <w:rFonts w:hint="eastAsia" w:eastAsia="楷体_GB2312"/>
          <w:b/>
          <w:color w:val="000000"/>
          <w:sz w:val="32"/>
          <w:szCs w:val="32"/>
          <w:lang w:val="en-US" w:eastAsia="zh-CN"/>
        </w:rPr>
      </w:pPr>
      <w:r>
        <w:rPr>
          <w:rFonts w:hint="eastAsia" w:eastAsia="楷体_GB2312"/>
          <w:b/>
          <w:color w:val="000000"/>
          <w:sz w:val="32"/>
          <w:szCs w:val="32"/>
        </w:rPr>
        <w:t>（</w:t>
      </w:r>
      <w:r>
        <w:rPr>
          <w:rFonts w:hint="eastAsia" w:eastAsia="楷体_GB2312"/>
          <w:b/>
          <w:color w:val="000000"/>
          <w:sz w:val="32"/>
          <w:szCs w:val="32"/>
          <w:lang w:val="en-US" w:eastAsia="zh-CN"/>
        </w:rPr>
        <w:t>二</w:t>
      </w:r>
      <w:r>
        <w:rPr>
          <w:rFonts w:hint="eastAsia" w:eastAsia="楷体_GB2312"/>
          <w:b/>
          <w:color w:val="000000"/>
          <w:sz w:val="32"/>
          <w:szCs w:val="32"/>
        </w:rPr>
        <w:t>）</w:t>
      </w:r>
      <w:r>
        <w:rPr>
          <w:rFonts w:hint="default" w:eastAsia="楷体_GB2312"/>
          <w:b/>
          <w:color w:val="000000"/>
          <w:sz w:val="32"/>
          <w:szCs w:val="32"/>
          <w:lang w:val="en-US" w:eastAsia="zh-CN"/>
        </w:rPr>
        <w:t>加强财务管理，规范财务基础工作</w:t>
      </w:r>
    </w:p>
    <w:p>
      <w:pPr>
        <w:spacing w:line="596" w:lineRule="exact"/>
        <w:ind w:firstLine="640" w:firstLineChars="200"/>
        <w:rPr>
          <w:rFonts w:hint="default" w:eastAsia="仿宋_GB2312"/>
          <w:color w:val="000000"/>
          <w:sz w:val="32"/>
          <w:szCs w:val="32"/>
        </w:rPr>
      </w:pPr>
      <w:r>
        <w:rPr>
          <w:rFonts w:hint="default" w:eastAsia="仿宋_GB2312"/>
          <w:color w:val="000000"/>
          <w:sz w:val="32"/>
          <w:szCs w:val="32"/>
        </w:rPr>
        <w:t>严格按相关规定设置和使用会计科目，按照实际发生的经济业务进行会计核算，填制会计凭证，登记会计</w:t>
      </w:r>
      <w:r>
        <w:rPr>
          <w:rFonts w:hint="default" w:eastAsia="仿宋_GB2312"/>
          <w:color w:val="000000"/>
          <w:sz w:val="32"/>
          <w:szCs w:val="32"/>
          <w:lang w:eastAsia="zh-CN"/>
        </w:rPr>
        <w:t>账</w:t>
      </w:r>
      <w:r>
        <w:rPr>
          <w:rFonts w:hint="default" w:eastAsia="仿宋_GB2312"/>
          <w:color w:val="000000"/>
          <w:sz w:val="32"/>
          <w:szCs w:val="32"/>
        </w:rPr>
        <w:t>簿，编制财务会计报告</w:t>
      </w:r>
      <w:r>
        <w:rPr>
          <w:rFonts w:hint="eastAsia" w:eastAsia="仿宋_GB2312"/>
          <w:color w:val="000000"/>
          <w:sz w:val="32"/>
          <w:szCs w:val="32"/>
          <w:lang w:eastAsia="zh-CN"/>
        </w:rPr>
        <w:t>。</w:t>
      </w:r>
      <w:r>
        <w:rPr>
          <w:rFonts w:hint="eastAsia" w:eastAsia="仿宋_GB2312"/>
          <w:color w:val="000000"/>
          <w:sz w:val="32"/>
          <w:szCs w:val="32"/>
        </w:rPr>
        <w:t>切实加强会计人员继续教育</w:t>
      </w:r>
      <w:r>
        <w:rPr>
          <w:rFonts w:hint="eastAsia" w:eastAsia="仿宋_GB2312"/>
          <w:color w:val="000000"/>
          <w:sz w:val="32"/>
          <w:szCs w:val="32"/>
          <w:lang w:eastAsia="zh-CN"/>
        </w:rPr>
        <w:t>，</w:t>
      </w:r>
      <w:r>
        <w:rPr>
          <w:rFonts w:hint="eastAsia" w:eastAsia="仿宋_GB2312"/>
          <w:color w:val="000000"/>
          <w:sz w:val="32"/>
          <w:szCs w:val="32"/>
        </w:rPr>
        <w:t>通过举办各种形式学习班,对会计人员从多角度、多层次、全方位进行新知识、新法规、新制度的培训；不断优化财会人员的知识结构，提高财会人员的整体专业技能，进一步建立、健全各项会计核算和内控制度，强化会计监督职能和审核责任，提高财会人员的整体执业水平。</w:t>
      </w:r>
    </w:p>
    <w:p>
      <w:pPr>
        <w:pStyle w:val="14"/>
        <w:numPr>
          <w:ilvl w:val="0"/>
          <w:numId w:val="0"/>
        </w:numPr>
        <w:spacing w:line="596" w:lineRule="exact"/>
        <w:ind w:firstLine="321" w:firstLineChars="100"/>
        <w:rPr>
          <w:rFonts w:hint="eastAsia" w:eastAsia="楷体_GB2312"/>
          <w:b/>
          <w:color w:val="000000"/>
          <w:kern w:val="2"/>
          <w:sz w:val="32"/>
          <w:szCs w:val="32"/>
          <w:lang w:val="en-US" w:eastAsia="zh-CN" w:bidi="ar-SA"/>
        </w:rPr>
      </w:pPr>
      <w:r>
        <w:rPr>
          <w:rFonts w:hint="eastAsia" w:eastAsia="楷体_GB2312"/>
          <w:b/>
          <w:color w:val="000000"/>
          <w:kern w:val="2"/>
          <w:sz w:val="32"/>
          <w:szCs w:val="32"/>
          <w:lang w:val="en-US" w:eastAsia="zh-CN" w:bidi="ar-SA"/>
        </w:rPr>
        <w:t>（三）强化预算绩效管理应用，凸显预算绩效管理实效</w:t>
      </w:r>
    </w:p>
    <w:p>
      <w:pPr>
        <w:pStyle w:val="2"/>
        <w:numPr>
          <w:ilvl w:val="0"/>
          <w:numId w:val="0"/>
        </w:numPr>
        <w:rPr>
          <w:rFonts w:hint="eastAsia"/>
          <w:lang w:eastAsia="zh-CN"/>
        </w:rPr>
      </w:pPr>
      <w:r>
        <w:rPr>
          <w:rFonts w:hint="eastAsia" w:eastAsia="仿宋_GB2312"/>
          <w:color w:val="000000"/>
          <w:kern w:val="2"/>
          <w:sz w:val="32"/>
          <w:szCs w:val="32"/>
          <w:lang w:val="en-US" w:eastAsia="zh-CN" w:bidi="ar-SA"/>
        </w:rPr>
        <w:t>按照达哲书记关于“加强财审联动，促进预算绩效管理在湖南落地见效”的要求，强化绩效自评的结果应用，硬化责任约束，按照无效问责、低效减资并通报的原则，将绩效评价结果融入到预算安排和年度考核等日常管理中，切实增强各部门的绩效管理意识，从而提高财政资金的使用效率，推动部门绩效管理水平的提高，取消对低效、无效的项目资金安排，将更多预算资金用在服务我省“三高四新”战略发展建设。</w:t>
      </w:r>
    </w:p>
    <w:p>
      <w:p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九、绩效自评结果拟应用和公开情况</w:t>
      </w:r>
    </w:p>
    <w:p>
      <w:pPr>
        <w:spacing w:line="596" w:lineRule="exact"/>
        <w:ind w:firstLine="640" w:firstLineChars="200"/>
        <w:rPr>
          <w:rFonts w:hint="eastAsia" w:eastAsia="黑体"/>
          <w:sz w:val="32"/>
          <w:szCs w:val="32"/>
          <w:lang w:val="en-US" w:eastAsia="zh-CN"/>
        </w:rPr>
      </w:pPr>
      <w:r>
        <w:rPr>
          <w:rFonts w:hint="eastAsia" w:eastAsia="黑体"/>
          <w:sz w:val="32"/>
          <w:szCs w:val="32"/>
          <w:lang w:val="en-US" w:eastAsia="zh-CN"/>
        </w:rPr>
        <w:t xml:space="preserve"> </w:t>
      </w:r>
      <w:r>
        <w:rPr>
          <w:rFonts w:hint="eastAsia" w:eastAsia="仿宋_GB2312"/>
          <w:color w:val="000000"/>
          <w:sz w:val="32"/>
          <w:szCs w:val="32"/>
        </w:rPr>
        <w:t>加强绩效评价结果应用。一是全面公开绩效自评报告，绩效自评结果将在我</w:t>
      </w:r>
      <w:r>
        <w:rPr>
          <w:rFonts w:hint="eastAsia" w:eastAsia="仿宋_GB2312"/>
          <w:color w:val="000000"/>
          <w:sz w:val="32"/>
          <w:szCs w:val="32"/>
          <w:lang w:eastAsia="zh-CN"/>
        </w:rPr>
        <w:t>局</w:t>
      </w:r>
      <w:r>
        <w:rPr>
          <w:rFonts w:hint="eastAsia" w:eastAsia="仿宋_GB2312"/>
          <w:color w:val="000000"/>
          <w:sz w:val="32"/>
          <w:szCs w:val="32"/>
        </w:rPr>
        <w:t>门户网站上进行公开，接受社会监督；二是及时反馈整改，及时将评价结果反馈相关</w:t>
      </w:r>
      <w:r>
        <w:rPr>
          <w:rFonts w:hint="eastAsia" w:eastAsia="仿宋_GB2312"/>
          <w:color w:val="000000"/>
          <w:sz w:val="32"/>
          <w:szCs w:val="32"/>
          <w:lang w:eastAsia="zh-CN"/>
        </w:rPr>
        <w:t>人员</w:t>
      </w:r>
      <w:r>
        <w:rPr>
          <w:rFonts w:hint="eastAsia" w:eastAsia="仿宋_GB2312"/>
          <w:color w:val="000000"/>
          <w:sz w:val="32"/>
          <w:szCs w:val="32"/>
        </w:rPr>
        <w:t>，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adjustRightInd w:val="0"/>
        <w:snapToGrid w:val="0"/>
        <w:spacing w:line="600" w:lineRule="exact"/>
        <w:ind w:firstLine="640" w:firstLineChars="200"/>
        <w:rPr>
          <w:rFonts w:hint="default"/>
          <w:lang w:val="en-US" w:eastAsia="zh-CN"/>
        </w:rPr>
      </w:pPr>
      <w:r>
        <w:rPr>
          <w:rFonts w:hint="eastAsia" w:eastAsia="黑体"/>
          <w:sz w:val="32"/>
          <w:szCs w:val="32"/>
          <w:lang w:val="en-US" w:eastAsia="zh-CN"/>
        </w:rPr>
        <w:t>其他需要说明的情况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jc w:val="right"/>
        <w:rPr>
          <w:rFonts w:eastAsia="仿宋_GB2312"/>
          <w:sz w:val="32"/>
          <w:szCs w:val="32"/>
        </w:rPr>
      </w:pPr>
      <w:r>
        <w:rPr>
          <w:rFonts w:hint="eastAsia" w:eastAsia="仿宋_GB2312"/>
          <w:sz w:val="32"/>
          <w:szCs w:val="32"/>
          <w:lang w:val="en-US" w:eastAsia="zh-CN"/>
        </w:rPr>
        <w:t>道县发展和改革局</w:t>
      </w:r>
      <w:r>
        <w:rPr>
          <w:rFonts w:hint="eastAsia" w:eastAsia="仿宋_GB2312"/>
          <w:sz w:val="32"/>
          <w:szCs w:val="32"/>
        </w:rPr>
        <w:t>（盖章）</w:t>
      </w:r>
    </w:p>
    <w:p>
      <w:pPr>
        <w:wordWrap w:val="0"/>
        <w:adjustRightInd w:val="0"/>
        <w:snapToGrid w:val="0"/>
        <w:spacing w:line="600" w:lineRule="exact"/>
        <w:ind w:firstLine="640" w:firstLineChars="200"/>
        <w:jc w:val="right"/>
        <w:rPr>
          <w:rFonts w:ascii="仿宋_GB2312" w:eastAsia="仿宋_GB2312"/>
          <w:sz w:val="32"/>
          <w:szCs w:val="32"/>
        </w:rPr>
      </w:pPr>
      <w:r>
        <w:rPr>
          <w:rFonts w:hint="eastAsia" w:eastAsia="仿宋_GB2312"/>
          <w:sz w:val="32"/>
          <w:szCs w:val="32"/>
          <w:lang w:val="en-US" w:eastAsia="zh-CN"/>
        </w:rPr>
        <w:t>2022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14</w:t>
      </w:r>
      <w:r>
        <w:rPr>
          <w:rFonts w:hint="eastAsia" w:eastAsia="仿宋_GB2312"/>
          <w:sz w:val="32"/>
          <w:szCs w:val="32"/>
        </w:rPr>
        <w:t>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8B806"/>
    <w:multiLevelType w:val="singleLevel"/>
    <w:tmpl w:val="8C48B806"/>
    <w:lvl w:ilvl="0" w:tentative="0">
      <w:start w:val="1"/>
      <w:numFmt w:val="chineseCounting"/>
      <w:suff w:val="nothing"/>
      <w:lvlText w:val="（%1）"/>
      <w:lvlJc w:val="left"/>
      <w:rPr>
        <w:rFonts w:hint="eastAsia"/>
      </w:rPr>
    </w:lvl>
  </w:abstractNum>
  <w:abstractNum w:abstractNumId="1">
    <w:nsid w:val="17979C8D"/>
    <w:multiLevelType w:val="singleLevel"/>
    <w:tmpl w:val="17979C8D"/>
    <w:lvl w:ilvl="0" w:tentative="0">
      <w:start w:val="2"/>
      <w:numFmt w:val="chineseCounting"/>
      <w:suff w:val="nothing"/>
      <w:lvlText w:val="（%1）"/>
      <w:lvlJc w:val="left"/>
      <w:rPr>
        <w:rFonts w:hint="eastAsia"/>
      </w:rPr>
    </w:lvl>
  </w:abstractNum>
  <w:abstractNum w:abstractNumId="2">
    <w:nsid w:val="1EAB037C"/>
    <w:multiLevelType w:val="singleLevel"/>
    <w:tmpl w:val="1EAB037C"/>
    <w:lvl w:ilvl="0" w:tentative="0">
      <w:start w:val="1"/>
      <w:numFmt w:val="chineseCounting"/>
      <w:suff w:val="nothing"/>
      <w:lvlText w:val="%1、"/>
      <w:lvlJc w:val="left"/>
      <w:rPr>
        <w:rFonts w:hint="eastAsia"/>
      </w:rPr>
    </w:lvl>
  </w:abstractNum>
  <w:abstractNum w:abstractNumId="3">
    <w:nsid w:val="294D3960"/>
    <w:multiLevelType w:val="singleLevel"/>
    <w:tmpl w:val="294D3960"/>
    <w:lvl w:ilvl="0" w:tentative="0">
      <w:start w:val="1"/>
      <w:numFmt w:val="chineseCounting"/>
      <w:suff w:val="nothing"/>
      <w:lvlText w:val="（%1）"/>
      <w:lvlJc w:val="left"/>
      <w:rPr>
        <w:rFonts w:hint="eastAsia"/>
      </w:rPr>
    </w:lvl>
  </w:abstractNum>
  <w:abstractNum w:abstractNumId="4">
    <w:nsid w:val="2B326F0F"/>
    <w:multiLevelType w:val="singleLevel"/>
    <w:tmpl w:val="2B326F0F"/>
    <w:lvl w:ilvl="0" w:tentative="0">
      <w:start w:val="5"/>
      <w:numFmt w:val="chineseCounting"/>
      <w:suff w:val="nothing"/>
      <w:lvlText w:val="%1、"/>
      <w:lvlJc w:val="left"/>
      <w:pPr>
        <w:ind w:left="981" w:leftChars="0" w:firstLine="0" w:firstLineChars="0"/>
      </w:pPr>
      <w:rPr>
        <w:rFonts w:hint="eastAsia"/>
      </w:rPr>
    </w:lvl>
  </w:abstractNum>
  <w:abstractNum w:abstractNumId="5">
    <w:nsid w:val="2E289BFD"/>
    <w:multiLevelType w:val="singleLevel"/>
    <w:tmpl w:val="2E289BFD"/>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2IwNjRlMmU3NGQ0MjAyNTk2OWVlN2U3NWEwZTYifQ=="/>
  </w:docVars>
  <w:rsids>
    <w:rsidRoot w:val="00E023F5"/>
    <w:rsid w:val="00037B95"/>
    <w:rsid w:val="00151FB2"/>
    <w:rsid w:val="0017128D"/>
    <w:rsid w:val="00184565"/>
    <w:rsid w:val="00273308"/>
    <w:rsid w:val="002A087C"/>
    <w:rsid w:val="003A339E"/>
    <w:rsid w:val="00491393"/>
    <w:rsid w:val="004A139B"/>
    <w:rsid w:val="00552442"/>
    <w:rsid w:val="005945BF"/>
    <w:rsid w:val="005A30F2"/>
    <w:rsid w:val="005B2827"/>
    <w:rsid w:val="006117C5"/>
    <w:rsid w:val="0061728F"/>
    <w:rsid w:val="0070725D"/>
    <w:rsid w:val="0073431B"/>
    <w:rsid w:val="00762D52"/>
    <w:rsid w:val="00783181"/>
    <w:rsid w:val="00836368"/>
    <w:rsid w:val="00877BA1"/>
    <w:rsid w:val="00A76448"/>
    <w:rsid w:val="00B11231"/>
    <w:rsid w:val="00B30C5E"/>
    <w:rsid w:val="00B74A87"/>
    <w:rsid w:val="00B76999"/>
    <w:rsid w:val="00C25252"/>
    <w:rsid w:val="00CE0BD6"/>
    <w:rsid w:val="00CF446F"/>
    <w:rsid w:val="00D116AF"/>
    <w:rsid w:val="00D1790A"/>
    <w:rsid w:val="00D90AB0"/>
    <w:rsid w:val="00DF468F"/>
    <w:rsid w:val="00E023F5"/>
    <w:rsid w:val="00E641CA"/>
    <w:rsid w:val="00E96CA1"/>
    <w:rsid w:val="00EA1F7D"/>
    <w:rsid w:val="00F16E04"/>
    <w:rsid w:val="00F94903"/>
    <w:rsid w:val="00FF47BE"/>
    <w:rsid w:val="03AB696A"/>
    <w:rsid w:val="046B420F"/>
    <w:rsid w:val="06540A00"/>
    <w:rsid w:val="07A8045F"/>
    <w:rsid w:val="08912B3A"/>
    <w:rsid w:val="089636A8"/>
    <w:rsid w:val="094559DE"/>
    <w:rsid w:val="0B6043D5"/>
    <w:rsid w:val="14D14285"/>
    <w:rsid w:val="262F1B19"/>
    <w:rsid w:val="27E04152"/>
    <w:rsid w:val="2832304D"/>
    <w:rsid w:val="314177EB"/>
    <w:rsid w:val="340C78FC"/>
    <w:rsid w:val="35AF2770"/>
    <w:rsid w:val="3BE224FE"/>
    <w:rsid w:val="3CC40DCE"/>
    <w:rsid w:val="3D5E4F79"/>
    <w:rsid w:val="438F4B5F"/>
    <w:rsid w:val="4CBF618E"/>
    <w:rsid w:val="4CE1266F"/>
    <w:rsid w:val="54E939A6"/>
    <w:rsid w:val="5CEC3A91"/>
    <w:rsid w:val="6BB50CD8"/>
    <w:rsid w:val="6D037335"/>
    <w:rsid w:val="70351692"/>
    <w:rsid w:val="758F5496"/>
    <w:rsid w:val="7CDA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ody Text"/>
    <w:basedOn w:val="1"/>
    <w:qFormat/>
    <w:uiPriority w:val="0"/>
    <w:rPr>
      <w:rFonts w:ascii="仿宋" w:hAnsi="仿宋" w:eastAsia="仿宋" w:cs="仿宋"/>
      <w:sz w:val="28"/>
      <w:szCs w:val="28"/>
      <w:lang w:val="zh-CN" w:bidi="zh-CN"/>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color w:val="800080" w:themeColor="followedHyperlink"/>
      <w:u w:val="single"/>
      <w14:textFill>
        <w14:solidFill>
          <w14:schemeClr w14:val="folHlink"/>
        </w14:solidFill>
      </w14:textFill>
    </w:rPr>
  </w:style>
  <w:style w:type="character" w:styleId="10">
    <w:name w:val="Hyperlink"/>
    <w:basedOn w:val="8"/>
    <w:qFormat/>
    <w:uiPriority w:val="0"/>
    <w:rPr>
      <w:color w:val="0000FF" w:themeColor="hyperlink"/>
      <w:u w:val="single"/>
      <w14:textFill>
        <w14:solidFill>
          <w14:schemeClr w14:val="hlink"/>
        </w14:solidFill>
      </w14:textFill>
    </w:rPr>
  </w:style>
  <w:style w:type="character" w:customStyle="1" w:styleId="11">
    <w:name w:val="页眉 Char"/>
    <w:basedOn w:val="8"/>
    <w:link w:val="6"/>
    <w:qFormat/>
    <w:uiPriority w:val="0"/>
    <w:rPr>
      <w:kern w:val="2"/>
      <w:sz w:val="18"/>
      <w:szCs w:val="18"/>
    </w:rPr>
  </w:style>
  <w:style w:type="character" w:customStyle="1" w:styleId="12">
    <w:name w:val="页脚 Char"/>
    <w:basedOn w:val="8"/>
    <w:link w:val="5"/>
    <w:qFormat/>
    <w:uiPriority w:val="0"/>
    <w:rPr>
      <w:kern w:val="2"/>
      <w:sz w:val="18"/>
      <w:szCs w:val="18"/>
    </w:rPr>
  </w:style>
  <w:style w:type="character" w:customStyle="1" w:styleId="13">
    <w:name w:val="批注框文本 Char"/>
    <w:basedOn w:val="8"/>
    <w:link w:val="4"/>
    <w:qFormat/>
    <w:uiPriority w:val="0"/>
    <w:rPr>
      <w:kern w:val="2"/>
      <w:sz w:val="18"/>
      <w:szCs w:val="18"/>
    </w:rPr>
  </w:style>
  <w:style w:type="paragraph" w:customStyle="1" w:styleId="14">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3679</Words>
  <Characters>3939</Characters>
  <Lines>1</Lines>
  <Paragraphs>1</Paragraphs>
  <TotalTime>37</TotalTime>
  <ScaleCrop>false</ScaleCrop>
  <LinksUpToDate>false</LinksUpToDate>
  <CharactersWithSpaces>3952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2018-08-10T00:59:00Z</dcterms:created>
  <dc:creator>Lenovo User</dc:creator>
  <cp:lastModifiedBy>乐萍@</cp:lastModifiedBy>
  <cp:lastPrinted>2013-10-09T02:05:00Z</cp:lastPrinted>
  <dcterms:modified xsi:type="dcterms:W3CDTF">2022-06-14T07:43:28Z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B3BA52AE870A454D91337420DDCF0DDC</vt:lpwstr>
  </property>
</Properties>
</file>