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年度政法委整体支出绩效评价报告</w:t>
      </w:r>
      <w:bookmarkStart w:id="0" w:name="_GoBack"/>
      <w:bookmarkEnd w:id="0"/>
    </w:p>
    <w:p>
      <w:pPr>
        <w:spacing w:line="580" w:lineRule="exact"/>
        <w:ind w:firstLine="600" w:firstLineChars="200"/>
        <w:textAlignment w:val="baseline"/>
        <w:rPr>
          <w:rFonts w:ascii="华文仿宋" w:hAnsi="华文仿宋" w:eastAsia="华文仿宋" w:cs="华文仿宋"/>
          <w:sz w:val="30"/>
          <w:szCs w:val="30"/>
        </w:rPr>
      </w:pP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Style w:val="7"/>
          <w:rFonts w:ascii="华文仿宋" w:hAnsi="华文仿宋" w:eastAsia="华文仿宋" w:cs="华文仿宋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部门基本情况：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财政全额拨款行政单位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核定行政编制10人，机关后勤服务编制1人。2021年本单位年末实有人数21人，比上年减少3人，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人员变化的主要原因是机构改革人员变动所致。直属管理机构道县政法信息中心，为正股级事业单位，核定编制4人；道县社会治安综合治理中心，为副科级事业单位，核定编制10人。公车改革后，我委无公务车辆。</w:t>
      </w:r>
    </w:p>
    <w:p>
      <w:pPr>
        <w:spacing w:line="580" w:lineRule="exact"/>
        <w:ind w:firstLine="640" w:firstLineChars="200"/>
        <w:textAlignment w:val="baseline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（二）主要职能如下：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贯彻习近平新时代中国特色社会主义思想，坚持党对政法工作的绝对领导，坚决执行党的路线方针政策和党中央重大决策部署，推动完善和落实政治轮训和政治督察制度。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贯彻党中央决定以及县委决策，对全县政法工作研究提出全局性部署，推进平安道州、法治道州建设。研究协调政法单位之间、政法单位与有关部门、地方之间有关重大事项，统一政法单位的思想和行动。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加强对政法领域重大实践和理论问题调查研究，提出重大决策部署和改革措施的意见和建议，协助党委决策和统筹推进政法改革等各项工作。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了解掌握和分析研判社会稳定形势、政法工作情况动态，创新完善多部门参与的平安建设工作协调机制，协调推动预防、化解影响稳定的社会矛盾和风险，协调应对和妥善处置重大事件，协调指导政法单位和有关部门做好反邪教、反暴恐工作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加强对政法工作的督查，统筹协调社会治安综合治理、维护社会稳定、反邪教、反暴恐等有关国家法律法规和政策的实施工作。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支持和监督政法单位依法行使职权，检查政法单位执行党的路线方针政策、党中央重大决策部署和国家法律法规的情况，指导和协调政法单位密切配合，完善与纪检监察机关衔接和协作配合机制，推进严格执法、公正司法。代管县法学会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指导和推动政法单位党的建设和政法队伍建设，协助县委和县委组织部加强政法单位领导班子和干部队伍建设，协助县委及县委组织部考察政法单位领导干部，办理管理权限内的政法干部任免。协助党委和纪检监察机关做好监督检查、审查调查工作，派员列席政法单位党组（党委）民主生活会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落实中央和省委、市委、县委国家安全领导机构、全面依法治国领导机构的决策部署，支持配合其办事机构工作；指导政法单位加强国家政治安全战略研究、法治中国建设重大问题研究，提出建议和工作意见，指导协调政法单位维护政治安全工作和执法司法相关工作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掌握分析政法舆情动态，指导和协调政法单位和有关部门做好依法办理、宣传报道和舆情引导相关工作。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完成县委和上级党委政法委交办的其他任务。</w:t>
      </w: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二、部门整体支出使用情况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年政法委共支出1064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4555万元。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（一）基本支出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</w:rPr>
        <w:t>417.2625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，其中：①工资福利支出290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5877万元(基本工资90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1271万元，津补贴87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9646万元，奖金35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4564万元，伙食补助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万元，机关事业保险28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2096万元，医疗保险14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②公用支出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万元，印刷费3万元，水费1万元，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物业管理费1.5万元，维护费2万元，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万元，邮电费3万元，差旅费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万元，劳务费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万元，工会经费1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 ③对个人和家庭的补助抚恤金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27.7848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（二）项目支出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647.1930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网格员工资及保险、平安建设奖励、应急处突及精神病人管控等554.66万元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 xml:space="preserve"> 政法队伍教育整治62万元,国家司法救助支出30.533万元。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（三）2020年三公经费使用情况：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年末公务接待支出12.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三、部门整体支出管理情况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1.完善制度，规范管理。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了政法委财务管理制度、会计核算制度、报账审批制度。严格按照国家财经法规、财务管理制度规定以及有关专项资金管理办法的规定进行资金管理，资金拨付有完整的审批程序和手续，对行政运行、内部控制、会议、差旅、培训等按新政策进行修订和细化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2.严格执行预算，控制各项支出。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严格控制公务接待费。坚持“先审批、后接待”的程序，根据派出单位发出的公务活动公函开展公务接待，如有特殊情况，对方没有公函，接待单位可以用通话记录代替。公务接待严格按接待标准执行，严禁超标准和使用烟酒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（2）加强培训费及差旅费的管理。严格控制培训参会次数、人数，实行出差审批制度，控制出差次数、人数。严禁在培训费中列支公务接待费、会议费、套取培训费用设立“小金库”。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（3）严格执行政府采购制度和程序。单位购置物品按采购规定实施，耗材、办公用品实行定点采购。合理确定采购需求，进行价格测算，确保采购目录、限额标准真正落到实处，不得超出办公需要采购服务。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（4）加强用电管理。履行节约用电义务，提倡节约用电，下班后办公室进行统一关闭电源。</w:t>
      </w:r>
    </w:p>
    <w:p>
      <w:pPr>
        <w:spacing w:line="58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四、部门整体支出绩效情况</w:t>
      </w:r>
    </w:p>
    <w:p>
      <w:pPr>
        <w:shd w:val="clear" w:color="auto" w:fill="FFFFFF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是全县政法工作极不平凡、极有成效的一年，面对常态化疫情冲击和艰巨繁重的政法工作任务，全县政法系统和广大政法干警，在县委、县政府的坚强领导下，围绕中心、忠诚履职，保平安、护发展、强治理、锻铁军，坚决打赢了一场又一场战役，有效化解了一个又一个风险，全力攻克了一道又一道难题，为“十四五”开好局起好步、全县经济社会高质量发展提供优质服务和坚强保障。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我县公众安全感民意调查排全省第4位、全市第2位，创历史最好成绩。陈树湘派出所获评全国平安建设先进集体。我县“雪亮工程”建设入选全国社会治理创新案例。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政治风险精准防。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调整充实国家安全人民防线领导小组，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健全国家安全协调机制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捣毁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全能神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”邪教</w:t>
      </w:r>
      <w:r>
        <w:rPr>
          <w:rFonts w:hint="eastAsia" w:ascii="仿宋_GB2312" w:hAnsi="仿宋_GB2312" w:eastAsia="仿宋_GB2312" w:cs="仿宋_GB2312"/>
          <w:sz w:val="32"/>
          <w:szCs w:val="32"/>
        </w:rPr>
        <w:t>窝点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处，查获教徒8人。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安保风险精准控。圆满完成重大安保活动35次，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100周年、十九届六中全会等重大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安保维稳万无一失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矛盾风险精准管。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化解涉稳风险隐患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核查涉稳情报指令189条。调处各类矛盾纠纷2126起，其中化解重大纠纷99起。处置群体性苗头事件49起。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对“两河三岛四岸”生态旅游综合开发等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41个重点项目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开展稳定风险评估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查处各类交通违法行为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</w:t>
      </w:r>
      <w:r>
        <w:rPr>
          <w:rFonts w:hint="eastAsia" w:ascii="仿宋_GB2312" w:hAnsi="仿宋_GB2312" w:eastAsia="仿宋_GB2312" w:cs="仿宋_GB2312"/>
          <w:sz w:val="32"/>
          <w:szCs w:val="32"/>
        </w:rPr>
        <w:t>余起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未发生死亡3人较大及以上事故，道路交通安全风险从“一类风险县”下调为“二类风险县”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铁路护路联防考核连续两年排全市第一。信访风险精准治。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国家信访局交办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重复访积案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139件，办结121件，排全市第三。全县赴省访同比下降26.2%，进京访同比下降43.5%，赴省进京非访继续保持零登记零挂号，无重点人社会面清理。严格依法治访，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依法查处违法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访案件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起，刑事拘留12人，判刑1人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行政拘留27人。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获评2021年全国“两会”和建党100周年期间全市信访维稳工作先进县。升级雪亮工程。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创新开展雪亮工程“户户通”建设，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共安装乡村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建成村级监控平台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270个、乡镇监控平台22个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开展“五老”调解。在县级成立政法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调解工作室，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”流动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调解工作室，村成立“好邻居”（新乡贤）+政法“五老”矛盾纠纷调解工作室，社区成立“好邻居”（志愿者）+政法“五老”矛盾纠纷调解工作室，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打造矛盾纠纷一站式化解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延伸片区警务。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快反</w:t>
      </w:r>
      <w:r>
        <w:rPr>
          <w:rFonts w:hint="eastAsia" w:ascii="仿宋_GB2312" w:hAnsi="仿宋_GB2312" w:eastAsia="仿宋_GB2312" w:cs="仿宋_GB2312"/>
          <w:sz w:val="32"/>
          <w:szCs w:val="32"/>
        </w:rPr>
        <w:t>135”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机制向乡镇农村延伸，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实体化运行的片区警务站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、片区警务分站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做实诉源治理。在矛盾多发易发的乡镇（街道）设立19个诉源治理工作站和工作点，由员额法官与乡镇（街道）、司法所提前介入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有效分流诉讼案件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调解案件781件。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五、评价结果</w:t>
      </w:r>
    </w:p>
    <w:p>
      <w:pPr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结合《部门整体支出绩效评价指标表》（见附件）的评价结果：9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分,财政支出绩效为“优”。</w:t>
      </w: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六、存在的主要问题</w:t>
      </w:r>
    </w:p>
    <w:p>
      <w:pPr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预算编制具体项目的细化程度和精准度不够高，合理性有待进一步加强。资金使用效益有待进一步提高，绩效目标设立不够明确、细化和量化。</w:t>
      </w:r>
    </w:p>
    <w:p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七、改进措施和有关建议</w:t>
      </w:r>
    </w:p>
    <w:p>
      <w:pPr>
        <w:pStyle w:val="4"/>
        <w:widowControl/>
        <w:spacing w:beforeAutospacing="0" w:after="105" w:afterAutospacing="0"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（一）严格制度执行。要严格执行预算管理、支出开支、审批、报销等各项制度和程序，强化开支的计划性，最大限度的提高各项预算资金的使用效率。</w:t>
      </w:r>
    </w:p>
    <w:p>
      <w:pPr>
        <w:pStyle w:val="4"/>
        <w:widowControl/>
        <w:spacing w:beforeAutospacing="0" w:after="105" w:afterAutospacing="0"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（二）财务人员应加强学习财务知识，多进行调查研究，钻研学习，因时制宜，更好地结合单位实际情况编制部门预算，提高预算编制的细化程度、精准度和合理性，从而提高资金的使用效率，减少年中追加。</w:t>
      </w:r>
    </w:p>
    <w:p>
      <w:pPr>
        <w:pStyle w:val="4"/>
        <w:widowControl/>
        <w:spacing w:beforeAutospacing="0" w:after="105" w:afterAutospacing="0"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（三）单位要加强绩效目标设立、细化和量化工作的力度，进一步提高资金使用效率。</w:t>
      </w:r>
    </w:p>
    <w:p>
      <w:pPr>
        <w:spacing w:line="56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640" w:firstLineChars="200"/>
        <w:jc w:val="center"/>
        <w:textAlignment w:val="baseline"/>
        <w:rPr>
          <w:rFonts w:cs="黑体"/>
          <w:color w:val="000000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531" w:right="1757" w:bottom="1531" w:left="175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60F73"/>
    <w:rsid w:val="00201185"/>
    <w:rsid w:val="00323B43"/>
    <w:rsid w:val="003D37D8"/>
    <w:rsid w:val="00426133"/>
    <w:rsid w:val="004358AB"/>
    <w:rsid w:val="00457BDE"/>
    <w:rsid w:val="0051439A"/>
    <w:rsid w:val="007A167C"/>
    <w:rsid w:val="00827119"/>
    <w:rsid w:val="008B7726"/>
    <w:rsid w:val="009E7321"/>
    <w:rsid w:val="00D31D50"/>
    <w:rsid w:val="00D77842"/>
    <w:rsid w:val="00E430DA"/>
    <w:rsid w:val="027F7B76"/>
    <w:rsid w:val="08161AF5"/>
    <w:rsid w:val="20DF05C6"/>
    <w:rsid w:val="21D90547"/>
    <w:rsid w:val="7CF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Times New Roman" w:hAnsi="Times New Roman" w:eastAsia="宋体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2747</Characters>
  <Lines>22</Lines>
  <Paragraphs>6</Paragraphs>
  <TotalTime>0</TotalTime>
  <ScaleCrop>false</ScaleCrop>
  <LinksUpToDate>false</LinksUpToDate>
  <CharactersWithSpaces>3222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2022-06-01T09:04:48Z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