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rFonts w:hint="eastAsia"/>
          <w:sz w:val="84"/>
          <w:szCs w:val="84"/>
          <w:lang w:eastAsia="zh-CN"/>
        </w:rPr>
      </w:pPr>
      <w:r>
        <w:rPr>
          <w:rFonts w:hint="eastAsia"/>
          <w:sz w:val="84"/>
          <w:szCs w:val="84"/>
          <w:lang w:eastAsia="zh-CN"/>
        </w:rPr>
        <w:t>道县工伤保险服务中心</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第一部分道县工伤保险服务中心单位概况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道县工伤保险服务中心单位概况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一</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贯彻执行《国务院工伤保险条例》和《湖南省实施工伤保险条例》办法及永州市人民政府相关工伤保险政策法规。</w:t>
      </w:r>
    </w:p>
    <w:p>
      <w:pPr>
        <w:widowControl/>
        <w:spacing w:line="60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lang w:eastAsia="zh-CN"/>
        </w:rPr>
        <w:t>（二）负责全县工伤保险政策法规的宣传工作；负责全县工伤保险参保登记、缴费审核、稽核检查工作。</w:t>
      </w:r>
    </w:p>
    <w:p>
      <w:pPr>
        <w:widowControl/>
        <w:spacing w:line="60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lang w:eastAsia="zh-CN"/>
        </w:rPr>
        <w:t>（三）负责全县工伤保险基金的征缴、审核与管理工作。</w:t>
      </w:r>
    </w:p>
    <w:p>
      <w:pPr>
        <w:widowControl/>
        <w:spacing w:line="60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lang w:eastAsia="zh-CN"/>
        </w:rPr>
        <w:t>（四）负责全县参保单位工伤人员和供养亲属办理工伤保险待遇审批手续，并支持相关待遇的拨付工作。</w:t>
      </w:r>
    </w:p>
    <w:p>
      <w:pPr>
        <w:widowControl/>
        <w:spacing w:line="60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lang w:eastAsia="zh-CN"/>
        </w:rPr>
        <w:t>（五）负责全县工伤保险各项数据的收集、汇总及报表的编制与上报工作。</w:t>
      </w:r>
    </w:p>
    <w:p>
      <w:pPr>
        <w:widowControl/>
        <w:spacing w:line="60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六</w:t>
      </w:r>
      <w:r>
        <w:rPr>
          <w:rFonts w:hint="eastAsia" w:asciiTheme="minorEastAsia" w:hAnsiTheme="minorEastAsia"/>
          <w:bCs/>
          <w:kern w:val="0"/>
          <w:sz w:val="32"/>
          <w:szCs w:val="32"/>
          <w:lang w:eastAsia="zh-CN"/>
        </w:rPr>
        <w:t>）负责与全县工伤保险有关的其他业务。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rPr>
        <w:t>202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年本单位内设机构</w:t>
      </w:r>
      <w:r>
        <w:rPr>
          <w:rFonts w:hint="eastAsia" w:asciiTheme="minorEastAsia" w:hAnsiTheme="minorEastAsia"/>
          <w:bCs/>
          <w:kern w:val="0"/>
          <w:sz w:val="32"/>
          <w:szCs w:val="32"/>
          <w:lang w:eastAsia="zh-CN"/>
        </w:rPr>
        <w:t>包括：道县工伤保险站属于参照公务员管理全额拨款事业单位，内设道县工伤保险站。</w:t>
      </w:r>
    </w:p>
    <w:p>
      <w:pPr>
        <w:numPr>
          <w:ilvl w:val="0"/>
          <w:numId w:val="2"/>
        </w:numPr>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p>
    <w:p>
      <w:pPr>
        <w:numPr>
          <w:ilvl w:val="0"/>
          <w:numId w:val="0"/>
        </w:numPr>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eastAsia="zh-CN"/>
        </w:rPr>
        <w:t>道县工伤保险站</w:t>
      </w:r>
      <w:r>
        <w:rPr>
          <w:rFonts w:hint="eastAsia" w:asciiTheme="minorEastAsia" w:hAnsiTheme="minorEastAsia"/>
          <w:bCs/>
          <w:kern w:val="0"/>
          <w:sz w:val="32"/>
          <w:szCs w:val="32"/>
        </w:rPr>
        <w:t>20</w:t>
      </w:r>
      <w:r>
        <w:rPr>
          <w:rFonts w:hint="eastAsia" w:asciiTheme="minorEastAsia" w:hAnsiTheme="minorEastAsia"/>
          <w:bCs/>
          <w:kern w:val="0"/>
          <w:sz w:val="32"/>
          <w:szCs w:val="32"/>
          <w:lang w:val="en-US" w:eastAsia="zh-CN"/>
        </w:rPr>
        <w:t>21</w:t>
      </w:r>
      <w:r>
        <w:rPr>
          <w:rFonts w:hint="eastAsia" w:asciiTheme="minorEastAsia" w:hAnsiTheme="minorEastAsia"/>
          <w:bCs/>
          <w:kern w:val="0"/>
          <w:sz w:val="32"/>
          <w:szCs w:val="32"/>
        </w:rPr>
        <w:t>年部门决算汇总公开单位构成</w:t>
      </w:r>
      <w:r>
        <w:rPr>
          <w:rFonts w:hint="eastAsia" w:asciiTheme="minorEastAsia" w:hAnsiTheme="minorEastAsia"/>
          <w:bCs/>
          <w:kern w:val="0"/>
          <w:sz w:val="32"/>
          <w:szCs w:val="32"/>
          <w:lang w:eastAsia="zh-CN"/>
        </w:rPr>
        <w:t>只有</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道县工伤保险站</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60.85</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60.85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60.85</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60.85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60.85</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60.85</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fixed"/>
        <w:tblCellMar>
          <w:top w:w="0" w:type="dxa"/>
          <w:left w:w="0" w:type="dxa"/>
          <w:bottom w:w="0" w:type="dxa"/>
          <w:right w:w="0" w:type="dxa"/>
        </w:tblCellMar>
      </w:tblPr>
      <w:tblGrid>
        <w:gridCol w:w="1793"/>
        <w:gridCol w:w="240"/>
        <w:gridCol w:w="1654"/>
        <w:gridCol w:w="1582"/>
        <w:gridCol w:w="1582"/>
        <w:gridCol w:w="1582"/>
        <w:gridCol w:w="1582"/>
        <w:gridCol w:w="1582"/>
        <w:gridCol w:w="1582"/>
        <w:gridCol w:w="2249"/>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79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5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8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8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8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8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8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8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4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2033"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tabs>
                <w:tab w:val="center" w:pos="536"/>
              </w:tabs>
              <w:rPr>
                <w:rFonts w:hint="eastAsia" w:ascii="宋体" w:hAnsi="宋体" w:cs="宋体" w:eastAsiaTheme="minorEastAsia"/>
                <w:color w:val="000000"/>
                <w:sz w:val="20"/>
                <w:szCs w:val="20"/>
                <w:lang w:eastAsia="zh-CN"/>
              </w:rPr>
            </w:pPr>
            <w:r>
              <w:rPr>
                <w:rFonts w:hint="eastAsia"/>
                <w:color w:val="000000"/>
                <w:sz w:val="20"/>
                <w:szCs w:val="20"/>
              </w:rPr>
              <w:t>部门：</w:t>
            </w:r>
            <w:r>
              <w:rPr>
                <w:rFonts w:hint="eastAsia"/>
                <w:color w:val="000000"/>
                <w:sz w:val="20"/>
                <w:szCs w:val="20"/>
                <w:lang w:eastAsia="zh-CN"/>
              </w:rPr>
              <w:t>道县工伤保险站</w:t>
            </w:r>
          </w:p>
        </w:tc>
        <w:tc>
          <w:tcPr>
            <w:tcW w:w="165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8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8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82"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58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8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8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4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68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8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8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8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8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8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8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24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03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65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8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8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8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8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8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8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3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54"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8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8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8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8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8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8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68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5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5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5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5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5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2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368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60.85</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60.85</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79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8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60.85</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60.85</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79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20801</w:t>
            </w:r>
          </w:p>
        </w:tc>
        <w:tc>
          <w:tcPr>
            <w:tcW w:w="18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24.03</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24.03</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79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2080101</w:t>
            </w:r>
          </w:p>
        </w:tc>
        <w:tc>
          <w:tcPr>
            <w:tcW w:w="18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18.33</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18.33</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79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2080109</w:t>
            </w:r>
          </w:p>
        </w:tc>
        <w:tc>
          <w:tcPr>
            <w:tcW w:w="18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5.70</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5.70</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79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20827</w:t>
            </w:r>
          </w:p>
        </w:tc>
        <w:tc>
          <w:tcPr>
            <w:tcW w:w="18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财政对其他社会保险基金的补助</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36.83</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36.83</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79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2082702</w:t>
            </w:r>
          </w:p>
        </w:tc>
        <w:tc>
          <w:tcPr>
            <w:tcW w:w="18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财政对工伤保险基金的补助</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36.83</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36.83</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093" w:type="dxa"/>
        <w:tblInd w:w="93" w:type="dxa"/>
        <w:tblLayout w:type="fixed"/>
        <w:tblCellMar>
          <w:top w:w="0" w:type="dxa"/>
          <w:left w:w="108" w:type="dxa"/>
          <w:bottom w:w="0" w:type="dxa"/>
          <w:right w:w="108" w:type="dxa"/>
        </w:tblCellMar>
      </w:tblPr>
      <w:tblGrid>
        <w:gridCol w:w="986"/>
        <w:gridCol w:w="786"/>
        <w:gridCol w:w="240"/>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7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772" w:type="dxa"/>
            <w:gridSpan w:val="2"/>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道县工伤保险站</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60.85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60.85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60.85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60.85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18.33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2080109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20827</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财政对其他社会保险基金的补助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36.83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36.83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2082702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财政对工伤保险基金的补助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36.83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36.83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道县工伤保险站</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60.85</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60.85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60.85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60.85</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60.85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60.85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60.85</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60.85</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60.85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道县工伤保险站</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980"/>
        <w:gridCol w:w="3304"/>
        <w:gridCol w:w="2839"/>
        <w:gridCol w:w="3296"/>
        <w:gridCol w:w="2814"/>
      </w:tblGrid>
      <w:tr>
        <w:tblPrEx>
          <w:tblCellMar>
            <w:top w:w="0" w:type="dxa"/>
            <w:left w:w="108" w:type="dxa"/>
            <w:bottom w:w="0" w:type="dxa"/>
            <w:right w:w="108" w:type="dxa"/>
          </w:tblCellMar>
        </w:tblPrEx>
        <w:trPr>
          <w:trHeight w:val="405" w:hRule="atLeast"/>
          <w:jc w:val="center"/>
        </w:trPr>
        <w:tc>
          <w:tcPr>
            <w:tcW w:w="527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66"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3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14"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6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6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1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60.85</w:t>
            </w:r>
          </w:p>
        </w:tc>
        <w:tc>
          <w:tcPr>
            <w:tcW w:w="3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60.85</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60.85</w:t>
            </w:r>
          </w:p>
        </w:tc>
        <w:tc>
          <w:tcPr>
            <w:tcW w:w="3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60.85</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24.03</w:t>
            </w:r>
          </w:p>
        </w:tc>
        <w:tc>
          <w:tcPr>
            <w:tcW w:w="3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24.03</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18.33</w:t>
            </w:r>
          </w:p>
        </w:tc>
        <w:tc>
          <w:tcPr>
            <w:tcW w:w="3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18.33</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2080109</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5.70</w:t>
            </w:r>
          </w:p>
        </w:tc>
        <w:tc>
          <w:tcPr>
            <w:tcW w:w="3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5.70</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20827</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财政对其他社会保险基金的补助</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36.83</w:t>
            </w:r>
          </w:p>
        </w:tc>
        <w:tc>
          <w:tcPr>
            <w:tcW w:w="3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36.83</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2082702</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财政对工伤保险基金的补助</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36.83</w:t>
            </w:r>
          </w:p>
        </w:tc>
        <w:tc>
          <w:tcPr>
            <w:tcW w:w="3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36.83</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331"/>
        <w:gridCol w:w="3320"/>
        <w:gridCol w:w="770"/>
        <w:gridCol w:w="1217"/>
        <w:gridCol w:w="2290"/>
        <w:gridCol w:w="662"/>
        <w:gridCol w:w="1218"/>
        <w:gridCol w:w="4143"/>
        <w:gridCol w:w="663"/>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道县工伤保险站</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55.15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5.70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10.80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5.72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36.83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0.71</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55.15</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5.70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4070" w:hanging="14070" w:hangingChars="67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道县工伤保险站</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道县工伤保险站</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道县工伤保险站无政府性基金收入，也没有使用政府性基金安排的支出，故本表无数据。</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380"/>
        <w:gridCol w:w="24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38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道县工伤保险站</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道县工伤保险站无国有资本经营预算财政拨款收入，也没有安排国有资本经营预算财政支出，故本表格无数据。</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60.85</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3.27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5.67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老工伤住院增加，财政对此支出增加。</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60.85</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60.85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60.85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60.85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60.85</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3.27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5.67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老工伤住院增加，财政对此支出增加。</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60.85</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3.27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5.67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老工伤住院增加，财政对此支出增加。</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60.85</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社会保障和就业支持</w:t>
      </w:r>
      <w:r>
        <w:rPr>
          <w:rFonts w:hint="eastAsia" w:asciiTheme="minorEastAsia" w:hAnsiTheme="minorEastAsia" w:eastAsiaTheme="minorEastAsia"/>
          <w:sz w:val="32"/>
          <w:szCs w:val="32"/>
          <w:lang w:val="en-US" w:eastAsia="zh-CN"/>
        </w:rPr>
        <w:t>60.85万元。</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35.7</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60.85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170.45</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人力资源和社会保障管理事务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18.33</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人员基本工资、津补贴由人社局统一作预算。</w:t>
      </w:r>
    </w:p>
    <w:p>
      <w:pPr>
        <w:pStyle w:val="10"/>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人力资源和社会保障管理事务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0"/>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持平。</w:t>
      </w:r>
    </w:p>
    <w:p>
      <w:pPr>
        <w:pStyle w:val="10"/>
        <w:numPr>
          <w:ilvl w:val="0"/>
          <w:numId w:val="3"/>
        </w:numPr>
        <w:ind w:left="0" w:leftChars="0"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财政对其他社会保险基金的补助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财政对工伤保险基金的补助</w:t>
      </w:r>
      <w:r>
        <w:rPr>
          <w:rFonts w:hint="eastAsia" w:asciiTheme="minorEastAsia" w:hAnsiTheme="minorEastAsia" w:eastAsiaTheme="minorEastAsia"/>
          <w:sz w:val="32"/>
          <w:szCs w:val="32"/>
        </w:rPr>
        <w:t>（项）。</w:t>
      </w:r>
    </w:p>
    <w:p>
      <w:pPr>
        <w:pStyle w:val="10"/>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36.83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122.77</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老工伤住院增加，财政对此支出增加。</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60.85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55.15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90.63</w:t>
      </w:r>
      <w:r>
        <w:rPr>
          <w:rFonts w:hint="eastAsia" w:asciiTheme="minorEastAsia" w:hAnsiTheme="minorEastAsia" w:eastAsiaTheme="minorEastAsia"/>
          <w:sz w:val="32"/>
          <w:szCs w:val="32"/>
        </w:rPr>
        <w:t>%,主要包括基本工资、津贴补贴、奖金、</w:t>
      </w:r>
      <w:r>
        <w:rPr>
          <w:rFonts w:hint="eastAsia" w:asciiTheme="minorEastAsia" w:hAnsiTheme="minorEastAsia" w:eastAsiaTheme="minorEastAsia"/>
          <w:sz w:val="32"/>
          <w:szCs w:val="32"/>
          <w:lang w:eastAsia="zh-CN"/>
        </w:rPr>
        <w:t>财政对工伤保险基金的补助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5.7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9.37</w:t>
      </w:r>
      <w:r>
        <w:rPr>
          <w:rFonts w:hint="eastAsia" w:asciiTheme="minorEastAsia" w:hAnsiTheme="minorEastAsia" w:eastAsiaTheme="minorEastAsia"/>
          <w:sz w:val="32"/>
          <w:szCs w:val="32"/>
        </w:rPr>
        <w:t>%，主要包括办公费、印刷费、咨询费、手续费。</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0.7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71.43</w:t>
      </w:r>
      <w:r>
        <w:rPr>
          <w:rFonts w:hint="eastAsia" w:asciiTheme="minorEastAsia" w:hAnsiTheme="minorEastAsia" w:eastAsiaTheme="minorEastAsia"/>
          <w:sz w:val="32"/>
          <w:szCs w:val="32"/>
        </w:rPr>
        <w:t>%，其中：</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71.43</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疫情期间，减少县市间的交流学习</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本年度本单位无公务用辆购置</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p>
    <w:p>
      <w:pPr>
        <w:pStyle w:val="10"/>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0"/>
        <w:numPr>
          <w:ilvl w:val="0"/>
          <w:numId w:val="4"/>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因公出国（境）费支出决算为0万元。2021年度我单位无因公出国（境）活动。</w:t>
      </w:r>
    </w:p>
    <w:p>
      <w:pPr>
        <w:pStyle w:val="10"/>
        <w:numPr>
          <w:ilvl w:val="0"/>
          <w:numId w:val="4"/>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公务接待费支出决算为</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52</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县市间互相交流学习</w:t>
      </w:r>
      <w:r>
        <w:rPr>
          <w:rFonts w:hint="eastAsia" w:asciiTheme="minorEastAsia" w:hAnsiTheme="minorEastAsia" w:eastAsiaTheme="minorEastAsia"/>
          <w:sz w:val="32"/>
          <w:szCs w:val="32"/>
        </w:rPr>
        <w:t>发生的接待支出。</w:t>
      </w:r>
    </w:p>
    <w:p>
      <w:pPr>
        <w:pStyle w:val="10"/>
        <w:numPr>
          <w:ilvl w:val="0"/>
          <w:numId w:val="4"/>
        </w:numPr>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公务用车购置费及运行维护费支出决算为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lang w:eastAsia="zh-CN"/>
        </w:rPr>
        <w:t>万元，其中：公务用车购置费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lang w:eastAsia="zh-CN"/>
        </w:rPr>
        <w:t>万元，公务用车购置</w:t>
      </w:r>
      <w:r>
        <w:rPr>
          <w:rFonts w:hint="eastAsia" w:asciiTheme="minorEastAsia" w:hAnsiTheme="minorEastAsia" w:eastAsiaTheme="minorEastAsia"/>
          <w:sz w:val="32"/>
          <w:szCs w:val="32"/>
          <w:lang w:val="en-US" w:eastAsia="zh-CN"/>
        </w:rPr>
        <w:t>0辆，</w:t>
      </w:r>
      <w:r>
        <w:rPr>
          <w:rFonts w:hint="eastAsia" w:asciiTheme="minorEastAsia" w:hAnsiTheme="minorEastAsia" w:eastAsiaTheme="minorEastAsia"/>
          <w:sz w:val="32"/>
          <w:szCs w:val="32"/>
          <w:lang w:eastAsia="zh-CN"/>
        </w:rPr>
        <w:t>公务用车运行维护费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lang w:eastAsia="zh-CN"/>
        </w:rPr>
        <w:t>万元，截止2021年12月31日，我单位开支财政拨款的公务用车保有量为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lang w:eastAsia="zh-CN"/>
        </w:rPr>
        <w:t>辆。</w:t>
      </w:r>
    </w:p>
    <w:p>
      <w:pPr>
        <w:pStyle w:val="10"/>
        <w:rPr>
          <w:rFonts w:hAnsi="黑体"/>
          <w:b/>
          <w:sz w:val="32"/>
          <w:szCs w:val="32"/>
        </w:rPr>
      </w:pPr>
      <w:r>
        <w:rPr>
          <w:rFonts w:hint="eastAsia" w:hAnsi="黑体"/>
          <w:b/>
          <w:sz w:val="32"/>
          <w:szCs w:val="32"/>
        </w:rPr>
        <w:t>八、政府性基金预算收入支出决算情况</w:t>
      </w:r>
    </w:p>
    <w:p>
      <w:pPr>
        <w:pStyle w:val="10"/>
        <w:rPr>
          <w:rFonts w:hint="eastAsia" w:asciiTheme="minorEastAsia" w:hAnsiTheme="minorEastAsia" w:eastAsiaTheme="minorEastAsia"/>
          <w:i/>
          <w:color w:val="FF0000"/>
          <w:sz w:val="32"/>
          <w:szCs w:val="32"/>
          <w:lang w:eastAsia="zh-CN"/>
        </w:rPr>
      </w:pPr>
      <w:r>
        <w:rPr>
          <w:rFonts w:hint="eastAsia" w:asciiTheme="minorEastAsia" w:hAnsiTheme="minorEastAsia" w:eastAsiaTheme="minorEastAsia"/>
          <w:sz w:val="32"/>
          <w:szCs w:val="32"/>
        </w:rPr>
        <w:t xml:space="preserve">     2021年度</w:t>
      </w:r>
      <w:r>
        <w:rPr>
          <w:rFonts w:hint="eastAsia" w:asciiTheme="minorEastAsia" w:hAnsiTheme="minorEastAsia" w:eastAsiaTheme="minorEastAsia"/>
          <w:sz w:val="32"/>
          <w:szCs w:val="32"/>
          <w:lang w:eastAsia="zh-CN"/>
        </w:rPr>
        <w:t>本单位无</w:t>
      </w:r>
      <w:r>
        <w:rPr>
          <w:rFonts w:hint="eastAsia" w:asciiTheme="minorEastAsia" w:hAnsiTheme="minorEastAsia" w:eastAsiaTheme="minorEastAsia"/>
          <w:sz w:val="32"/>
          <w:szCs w:val="32"/>
        </w:rPr>
        <w:t>政府性基金</w:t>
      </w:r>
      <w:r>
        <w:rPr>
          <w:rFonts w:hint="eastAsia" w:asciiTheme="minorEastAsia" w:hAnsiTheme="minorEastAsia" w:eastAsiaTheme="minorEastAsia"/>
          <w:sz w:val="32"/>
          <w:szCs w:val="32"/>
          <w:lang w:eastAsia="zh-CN"/>
        </w:rPr>
        <w:t>收支。</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5.7</w:t>
      </w:r>
      <w:r>
        <w:rPr>
          <w:rFonts w:hint="eastAsia" w:asciiTheme="minorEastAsia" w:hAnsiTheme="minorEastAsia" w:eastAsiaTheme="minorEastAsia"/>
          <w:sz w:val="32"/>
          <w:szCs w:val="32"/>
        </w:rPr>
        <w:t>万元，比年初预算数减少</w:t>
      </w:r>
      <w:r>
        <w:rPr>
          <w:rFonts w:hint="eastAsia" w:asciiTheme="minorEastAsia" w:hAnsiTheme="minorEastAsia" w:eastAsiaTheme="minorEastAsia"/>
          <w:sz w:val="32"/>
          <w:szCs w:val="32"/>
          <w:lang w:val="en-US" w:eastAsia="zh-CN"/>
        </w:rPr>
        <w:t>3.75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65.79</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核算的在编人员减少，人员经费减少</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十、一般性支出情况说明</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年本部门开支会议费0万元；开支培训费0万元；未举办节庆、晚会、论坛、赛事活动。</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年度政府采购支出总额0万元，其中：政府采购货物支出0万元、政府采购工程支出0万元、政府采购服务支出0万元。授予中小企业合同金额0万元，占政府采购支出总额的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%，其中：授予小微企业合同金额0万元，占政府采购支出总额的0%；货物采购授予中小企业合同金额占货物支出金额的 0%，工程采购授予中小企业合同金额占工程支出金额的0%，服务采购授予中小企业合同金额占服务支出金额的0%。</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其中：副部（省）级及以上领导用车0辆、主要领导干部用车0辆、机要通信用车0辆、应急保障用车0辆、执法执勤用车0辆、特种专业技术用车0辆、其他用车0辆；单位价值50万元以上通用设备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本部门预算绩效管理开展情况、绩效目标和绩效评价报告等见附件。</w:t>
      </w:r>
    </w:p>
    <w:p>
      <w:pPr>
        <w:pStyle w:val="10"/>
        <w:jc w:val="center"/>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asciiTheme="minorEastAsia" w:hAnsiTheme="minorEastAsia"/>
          <w:sz w:val="28"/>
          <w:szCs w:val="32"/>
        </w:rPr>
      </w:pPr>
      <w:r>
        <w:rPr>
          <w:rFonts w:hint="eastAsia" w:cs="黑体" w:asciiTheme="minorEastAsia" w:hAnsiTheme="minorEastAsia"/>
          <w:color w:val="000000"/>
          <w:kern w:val="0"/>
          <w:sz w:val="32"/>
          <w:szCs w:val="32"/>
        </w:rPr>
        <w:t>一、</w:t>
      </w:r>
      <w:r>
        <w:rPr>
          <w:rFonts w:hint="eastAsia" w:asciiTheme="minorEastAsia" w:hAnsiTheme="minorEastAsia"/>
          <w:sz w:val="28"/>
          <w:szCs w:val="32"/>
        </w:rPr>
        <w:t>“三公”经费：指单位用一般公共预算财政拨款安排的因公出 国（境）费、公务用车购置及运行维护费和公务接待费。其中，因公出 国（境）费反映单位公务出国（境）的国际旅费、国外城市间交通费、 住宿费、伙食费、培训费、公杂费等支出；公务用车购置及运行维护费 反映单位公务用车购置支出（含车辆购置税、牌照费）以及按规定保留 的公务用车燃料费、维修费、过路过桥费、保险费、安全奖励费用等支 出；公务接待费反映单位按规定开支的各类公务接待（含外宾接待）费 用。</w:t>
      </w:r>
    </w:p>
    <w:p>
      <w:pPr>
        <w:ind w:firstLine="640" w:firstLineChars="200"/>
        <w:jc w:val="left"/>
        <w:rPr>
          <w:rFonts w:hint="eastAsia" w:asciiTheme="minorEastAsia" w:hAnsiTheme="minorEastAsia"/>
          <w:sz w:val="28"/>
          <w:szCs w:val="32"/>
        </w:rPr>
      </w:pPr>
      <w:r>
        <w:rPr>
          <w:rFonts w:hint="eastAsia" w:cs="黑体" w:asciiTheme="minorEastAsia" w:hAnsiTheme="minorEastAsia"/>
          <w:color w:val="000000"/>
          <w:kern w:val="0"/>
          <w:sz w:val="32"/>
          <w:szCs w:val="32"/>
        </w:rPr>
        <w:t>二、</w:t>
      </w:r>
      <w:r>
        <w:rPr>
          <w:rFonts w:hint="eastAsia" w:asciiTheme="minorEastAsia" w:hAnsiTheme="minorEastAsia"/>
          <w:sz w:val="28"/>
          <w:szCs w:val="32"/>
        </w:rPr>
        <w:t>机关运行经费：指行政单位（含参照公务员法管理的事业单位） 使用一般公共预算安排的基本支出中的公用经费支出，包括办公及印刷 费、邮电费、差旅费、会议费、福利费、日常维修费、专用材料及一般 设备购置费、办公用房水电费、办公用房取暖费、办公用房物业管理费、 公务用车运行维护费及其他费用。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ind w:firstLine="560" w:firstLineChars="200"/>
        <w:jc w:val="left"/>
        <w:rPr>
          <w:rFonts w:hint="eastAsia" w:asciiTheme="minorEastAsia" w:hAnsiTheme="minorEastAsia"/>
          <w:sz w:val="28"/>
          <w:szCs w:val="32"/>
        </w:rPr>
      </w:pPr>
      <w:r>
        <w:rPr>
          <w:rFonts w:hint="eastAsia" w:asciiTheme="minorEastAsia" w:hAnsiTheme="minorEastAsia"/>
          <w:sz w:val="28"/>
          <w:szCs w:val="32"/>
          <w:lang w:eastAsia="zh-CN"/>
        </w:rPr>
        <w:t>道县工伤保险站是参照公务员法管理的独立核算机构。</w:t>
      </w:r>
      <w:r>
        <w:rPr>
          <w:rFonts w:hint="eastAsia" w:asciiTheme="minorEastAsia" w:hAnsiTheme="minorEastAsia"/>
          <w:sz w:val="28"/>
          <w:szCs w:val="32"/>
        </w:rPr>
        <w:t>主要工作职责是：</w:t>
      </w:r>
      <w:r>
        <w:rPr>
          <w:rFonts w:hint="eastAsia" w:asciiTheme="minorEastAsia" w:hAnsiTheme="minorEastAsia"/>
          <w:sz w:val="28"/>
          <w:szCs w:val="32"/>
          <w:lang w:eastAsia="zh-CN"/>
        </w:rPr>
        <w:t>负责本县区内工伤保险基金的征收及管理,调查工伤事故，审核工伤保险待遇,提供工伤保险相关政策的咨询等。</w:t>
      </w:r>
    </w:p>
    <w:p>
      <w:pPr>
        <w:adjustRightInd w:val="0"/>
        <w:snapToGrid w:val="0"/>
        <w:spacing w:line="600" w:lineRule="exact"/>
        <w:ind w:firstLine="640" w:firstLineChars="200"/>
        <w:rPr>
          <w:rFonts w:ascii="楷体_GB2312" w:eastAsia="楷体_GB2312"/>
          <w:b/>
          <w:sz w:val="32"/>
          <w:szCs w:val="32"/>
        </w:rPr>
      </w:pPr>
      <w:r>
        <w:rPr>
          <w:rFonts w:eastAsia="黑体"/>
          <w:sz w:val="32"/>
          <w:szCs w:val="32"/>
        </w:rPr>
        <w:t>二、</w:t>
      </w:r>
      <w:r>
        <w:rPr>
          <w:rFonts w:hint="eastAsia" w:eastAsia="黑体"/>
          <w:sz w:val="32"/>
          <w:szCs w:val="32"/>
        </w:rPr>
        <w:t>部门整体支出</w:t>
      </w:r>
      <w:r>
        <w:rPr>
          <w:rFonts w:eastAsia="黑体"/>
          <w:sz w:val="32"/>
          <w:szCs w:val="32"/>
        </w:rPr>
        <w:t>使用情况</w:t>
      </w:r>
    </w:p>
    <w:p>
      <w:pPr>
        <w:ind w:firstLine="640" w:firstLineChars="200"/>
        <w:jc w:val="left"/>
        <w:rPr>
          <w:rFonts w:hint="eastAsia" w:asciiTheme="minorEastAsia" w:hAnsiTheme="minorEastAsia"/>
          <w:sz w:val="28"/>
          <w:szCs w:val="32"/>
        </w:rPr>
      </w:pPr>
      <w:r>
        <w:rPr>
          <w:rFonts w:hint="eastAsia" w:ascii="仿宋" w:hAnsi="仿宋" w:eastAsia="仿宋"/>
          <w:sz w:val="32"/>
          <w:szCs w:val="32"/>
        </w:rPr>
        <w:t xml:space="preserve">(一) </w:t>
      </w:r>
      <w:r>
        <w:rPr>
          <w:rFonts w:hint="eastAsia" w:asciiTheme="minorEastAsia" w:hAnsiTheme="minorEastAsia"/>
          <w:sz w:val="28"/>
          <w:szCs w:val="32"/>
        </w:rPr>
        <w:t xml:space="preserve"> 20</w:t>
      </w:r>
      <w:r>
        <w:rPr>
          <w:rFonts w:hint="eastAsia" w:asciiTheme="minorEastAsia" w:hAnsiTheme="minorEastAsia"/>
          <w:sz w:val="28"/>
          <w:szCs w:val="32"/>
          <w:lang w:val="en-US" w:eastAsia="zh-CN"/>
        </w:rPr>
        <w:t>21</w:t>
      </w:r>
      <w:r>
        <w:rPr>
          <w:rFonts w:hint="eastAsia" w:asciiTheme="minorEastAsia" w:hAnsiTheme="minorEastAsia"/>
          <w:sz w:val="28"/>
          <w:szCs w:val="32"/>
        </w:rPr>
        <w:t>年我</w:t>
      </w:r>
      <w:r>
        <w:rPr>
          <w:rFonts w:hint="eastAsia" w:asciiTheme="minorEastAsia" w:hAnsiTheme="minorEastAsia"/>
          <w:sz w:val="28"/>
          <w:szCs w:val="32"/>
          <w:lang w:eastAsia="zh-CN"/>
        </w:rPr>
        <w:t>站</w:t>
      </w:r>
      <w:r>
        <w:rPr>
          <w:rFonts w:hint="eastAsia" w:asciiTheme="minorEastAsia" w:hAnsiTheme="minorEastAsia"/>
          <w:sz w:val="28"/>
          <w:szCs w:val="32"/>
        </w:rPr>
        <w:t>整体支出</w:t>
      </w:r>
      <w:r>
        <w:rPr>
          <w:rFonts w:hint="eastAsia" w:asciiTheme="minorEastAsia" w:hAnsiTheme="minorEastAsia"/>
          <w:sz w:val="28"/>
          <w:szCs w:val="32"/>
          <w:lang w:val="en-US" w:eastAsia="zh-CN"/>
        </w:rPr>
        <w:t>60.85</w:t>
      </w:r>
      <w:r>
        <w:rPr>
          <w:rFonts w:hint="eastAsia" w:asciiTheme="minorEastAsia" w:hAnsiTheme="minorEastAsia"/>
          <w:sz w:val="28"/>
          <w:szCs w:val="32"/>
        </w:rPr>
        <w:t>万元,其中:公共财政拨款支出</w:t>
      </w:r>
      <w:r>
        <w:rPr>
          <w:rFonts w:hint="eastAsia" w:asciiTheme="minorEastAsia" w:hAnsiTheme="minorEastAsia"/>
          <w:sz w:val="28"/>
          <w:szCs w:val="32"/>
          <w:lang w:val="en-US" w:eastAsia="zh-CN"/>
        </w:rPr>
        <w:t>60.85</w:t>
      </w:r>
      <w:r>
        <w:rPr>
          <w:rFonts w:hint="eastAsia" w:asciiTheme="minorEastAsia" w:hAnsiTheme="minorEastAsia"/>
          <w:sz w:val="28"/>
          <w:szCs w:val="32"/>
        </w:rPr>
        <w:t>万元。包括：</w:t>
      </w:r>
    </w:p>
    <w:p>
      <w:pPr>
        <w:ind w:firstLine="560" w:firstLineChars="200"/>
        <w:jc w:val="left"/>
        <w:rPr>
          <w:rFonts w:hint="eastAsia" w:asciiTheme="minorEastAsia" w:hAnsiTheme="minorEastAsia"/>
          <w:sz w:val="28"/>
          <w:szCs w:val="32"/>
        </w:rPr>
      </w:pPr>
      <w:r>
        <w:rPr>
          <w:rFonts w:hint="eastAsia" w:asciiTheme="minorEastAsia" w:hAnsiTheme="minorEastAsia"/>
          <w:sz w:val="28"/>
          <w:szCs w:val="32"/>
        </w:rPr>
        <w:t>1、基本支</w:t>
      </w:r>
      <w:r>
        <w:rPr>
          <w:rFonts w:hint="eastAsia" w:asciiTheme="minorEastAsia" w:hAnsiTheme="minorEastAsia"/>
          <w:sz w:val="28"/>
          <w:szCs w:val="32"/>
          <w:lang w:eastAsia="zh-CN"/>
        </w:rPr>
        <w:t>出：</w:t>
      </w:r>
      <w:r>
        <w:rPr>
          <w:rFonts w:hint="eastAsia" w:asciiTheme="minorEastAsia" w:hAnsiTheme="minorEastAsia"/>
          <w:sz w:val="28"/>
          <w:szCs w:val="32"/>
          <w:lang w:val="en-US" w:eastAsia="zh-CN"/>
        </w:rPr>
        <w:t>60.85</w:t>
      </w:r>
      <w:r>
        <w:rPr>
          <w:rFonts w:hint="eastAsia" w:asciiTheme="minorEastAsia" w:hAnsiTheme="minorEastAsia"/>
          <w:sz w:val="28"/>
          <w:szCs w:val="32"/>
        </w:rPr>
        <w:t>万元。其中：人员经费</w:t>
      </w:r>
      <w:r>
        <w:rPr>
          <w:rFonts w:hint="eastAsia" w:asciiTheme="minorEastAsia" w:hAnsiTheme="minorEastAsia"/>
          <w:sz w:val="28"/>
          <w:szCs w:val="32"/>
          <w:lang w:val="en-US" w:eastAsia="zh-CN"/>
        </w:rPr>
        <w:t>18.32</w:t>
      </w:r>
      <w:r>
        <w:rPr>
          <w:rFonts w:hint="eastAsia" w:asciiTheme="minorEastAsia" w:hAnsiTheme="minorEastAsia"/>
          <w:sz w:val="28"/>
          <w:szCs w:val="32"/>
        </w:rPr>
        <w:t>万元，主要包括基本工资</w:t>
      </w:r>
      <w:r>
        <w:rPr>
          <w:rFonts w:hint="eastAsia" w:asciiTheme="minorEastAsia" w:hAnsiTheme="minorEastAsia"/>
          <w:sz w:val="28"/>
          <w:szCs w:val="32"/>
          <w:lang w:val="en-US" w:eastAsia="zh-CN"/>
        </w:rPr>
        <w:t>10.8万元</w:t>
      </w:r>
      <w:r>
        <w:rPr>
          <w:rFonts w:hint="eastAsia" w:asciiTheme="minorEastAsia" w:hAnsiTheme="minorEastAsia"/>
          <w:sz w:val="28"/>
          <w:szCs w:val="32"/>
        </w:rPr>
        <w:t>、津贴补贴</w:t>
      </w:r>
      <w:r>
        <w:rPr>
          <w:rFonts w:hint="eastAsia" w:asciiTheme="minorEastAsia" w:hAnsiTheme="minorEastAsia"/>
          <w:sz w:val="28"/>
          <w:szCs w:val="32"/>
          <w:lang w:val="en-US" w:eastAsia="zh-CN"/>
        </w:rPr>
        <w:t>5.72万元、奖金1.8万元；工作经费5.7万元；老工伤医疗费36.83万元，</w:t>
      </w:r>
    </w:p>
    <w:p>
      <w:pPr>
        <w:ind w:firstLine="560" w:firstLineChars="200"/>
        <w:jc w:val="left"/>
        <w:rPr>
          <w:rFonts w:hint="eastAsia" w:asciiTheme="minorEastAsia" w:hAnsiTheme="minorEastAsia"/>
          <w:sz w:val="28"/>
          <w:szCs w:val="32"/>
        </w:rPr>
      </w:pPr>
      <w:r>
        <w:rPr>
          <w:rFonts w:hint="eastAsia" w:asciiTheme="minorEastAsia" w:hAnsiTheme="minorEastAsia"/>
          <w:sz w:val="28"/>
          <w:szCs w:val="32"/>
        </w:rPr>
        <w:t>（二）20</w:t>
      </w:r>
      <w:r>
        <w:rPr>
          <w:rFonts w:hint="eastAsia" w:asciiTheme="minorEastAsia" w:hAnsiTheme="minorEastAsia"/>
          <w:sz w:val="28"/>
          <w:szCs w:val="32"/>
          <w:lang w:val="en-US" w:eastAsia="zh-CN"/>
        </w:rPr>
        <w:t>21</w:t>
      </w:r>
      <w:r>
        <w:rPr>
          <w:rFonts w:hint="eastAsia" w:asciiTheme="minorEastAsia" w:hAnsiTheme="minorEastAsia"/>
          <w:sz w:val="28"/>
          <w:szCs w:val="32"/>
        </w:rPr>
        <w:t>年的三公经费实际支出为</w:t>
      </w:r>
      <w:r>
        <w:rPr>
          <w:rFonts w:hint="eastAsia" w:asciiTheme="minorEastAsia" w:hAnsiTheme="minorEastAsia"/>
          <w:sz w:val="28"/>
          <w:szCs w:val="32"/>
          <w:lang w:val="en-US" w:eastAsia="zh-CN"/>
        </w:rPr>
        <w:t>0.5</w:t>
      </w:r>
      <w:r>
        <w:rPr>
          <w:rFonts w:hint="eastAsia" w:asciiTheme="minorEastAsia" w:hAnsiTheme="minorEastAsia"/>
          <w:sz w:val="28"/>
          <w:szCs w:val="32"/>
        </w:rPr>
        <w:t>万元，其中：公务用车运行维护费</w:t>
      </w:r>
      <w:r>
        <w:rPr>
          <w:rFonts w:hint="eastAsia" w:asciiTheme="minorEastAsia" w:hAnsiTheme="minorEastAsia"/>
          <w:sz w:val="28"/>
          <w:szCs w:val="32"/>
          <w:lang w:val="en-US" w:eastAsia="zh-CN"/>
        </w:rPr>
        <w:t>0</w:t>
      </w:r>
      <w:r>
        <w:rPr>
          <w:rFonts w:hint="eastAsia" w:asciiTheme="minorEastAsia" w:hAnsiTheme="minorEastAsia"/>
          <w:sz w:val="28"/>
          <w:szCs w:val="32"/>
        </w:rPr>
        <w:t>万元，公务接待费</w:t>
      </w:r>
      <w:r>
        <w:rPr>
          <w:rFonts w:hint="eastAsia" w:asciiTheme="minorEastAsia" w:hAnsiTheme="minorEastAsia"/>
          <w:sz w:val="28"/>
          <w:szCs w:val="32"/>
          <w:lang w:val="en-US" w:eastAsia="zh-CN"/>
        </w:rPr>
        <w:t>0.5</w:t>
      </w:r>
      <w:r>
        <w:rPr>
          <w:rFonts w:hint="eastAsia" w:asciiTheme="minorEastAsia" w:hAnsiTheme="minorEastAsia"/>
          <w:sz w:val="28"/>
          <w:szCs w:val="32"/>
        </w:rPr>
        <w:t>万元。</w:t>
      </w:r>
    </w:p>
    <w:p>
      <w:pPr>
        <w:adjustRightInd w:val="0"/>
        <w:snapToGrid w:val="0"/>
        <w:spacing w:line="600" w:lineRule="exact"/>
        <w:ind w:firstLine="640" w:firstLineChars="200"/>
        <w:rPr>
          <w:rFonts w:eastAsia="黑体"/>
          <w:sz w:val="32"/>
          <w:szCs w:val="32"/>
        </w:rPr>
      </w:pPr>
      <w:r>
        <w:rPr>
          <w:rFonts w:eastAsia="黑体"/>
          <w:sz w:val="32"/>
          <w:szCs w:val="32"/>
        </w:rPr>
        <w:t>三、</w:t>
      </w:r>
      <w:r>
        <w:rPr>
          <w:rFonts w:hint="eastAsia" w:eastAsia="黑体"/>
          <w:sz w:val="32"/>
          <w:szCs w:val="32"/>
        </w:rPr>
        <w:t>部门整体支出管理情况</w:t>
      </w:r>
    </w:p>
    <w:p>
      <w:pPr>
        <w:ind w:firstLine="560" w:firstLineChars="200"/>
        <w:jc w:val="left"/>
        <w:rPr>
          <w:rFonts w:hint="eastAsia" w:asciiTheme="minorEastAsia" w:hAnsiTheme="minorEastAsia"/>
          <w:sz w:val="28"/>
          <w:szCs w:val="32"/>
        </w:rPr>
      </w:pPr>
      <w:r>
        <w:rPr>
          <w:rFonts w:hint="eastAsia" w:asciiTheme="minorEastAsia" w:hAnsiTheme="minorEastAsia"/>
          <w:sz w:val="28"/>
          <w:szCs w:val="32"/>
        </w:rPr>
        <w:t>我</w:t>
      </w:r>
      <w:r>
        <w:rPr>
          <w:rFonts w:hint="eastAsia" w:asciiTheme="minorEastAsia" w:hAnsiTheme="minorEastAsia"/>
          <w:sz w:val="28"/>
          <w:szCs w:val="32"/>
          <w:lang w:eastAsia="zh-CN"/>
        </w:rPr>
        <w:t>站</w:t>
      </w:r>
      <w:r>
        <w:rPr>
          <w:rFonts w:hint="eastAsia" w:asciiTheme="minorEastAsia" w:hAnsiTheme="minorEastAsia"/>
          <w:sz w:val="28"/>
          <w:szCs w:val="32"/>
        </w:rPr>
        <w:t>财务管理严格依法依规，做到公开公平公正，严格执行各项有关法律法规、财经纪律、财务规章制度。</w:t>
      </w:r>
    </w:p>
    <w:p>
      <w:pPr>
        <w:adjustRightInd w:val="0"/>
        <w:snapToGrid w:val="0"/>
        <w:spacing w:line="600" w:lineRule="exact"/>
        <w:ind w:firstLine="640" w:firstLineChars="200"/>
        <w:rPr>
          <w:rFonts w:eastAsia="黑体"/>
          <w:sz w:val="32"/>
          <w:szCs w:val="32"/>
        </w:rPr>
      </w:pPr>
      <w:r>
        <w:rPr>
          <w:rFonts w:eastAsia="黑体"/>
          <w:sz w:val="32"/>
          <w:szCs w:val="32"/>
        </w:rPr>
        <w:t>四、</w:t>
      </w:r>
      <w:r>
        <w:rPr>
          <w:rFonts w:hint="eastAsia" w:eastAsia="黑体"/>
          <w:sz w:val="32"/>
          <w:szCs w:val="32"/>
        </w:rPr>
        <w:t>部门整体支出</w:t>
      </w:r>
      <w:r>
        <w:rPr>
          <w:rFonts w:eastAsia="黑体"/>
          <w:sz w:val="32"/>
          <w:szCs w:val="32"/>
        </w:rPr>
        <w:t>绩效情况</w:t>
      </w:r>
    </w:p>
    <w:p>
      <w:pPr>
        <w:ind w:firstLine="560" w:firstLineChars="200"/>
        <w:jc w:val="left"/>
        <w:rPr>
          <w:rFonts w:hint="eastAsia" w:asciiTheme="minorEastAsia" w:hAnsiTheme="minorEastAsia"/>
          <w:sz w:val="28"/>
          <w:szCs w:val="32"/>
        </w:rPr>
      </w:pPr>
      <w:r>
        <w:rPr>
          <w:rFonts w:hint="eastAsia" w:asciiTheme="minorEastAsia" w:hAnsiTheme="minorEastAsia"/>
          <w:sz w:val="28"/>
          <w:szCs w:val="32"/>
          <w:lang w:val="en-US" w:eastAsia="zh-CN"/>
        </w:rPr>
        <w:t>1.</w:t>
      </w:r>
      <w:r>
        <w:rPr>
          <w:rFonts w:hint="eastAsia" w:asciiTheme="minorEastAsia" w:hAnsiTheme="minorEastAsia"/>
          <w:sz w:val="28"/>
          <w:szCs w:val="32"/>
          <w:lang w:eastAsia="zh-CN"/>
        </w:rPr>
        <w:t>扩大基金征缴面。重点抓好</w:t>
      </w:r>
      <w:r>
        <w:rPr>
          <w:rFonts w:hint="eastAsia" w:asciiTheme="minorEastAsia" w:hAnsiTheme="minorEastAsia"/>
          <w:sz w:val="28"/>
          <w:szCs w:val="32"/>
          <w:lang w:eastAsia="zh-CN"/>
        </w:rPr>
        <w:fldChar w:fldCharType="begin"/>
      </w:r>
      <w:r>
        <w:rPr>
          <w:rFonts w:hint="eastAsia" w:asciiTheme="minorEastAsia" w:hAnsiTheme="minorEastAsia"/>
          <w:sz w:val="28"/>
          <w:szCs w:val="32"/>
          <w:lang w:eastAsia="zh-CN"/>
        </w:rPr>
        <w:instrText xml:space="preserve"> HYPERLINK "http://www.gwyoo.com/qikan/gongyeqikan/jianzhushuili/" </w:instrText>
      </w:r>
      <w:r>
        <w:rPr>
          <w:rFonts w:hint="eastAsia" w:asciiTheme="minorEastAsia" w:hAnsiTheme="minorEastAsia"/>
          <w:sz w:val="28"/>
          <w:szCs w:val="32"/>
          <w:lang w:eastAsia="zh-CN"/>
        </w:rPr>
        <w:fldChar w:fldCharType="separate"/>
      </w:r>
      <w:r>
        <w:rPr>
          <w:rFonts w:hint="eastAsia" w:asciiTheme="minorEastAsia" w:hAnsiTheme="minorEastAsia"/>
          <w:sz w:val="28"/>
          <w:szCs w:val="32"/>
          <w:lang w:eastAsia="zh-CN"/>
        </w:rPr>
        <w:t>建筑</w:t>
      </w:r>
      <w:r>
        <w:rPr>
          <w:rFonts w:hint="eastAsia" w:asciiTheme="minorEastAsia" w:hAnsiTheme="minorEastAsia"/>
          <w:sz w:val="28"/>
          <w:szCs w:val="32"/>
          <w:lang w:eastAsia="zh-CN"/>
        </w:rPr>
        <w:fldChar w:fldCharType="end"/>
      </w:r>
      <w:r>
        <w:rPr>
          <w:rFonts w:hint="eastAsia" w:asciiTheme="minorEastAsia" w:hAnsiTheme="minorEastAsia"/>
          <w:sz w:val="28"/>
          <w:szCs w:val="32"/>
          <w:lang w:eastAsia="zh-CN"/>
        </w:rPr>
        <w:t>施工企业农民工参加工伤保险工作。结合其他地市的先进经验，出台建筑施工企业农民工参加工伤保险的具体办法和措施，并及时传达到建筑施工企业，做到“项目参保、造价提取、一次缴费、全员覆盖”。</w:t>
      </w:r>
      <w:r>
        <w:rPr>
          <w:rFonts w:hint="eastAsia" w:asciiTheme="minorEastAsia" w:hAnsiTheme="minorEastAsia"/>
          <w:sz w:val="28"/>
          <w:szCs w:val="32"/>
        </w:rPr>
        <w:br w:type="textWrapping"/>
      </w:r>
      <w:r>
        <w:rPr>
          <w:rFonts w:hint="eastAsia" w:asciiTheme="minorEastAsia" w:hAnsiTheme="minorEastAsia"/>
          <w:sz w:val="28"/>
          <w:szCs w:val="32"/>
          <w:lang w:val="en-US" w:eastAsia="zh-CN"/>
        </w:rPr>
        <w:t xml:space="preserve">    </w:t>
      </w:r>
      <w:r>
        <w:rPr>
          <w:rFonts w:hint="eastAsia" w:asciiTheme="minorEastAsia" w:hAnsiTheme="minorEastAsia"/>
          <w:sz w:val="28"/>
          <w:szCs w:val="32"/>
        </w:rPr>
        <w:t>2</w:t>
      </w:r>
      <w:r>
        <w:rPr>
          <w:rFonts w:hint="eastAsia" w:asciiTheme="minorEastAsia" w:hAnsiTheme="minorEastAsia"/>
          <w:sz w:val="28"/>
          <w:szCs w:val="32"/>
          <w:lang w:val="en-US" w:eastAsia="zh-CN"/>
        </w:rPr>
        <w:t>.</w:t>
      </w:r>
      <w:r>
        <w:rPr>
          <w:rFonts w:hint="eastAsia" w:asciiTheme="minorEastAsia" w:hAnsiTheme="minorEastAsia"/>
          <w:sz w:val="28"/>
          <w:szCs w:val="32"/>
          <w:lang w:eastAsia="zh-CN"/>
        </w:rPr>
        <w:t>严把工伤基金支出关卡。</w:t>
      </w:r>
      <w:r>
        <w:rPr>
          <w:rFonts w:hint="eastAsia" w:asciiTheme="minorEastAsia" w:hAnsiTheme="minorEastAsia"/>
          <w:sz w:val="28"/>
          <w:szCs w:val="32"/>
        </w:rPr>
        <w:t>实施《工伤保险医疗、康复费用预控机制》</w:t>
      </w:r>
      <w:r>
        <w:rPr>
          <w:rFonts w:hint="eastAsia" w:asciiTheme="minorEastAsia" w:hAnsiTheme="minorEastAsia"/>
          <w:sz w:val="28"/>
          <w:szCs w:val="32"/>
          <w:lang w:eastAsia="zh-CN"/>
        </w:rPr>
        <w:t>，</w:t>
      </w:r>
      <w:r>
        <w:rPr>
          <w:rFonts w:hint="eastAsia" w:asciiTheme="minorEastAsia" w:hAnsiTheme="minorEastAsia"/>
          <w:sz w:val="28"/>
          <w:szCs w:val="32"/>
        </w:rPr>
        <w:t>合理控制工伤医疗及康复费用。</w:t>
      </w:r>
    </w:p>
    <w:p>
      <w:pPr>
        <w:ind w:firstLine="560" w:firstLineChars="200"/>
        <w:jc w:val="left"/>
        <w:rPr>
          <w:rFonts w:hint="eastAsia" w:asciiTheme="minorEastAsia" w:hAnsiTheme="minorEastAsia"/>
          <w:sz w:val="28"/>
          <w:szCs w:val="32"/>
          <w:lang w:eastAsia="zh-CN"/>
        </w:rPr>
      </w:pPr>
      <w:r>
        <w:rPr>
          <w:rFonts w:hint="eastAsia" w:asciiTheme="minorEastAsia" w:hAnsiTheme="minorEastAsia"/>
          <w:sz w:val="28"/>
          <w:szCs w:val="32"/>
          <w:lang w:val="en-US" w:eastAsia="zh-CN"/>
        </w:rPr>
        <w:t>3.</w:t>
      </w:r>
      <w:r>
        <w:rPr>
          <w:rFonts w:hint="eastAsia" w:asciiTheme="minorEastAsia" w:hAnsiTheme="minorEastAsia"/>
          <w:sz w:val="28"/>
          <w:szCs w:val="32"/>
          <w:lang w:eastAsia="zh-CN"/>
        </w:rPr>
        <w:t>丰富工伤保险宣传形式。重点介入高危行业，预防工伤风险。针对一些高危行业进行工伤法规及条例的宣传，并实地考察工作环境及条件，及时提出整改意见，预防工伤的发生。</w:t>
      </w:r>
    </w:p>
    <w:p>
      <w:pPr>
        <w:ind w:firstLine="560" w:firstLineChars="200"/>
        <w:jc w:val="left"/>
        <w:rPr>
          <w:rFonts w:hint="eastAsia" w:asciiTheme="minorEastAsia" w:hAnsiTheme="minorEastAsia"/>
          <w:sz w:val="28"/>
          <w:szCs w:val="32"/>
          <w:lang w:eastAsia="zh-CN"/>
        </w:rPr>
      </w:pPr>
      <w:r>
        <w:rPr>
          <w:rFonts w:hint="eastAsia" w:asciiTheme="minorEastAsia" w:hAnsiTheme="minorEastAsia"/>
          <w:sz w:val="28"/>
          <w:szCs w:val="32"/>
          <w:lang w:val="en-US" w:eastAsia="zh-CN"/>
        </w:rPr>
        <w:t>4.</w:t>
      </w:r>
      <w:r>
        <w:rPr>
          <w:rFonts w:hint="eastAsia" w:asciiTheme="minorEastAsia" w:hAnsiTheme="minorEastAsia"/>
          <w:sz w:val="28"/>
          <w:szCs w:val="32"/>
          <w:lang w:eastAsia="zh-CN"/>
        </w:rPr>
        <w:t>征缴工伤保险基金</w:t>
      </w:r>
      <w:r>
        <w:rPr>
          <w:rFonts w:hint="eastAsia" w:asciiTheme="minorEastAsia" w:hAnsiTheme="minorEastAsia"/>
          <w:sz w:val="28"/>
          <w:szCs w:val="32"/>
          <w:lang w:val="en-US" w:eastAsia="zh-CN"/>
        </w:rPr>
        <w:t>1024.64</w:t>
      </w:r>
      <w:r>
        <w:rPr>
          <w:rFonts w:hint="eastAsia" w:asciiTheme="minorEastAsia" w:hAnsiTheme="minorEastAsia"/>
          <w:sz w:val="28"/>
          <w:szCs w:val="32"/>
          <w:lang w:eastAsia="zh-CN"/>
        </w:rPr>
        <w:t>万元，参保单位</w:t>
      </w:r>
      <w:r>
        <w:rPr>
          <w:rFonts w:hint="eastAsia" w:asciiTheme="minorEastAsia" w:hAnsiTheme="minorEastAsia"/>
          <w:sz w:val="28"/>
          <w:szCs w:val="32"/>
          <w:lang w:val="en-US" w:eastAsia="zh-CN"/>
        </w:rPr>
        <w:t>583</w:t>
      </w:r>
      <w:r>
        <w:rPr>
          <w:rFonts w:hint="eastAsia" w:asciiTheme="minorEastAsia" w:hAnsiTheme="minorEastAsia"/>
          <w:sz w:val="28"/>
          <w:szCs w:val="32"/>
          <w:lang w:eastAsia="zh-CN"/>
        </w:rPr>
        <w:t>户。</w:t>
      </w:r>
    </w:p>
    <w:p>
      <w:pPr>
        <w:ind w:firstLine="560" w:firstLineChars="200"/>
        <w:jc w:val="left"/>
        <w:rPr>
          <w:rFonts w:hint="default" w:asciiTheme="minorEastAsia" w:hAnsiTheme="minorEastAsia"/>
          <w:sz w:val="28"/>
          <w:szCs w:val="32"/>
          <w:lang w:val="en-US" w:eastAsia="zh-CN"/>
        </w:rPr>
      </w:pPr>
      <w:r>
        <w:rPr>
          <w:rFonts w:hint="eastAsia" w:asciiTheme="minorEastAsia" w:hAnsiTheme="minorEastAsia"/>
          <w:sz w:val="28"/>
          <w:szCs w:val="32"/>
          <w:lang w:val="en-US" w:eastAsia="zh-CN"/>
        </w:rPr>
        <w:t>5.</w:t>
      </w:r>
      <w:r>
        <w:rPr>
          <w:rFonts w:hint="eastAsia" w:asciiTheme="minorEastAsia" w:hAnsiTheme="minorEastAsia"/>
          <w:sz w:val="28"/>
          <w:szCs w:val="32"/>
          <w:lang w:eastAsia="zh-CN"/>
        </w:rPr>
        <w:t>参保</w:t>
      </w:r>
      <w:r>
        <w:rPr>
          <w:rFonts w:hint="eastAsia" w:asciiTheme="minorEastAsia" w:hAnsiTheme="minorEastAsia"/>
          <w:sz w:val="28"/>
          <w:szCs w:val="32"/>
          <w:lang w:val="en-US" w:eastAsia="zh-CN"/>
        </w:rPr>
        <w:t>39479</w:t>
      </w:r>
      <w:r>
        <w:rPr>
          <w:rFonts w:hint="eastAsia" w:asciiTheme="minorEastAsia" w:hAnsiTheme="minorEastAsia"/>
          <w:sz w:val="28"/>
          <w:szCs w:val="32"/>
          <w:lang w:eastAsia="zh-CN"/>
        </w:rPr>
        <w:t>人次，完成全年任务的100%。</w:t>
      </w:r>
    </w:p>
    <w:p>
      <w:pPr>
        <w:ind w:firstLine="560" w:firstLineChars="200"/>
        <w:jc w:val="left"/>
        <w:rPr>
          <w:rFonts w:hint="eastAsia" w:asciiTheme="minorEastAsia" w:hAnsiTheme="minorEastAsia"/>
          <w:sz w:val="28"/>
          <w:szCs w:val="32"/>
          <w:lang w:eastAsia="zh-CN"/>
        </w:rPr>
      </w:pPr>
      <w:r>
        <w:rPr>
          <w:rFonts w:hint="eastAsia" w:asciiTheme="minorEastAsia" w:hAnsiTheme="minorEastAsia"/>
          <w:sz w:val="28"/>
          <w:szCs w:val="32"/>
          <w:lang w:val="en-US" w:eastAsia="zh-CN"/>
        </w:rPr>
        <w:t>6.</w:t>
      </w:r>
      <w:r>
        <w:rPr>
          <w:rFonts w:hint="eastAsia" w:asciiTheme="minorEastAsia" w:hAnsiTheme="minorEastAsia"/>
          <w:sz w:val="28"/>
          <w:szCs w:val="32"/>
          <w:lang w:eastAsia="zh-CN"/>
        </w:rPr>
        <w:t>受理工伤事故</w:t>
      </w:r>
      <w:r>
        <w:rPr>
          <w:rFonts w:hint="eastAsia" w:asciiTheme="minorEastAsia" w:hAnsiTheme="minorEastAsia"/>
          <w:sz w:val="28"/>
          <w:szCs w:val="32"/>
          <w:lang w:val="en-US" w:eastAsia="zh-CN"/>
        </w:rPr>
        <w:t>221起</w:t>
      </w:r>
      <w:r>
        <w:rPr>
          <w:rFonts w:hint="eastAsia" w:asciiTheme="minorEastAsia" w:hAnsiTheme="minorEastAsia"/>
          <w:sz w:val="28"/>
          <w:szCs w:val="32"/>
          <w:lang w:eastAsia="zh-CN"/>
        </w:rPr>
        <w:t>，认定大额工伤</w:t>
      </w:r>
      <w:r>
        <w:rPr>
          <w:rFonts w:hint="eastAsia" w:asciiTheme="minorEastAsia" w:hAnsiTheme="minorEastAsia"/>
          <w:sz w:val="28"/>
          <w:szCs w:val="32"/>
          <w:lang w:val="en-US" w:eastAsia="zh-CN"/>
        </w:rPr>
        <w:t>186</w:t>
      </w:r>
      <w:r>
        <w:rPr>
          <w:rFonts w:hint="eastAsia" w:asciiTheme="minorEastAsia" w:hAnsiTheme="minorEastAsia"/>
          <w:sz w:val="28"/>
          <w:szCs w:val="32"/>
          <w:lang w:eastAsia="zh-CN"/>
        </w:rPr>
        <w:t>起，小额工伤</w:t>
      </w:r>
      <w:r>
        <w:rPr>
          <w:rFonts w:hint="eastAsia" w:asciiTheme="minorEastAsia" w:hAnsiTheme="minorEastAsia"/>
          <w:sz w:val="28"/>
          <w:szCs w:val="32"/>
          <w:lang w:val="en-US" w:eastAsia="zh-CN"/>
        </w:rPr>
        <w:t>34起，1起不予认定，</w:t>
      </w:r>
      <w:r>
        <w:rPr>
          <w:rFonts w:hint="eastAsia" w:asciiTheme="minorEastAsia" w:hAnsiTheme="minorEastAsia"/>
          <w:sz w:val="28"/>
          <w:szCs w:val="32"/>
          <w:lang w:eastAsia="zh-CN"/>
        </w:rPr>
        <w:t>工亡</w:t>
      </w:r>
      <w:r>
        <w:rPr>
          <w:rFonts w:hint="eastAsia" w:asciiTheme="minorEastAsia" w:hAnsiTheme="minorEastAsia"/>
          <w:sz w:val="28"/>
          <w:szCs w:val="32"/>
          <w:lang w:val="en-US" w:eastAsia="zh-CN"/>
        </w:rPr>
        <w:t>2人，</w:t>
      </w:r>
      <w:r>
        <w:rPr>
          <w:rFonts w:hint="eastAsia" w:asciiTheme="minorEastAsia" w:hAnsiTheme="minorEastAsia"/>
          <w:sz w:val="28"/>
          <w:szCs w:val="32"/>
          <w:lang w:eastAsia="zh-CN"/>
        </w:rPr>
        <w:t>共拨付</w:t>
      </w:r>
      <w:r>
        <w:rPr>
          <w:rFonts w:hint="eastAsia" w:asciiTheme="minorEastAsia" w:hAnsiTheme="minorEastAsia"/>
          <w:sz w:val="28"/>
          <w:szCs w:val="32"/>
          <w:lang w:val="en-US" w:eastAsia="zh-CN"/>
        </w:rPr>
        <w:t>1019.5万元</w:t>
      </w:r>
      <w:r>
        <w:rPr>
          <w:rFonts w:hint="eastAsia" w:asciiTheme="minorEastAsia" w:hAnsiTheme="minorEastAsia"/>
          <w:sz w:val="28"/>
          <w:szCs w:val="32"/>
          <w:lang w:eastAsia="zh-CN"/>
        </w:rPr>
        <w:t>。</w:t>
      </w:r>
    </w:p>
    <w:p>
      <w:pPr>
        <w:ind w:firstLine="560" w:firstLineChars="200"/>
        <w:jc w:val="left"/>
        <w:rPr>
          <w:rFonts w:hint="eastAsia" w:asciiTheme="minorEastAsia" w:hAnsiTheme="minorEastAsia"/>
          <w:sz w:val="28"/>
          <w:szCs w:val="32"/>
        </w:rPr>
      </w:pPr>
      <w:r>
        <w:rPr>
          <w:rFonts w:hint="eastAsia" w:asciiTheme="minorEastAsia" w:hAnsiTheme="minorEastAsia"/>
          <w:sz w:val="28"/>
          <w:szCs w:val="32"/>
        </w:rPr>
        <w:t>20</w:t>
      </w:r>
      <w:r>
        <w:rPr>
          <w:rFonts w:hint="eastAsia" w:asciiTheme="minorEastAsia" w:hAnsiTheme="minorEastAsia"/>
          <w:sz w:val="28"/>
          <w:szCs w:val="32"/>
          <w:lang w:val="en-US" w:eastAsia="zh-CN"/>
        </w:rPr>
        <w:t>21</w:t>
      </w:r>
      <w:r>
        <w:rPr>
          <w:rFonts w:hint="eastAsia" w:asciiTheme="minorEastAsia" w:hAnsiTheme="minorEastAsia"/>
          <w:sz w:val="28"/>
          <w:szCs w:val="32"/>
        </w:rPr>
        <w:t>年度，道县</w:t>
      </w:r>
      <w:r>
        <w:rPr>
          <w:rFonts w:hint="eastAsia" w:asciiTheme="minorEastAsia" w:hAnsiTheme="minorEastAsia"/>
          <w:sz w:val="28"/>
          <w:szCs w:val="32"/>
          <w:lang w:eastAsia="zh-CN"/>
        </w:rPr>
        <w:t>工伤保险站</w:t>
      </w:r>
      <w:r>
        <w:rPr>
          <w:rFonts w:hint="eastAsia" w:asciiTheme="minorEastAsia" w:hAnsiTheme="minorEastAsia"/>
          <w:sz w:val="28"/>
          <w:szCs w:val="32"/>
        </w:rPr>
        <w:t>做好了各项工作，圆满地完成了局及</w:t>
      </w:r>
      <w:r>
        <w:rPr>
          <w:rFonts w:hint="eastAsia" w:asciiTheme="minorEastAsia" w:hAnsiTheme="minorEastAsia"/>
          <w:sz w:val="28"/>
          <w:szCs w:val="32"/>
          <w:lang w:eastAsia="zh-CN"/>
        </w:rPr>
        <w:t>市工伤保险处</w:t>
      </w:r>
      <w:r>
        <w:rPr>
          <w:rFonts w:hint="eastAsia" w:asciiTheme="minorEastAsia" w:hAnsiTheme="minorEastAsia"/>
          <w:sz w:val="28"/>
          <w:szCs w:val="32"/>
        </w:rPr>
        <w:t>下达的各项工作任务，确保了社会大局稳定，促进了社会进步。</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五、结合《部门整体支出绩效评价指标表》（见附件）的评价结果：80分,财政支出绩效为“良”</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六、存在的主要问题</w:t>
      </w:r>
    </w:p>
    <w:p>
      <w:pPr>
        <w:pStyle w:val="5"/>
        <w:widowControl/>
        <w:spacing w:line="560" w:lineRule="atLeast"/>
        <w:ind w:firstLine="566"/>
        <w:rPr>
          <w:rFonts w:hint="eastAsia" w:ascii="仿宋_GB2312" w:hAnsi="仿宋_GB2312" w:eastAsia="仿宋_GB2312" w:cs="仿宋_GB2312"/>
          <w:sz w:val="32"/>
          <w:szCs w:val="32"/>
          <w:lang w:eastAsia="zh-CN"/>
        </w:rPr>
      </w:pPr>
      <w:r>
        <w:rPr>
          <w:rFonts w:hint="eastAsia" w:asciiTheme="minorEastAsia" w:hAnsiTheme="minorEastAsia" w:eastAsiaTheme="minorEastAsia" w:cstheme="minorBidi"/>
          <w:kern w:val="2"/>
          <w:sz w:val="28"/>
          <w:szCs w:val="32"/>
          <w:lang w:val="en-US" w:eastAsia="zh-CN" w:bidi="ar-SA"/>
        </w:rPr>
        <w:tab/>
      </w:r>
      <w:r>
        <w:rPr>
          <w:rFonts w:hint="eastAsia" w:asciiTheme="minorEastAsia" w:hAnsiTheme="minorEastAsia" w:eastAsiaTheme="minorEastAsia" w:cstheme="minorBidi"/>
          <w:kern w:val="2"/>
          <w:sz w:val="28"/>
          <w:szCs w:val="32"/>
          <w:lang w:val="en-US" w:eastAsia="zh-CN" w:bidi="ar-SA"/>
        </w:rPr>
        <w:t>存在的问题：单位人员多经费少。</w:t>
      </w:r>
    </w:p>
    <w:p>
      <w:pPr>
        <w:adjustRightInd w:val="0"/>
        <w:snapToGrid w:val="0"/>
        <w:spacing w:line="600" w:lineRule="exact"/>
        <w:ind w:firstLine="640" w:firstLineChars="200"/>
        <w:rPr>
          <w:rFonts w:eastAsia="黑体"/>
          <w:sz w:val="32"/>
          <w:szCs w:val="32"/>
        </w:rPr>
      </w:pPr>
      <w:r>
        <w:rPr>
          <w:rFonts w:hint="eastAsia" w:eastAsia="黑体"/>
          <w:sz w:val="32"/>
          <w:szCs w:val="32"/>
        </w:rPr>
        <w:t>七</w:t>
      </w:r>
      <w:r>
        <w:rPr>
          <w:rFonts w:eastAsia="黑体"/>
          <w:sz w:val="32"/>
          <w:szCs w:val="32"/>
        </w:rPr>
        <w:t>、</w:t>
      </w:r>
      <w:r>
        <w:rPr>
          <w:rFonts w:hint="eastAsia" w:eastAsia="黑体"/>
          <w:sz w:val="32"/>
          <w:szCs w:val="32"/>
        </w:rPr>
        <w:t>改进措施和有关建议</w:t>
      </w:r>
    </w:p>
    <w:p>
      <w:pPr>
        <w:pStyle w:val="5"/>
        <w:widowControl/>
        <w:spacing w:line="560" w:lineRule="atLeast"/>
        <w:ind w:firstLine="566"/>
        <w:jc w:val="left"/>
        <w:rPr>
          <w:rFonts w:hint="eastAsia" w:asciiTheme="minorEastAsia" w:hAnsiTheme="minorEastAsia" w:eastAsiaTheme="minorEastAsia" w:cstheme="minorBidi"/>
          <w:kern w:val="2"/>
          <w:sz w:val="28"/>
          <w:szCs w:val="32"/>
          <w:lang w:val="en-US" w:eastAsia="zh-CN" w:bidi="ar-SA"/>
        </w:rPr>
      </w:pPr>
      <w:r>
        <w:rPr>
          <w:rFonts w:hint="eastAsia" w:asciiTheme="minorEastAsia" w:hAnsiTheme="minorEastAsia" w:eastAsiaTheme="minorEastAsia" w:cstheme="minorBidi"/>
          <w:kern w:val="2"/>
          <w:sz w:val="28"/>
          <w:szCs w:val="32"/>
          <w:lang w:val="en-US" w:eastAsia="zh-CN" w:bidi="ar-SA"/>
        </w:rPr>
        <w:t>建议：加强队伍建设，抓好绩效评价管理部门的队伍建设和业务指导，培养部门的绩效管理队伍，建立绩效评价的长期机制。</w:t>
      </w:r>
    </w:p>
    <w:p>
      <w:pPr>
        <w:ind w:firstLine="640" w:firstLineChars="200"/>
        <w:jc w:val="left"/>
        <w:rPr>
          <w:rFonts w:cs="黑体" w:asciiTheme="minorEastAsia" w:hAnsiTheme="minorEastAsia"/>
          <w:color w:val="000000"/>
          <w:kern w:val="0"/>
          <w:sz w:val="32"/>
          <w:szCs w:val="32"/>
        </w:rPr>
      </w:pPr>
    </w:p>
    <w:sectPr>
      <w:pgSz w:w="11906" w:h="16838"/>
      <w:pgMar w:top="720" w:right="686"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34456"/>
    <w:multiLevelType w:val="singleLevel"/>
    <w:tmpl w:val="8A734456"/>
    <w:lvl w:ilvl="0" w:tentative="0">
      <w:start w:val="2"/>
      <w:numFmt w:val="chineseCounting"/>
      <w:suff w:val="nothing"/>
      <w:lvlText w:val="（%1）"/>
      <w:lvlJc w:val="left"/>
      <w:rPr>
        <w:rFonts w:hint="eastAsia"/>
      </w:rPr>
    </w:lvl>
  </w:abstractNum>
  <w:abstractNum w:abstractNumId="1">
    <w:nsid w:val="97016078"/>
    <w:multiLevelType w:val="singleLevel"/>
    <w:tmpl w:val="97016078"/>
    <w:lvl w:ilvl="0" w:tentative="0">
      <w:start w:val="2"/>
      <w:numFmt w:val="decimal"/>
      <w:suff w:val="nothing"/>
      <w:lvlText w:val="%1、"/>
      <w:lvlJc w:val="left"/>
    </w:lvl>
  </w:abstractNum>
  <w:abstractNum w:abstractNumId="2">
    <w:nsid w:val="B9B0D47E"/>
    <w:multiLevelType w:val="singleLevel"/>
    <w:tmpl w:val="B9B0D47E"/>
    <w:lvl w:ilvl="0" w:tentative="0">
      <w:start w:val="1"/>
      <w:numFmt w:val="decimal"/>
      <w:suff w:val="nothing"/>
      <w:lvlText w:val="%1、"/>
      <w:lvlJc w:val="left"/>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64013B6"/>
    <w:rsid w:val="0E3347CE"/>
    <w:rsid w:val="1BF92D97"/>
    <w:rsid w:val="1C063A19"/>
    <w:rsid w:val="240D10DB"/>
    <w:rsid w:val="2455194A"/>
    <w:rsid w:val="2F3925A5"/>
    <w:rsid w:val="31C34DD1"/>
    <w:rsid w:val="39BA7C4F"/>
    <w:rsid w:val="3FF243B3"/>
    <w:rsid w:val="44495CCC"/>
    <w:rsid w:val="5E542E2A"/>
    <w:rsid w:val="69AC1575"/>
    <w:rsid w:val="73121023"/>
    <w:rsid w:val="7453487C"/>
    <w:rsid w:val="7AAB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p0"/>
    <w:basedOn w:val="1"/>
    <w:qFormat/>
    <w:uiPriority w:val="0"/>
    <w:pPr>
      <w:widowControl/>
    </w:pPr>
    <w:rPr>
      <w:rFonts w:eastAsia="仿宋_GB2312"/>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6915</Words>
  <Characters>8063</Characters>
  <Lines>69</Lines>
  <Paragraphs>19</Paragraphs>
  <TotalTime>0</TotalTime>
  <ScaleCrop>false</ScaleCrop>
  <LinksUpToDate>false</LinksUpToDate>
  <CharactersWithSpaces>9179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2023-09-28T05:03:50Z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2C19D683FAA84A0E8CC8F45E2B3B878F_13</vt:lpwstr>
  </property>
</Properties>
</file>