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道县人民代表大会常务委员会部门决算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道县人民代表大会常务委员会</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道县人民代表大会常务委员会</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（一）在本行政区域内，保证宪法、法律、行政法规和上级人民代表大会及其常务委员会决议、决定的遵守和执行。</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（二）领导或者主持本级人民代表大会代表的选举。召集本级人民代表大会及讨论、决定本级人民代表大会法定事宜。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（三）讨论、决定本行政区域内的政治、经济、教育、科学、文化、卫生、城市建设和环境资源保护、民政等工作的重大事项。</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（四）根据本级人民政府的建议，决定对本行政区域内的国民经济和社会发展计划、财政预算的部分变更。</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（五）监督本级人民政府、人民法院和人民检察院的工作，联系本级人民代表大会代表，受理人民群众对上述机关和国家工作人员的申诉意见。</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（六）撤销下一级人民代表大会不适当的决议及本级人民政府不适当的决定和命令。</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（七）在本级人民代表大会闭会期间，履行人大常委会法定人事任免、补选上一级人民代表大会出缺的代表和罢免个别代表等职责。</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（八）其它法定职责。</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_GB2312" w:hAnsi="仿宋" w:eastAsia="仿宋_GB2312"/>
          <w:sz w:val="32"/>
          <w:szCs w:val="32"/>
          <w:lang w:val="en-US" w:eastAsia="zh-CN"/>
        </w:rPr>
        <w:t>道县人民代表大会设监察和司法委员会、财政经济委员会、教育科学文化卫生委员会、社会建设委员会、农业农村委员会、环境和资源保护委员会、民族宗教外事委员会等7个专门委员会，常委会设办公室、选举任免联络工作委员会、法律工作委员会、预算工作委员会等4个常设机构和一个事业单位（信息中心）。</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道县人民代表大会常务委员会</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道县人民代表大会常务委员会</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道县人民代表大会常务委员会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1,110.32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1,139.07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1,139.07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957"/>
        <w:gridCol w:w="240"/>
        <w:gridCol w:w="2775"/>
        <w:gridCol w:w="1494"/>
        <w:gridCol w:w="1551"/>
        <w:gridCol w:w="1551"/>
        <w:gridCol w:w="1551"/>
        <w:gridCol w:w="1551"/>
        <w:gridCol w:w="1551"/>
        <w:gridCol w:w="220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97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color w:val="000000"/>
                <w:sz w:val="20"/>
                <w:szCs w:val="20"/>
              </w:rPr>
              <w:t>部门：</w:t>
            </w:r>
            <w:r>
              <w:rPr>
                <w:rFonts w:hint="eastAsia"/>
                <w:color w:val="000000"/>
                <w:sz w:val="20"/>
                <w:szCs w:val="20"/>
                <w:lang w:val="en-US" w:eastAsia="zh-CN"/>
              </w:rPr>
              <w:t>道县人民代表大会常务委员会</w:t>
            </w:r>
          </w:p>
        </w:tc>
        <w:tc>
          <w:tcPr>
            <w:tcW w:w="14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9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7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9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7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2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1,139.07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1,139.07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1,110.32</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1,110.32</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542.29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542.29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320.69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320.69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2010104</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2010108</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代表工作</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24.00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97.60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97.60</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568.04</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568.04</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532.16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532.16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35.88</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35.88</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22.49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18.77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18.77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30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18.77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18.77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3.73</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3.73</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道县人民代表大会常务委员会</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1,139.07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634.94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504.13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1,110.32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634.94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542.29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代表工作</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568.04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道县人民代表大会常务委员会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1,110.32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1,110.32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1,139.07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道县人民代表大会常务委员会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0"/>
        <w:gridCol w:w="3291"/>
        <w:gridCol w:w="2840"/>
        <w:gridCol w:w="3271"/>
        <w:gridCol w:w="2821"/>
      </w:tblGrid>
      <w:tr>
        <w:tblPrEx>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1,139.07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634.94</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504.13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1,110.32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634.94</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475.38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542.29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320.69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320.69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320.69</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2010104</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代表工作</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568.04</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314.26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253.78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532.16</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314.26</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35.88</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22.49</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18.77</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18.77</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道县人民代表大会常务委员会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418.29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216.66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214.78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107.47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60.96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50.93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418.29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216.66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道县人民代表大会常务委员会</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道县人民代表大会常务委员会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道县人民代表大会常务委员会无</w:t>
      </w:r>
      <w:r>
        <w:rPr>
          <w:rFonts w:hint="eastAsia" w:ascii="Times New Roman" w:hAnsi="Times New Roman" w:eastAsia="仿宋_GB2312" w:cs="Times New Roman"/>
          <w:kern w:val="0"/>
          <w:szCs w:val="21"/>
        </w:rPr>
        <w:t>政府性基金收入，也</w:t>
      </w:r>
      <w:r>
        <w:rPr>
          <w:rFonts w:hint="eastAsia" w:ascii="Times New Roman" w:hAnsi="Times New Roman" w:eastAsia="仿宋_GB2312" w:cs="Times New Roman"/>
          <w:kern w:val="0"/>
          <w:szCs w:val="21"/>
          <w:lang w:val="en-US" w:eastAsia="zh-CN"/>
        </w:rPr>
        <w:t>无</w:t>
      </w:r>
      <w:r>
        <w:rPr>
          <w:rFonts w:hint="eastAsia" w:ascii="Times New Roman" w:hAnsi="Times New Roman" w:eastAsia="仿宋_GB2312" w:cs="Times New Roman"/>
          <w:kern w:val="0"/>
          <w:szCs w:val="21"/>
        </w:rPr>
        <w:t>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道县人民代表大会常务委员会</w:t>
            </w: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道县人民代表大会常务委员会</w:t>
            </w:r>
            <w:r>
              <w:rPr>
                <w:rFonts w:hint="eastAsia" w:ascii="Times New Roman" w:hAnsi="Times New Roman" w:eastAsia="仿宋_GB2312" w:cs="Times New Roman"/>
                <w:kern w:val="0"/>
                <w:szCs w:val="21"/>
                <w:lang w:val="en-US" w:eastAsia="zh-CN"/>
              </w:rPr>
              <w:t>无国有资本预算财政拨款</w:t>
            </w:r>
            <w:r>
              <w:rPr>
                <w:rFonts w:hint="eastAsia" w:ascii="Times New Roman" w:hAnsi="Times New Roman" w:eastAsia="仿宋_GB2312" w:cs="Times New Roman"/>
                <w:kern w:val="0"/>
                <w:szCs w:val="21"/>
              </w:rPr>
              <w:t>收入，也</w:t>
            </w:r>
            <w:r>
              <w:rPr>
                <w:rFonts w:hint="eastAsia" w:ascii="Times New Roman" w:hAnsi="Times New Roman" w:eastAsia="仿宋_GB2312" w:cs="Times New Roman"/>
                <w:kern w:val="0"/>
                <w:szCs w:val="21"/>
                <w:lang w:val="en-US" w:eastAsia="zh-CN"/>
              </w:rPr>
              <w:t>无</w:t>
            </w:r>
            <w:r>
              <w:rPr>
                <w:rFonts w:hint="eastAsia" w:ascii="Times New Roman" w:hAnsi="Times New Roman" w:eastAsia="仿宋_GB2312" w:cs="Times New Roman"/>
                <w:kern w:val="0"/>
                <w:szCs w:val="21"/>
              </w:rPr>
              <w:t>使用</w:t>
            </w:r>
            <w:r>
              <w:rPr>
                <w:rFonts w:hint="eastAsia" w:ascii="Times New Roman" w:hAnsi="Times New Roman" w:eastAsia="仿宋_GB2312" w:cs="Times New Roman"/>
                <w:kern w:val="0"/>
                <w:szCs w:val="21"/>
                <w:lang w:val="en-US" w:eastAsia="zh-CN"/>
              </w:rPr>
              <w:t>国有资本预算财政拨款</w:t>
            </w:r>
            <w:r>
              <w:rPr>
                <w:rFonts w:hint="eastAsia" w:ascii="Times New Roman" w:hAnsi="Times New Roman" w:eastAsia="仿宋_GB2312" w:cs="Times New Roman"/>
                <w:kern w:val="0"/>
                <w:szCs w:val="21"/>
              </w:rPr>
              <w:t>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237.32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26.32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人大换届增加经费及人员增加。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634.94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55.74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504.13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44.26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237.32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26.32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人大换届增加经费及人员增加。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237.32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26.32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人大换届增加经费及人员增加。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1110.32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97.47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社会和保障就业支出22.49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卫生健康支出6.26万元，占0.56%。</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901.75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1139.07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126.32</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val="en-US" w:eastAsia="zh-CN"/>
        </w:rPr>
        <w:t>（类）人大事务（款）行政支出（项）</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320.69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320.69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人大事务（款）人大会议（项）</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一般公共服务支出（类）人大事务（款）代表工作（项）。</w:t>
      </w:r>
    </w:p>
    <w:p>
      <w:pPr>
        <w:pStyle w:val="9"/>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一般公共服务支出（类）人大事务（款）其他人大事务支出（项）。</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一般公共服务支出（类）政府办公厅（室）及相关机构事务（款）行政运行。</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532.16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532.16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一般公共服务支出（类）政府办公厅（室）及相关机构事务（款）其他政府办公厅（室）及相关机构事务（项）。</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35.88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18.77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社会保障和就业支出（类）抚恤（款）死亡抚恤（项）。</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卫生健康支出（类）行政事业单位医疗（款）行政单位医疗（项）。</w:t>
      </w:r>
    </w:p>
    <w:p>
      <w:pPr>
        <w:pStyle w:val="9"/>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0"/>
        </w:numPr>
        <w:ind w:leftChars="250"/>
        <w:rPr>
          <w:rFonts w:hint="default" w:asciiTheme="minorEastAsia" w:hAnsiTheme="minorEastAsia" w:eastAsiaTheme="minorEastAsia"/>
          <w:sz w:val="32"/>
          <w:szCs w:val="32"/>
          <w:lang w:val="en-US" w:eastAsia="zh-CN"/>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634.94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418.28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65.88</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216.66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34.12</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60.71</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60.71</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部分公务接待费未及时报账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部分公务接待费未及时报账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受疫情影响，2021年度我单位未开展因公出国（境）活动</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497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省市县人大常委会及专门委室来道县调研及执法检查等</w:t>
      </w:r>
      <w:r>
        <w:rPr>
          <w:rFonts w:hint="eastAsia" w:asciiTheme="minorEastAsia" w:hAnsiTheme="minorEastAsia" w:eastAsiaTheme="minorEastAsia"/>
          <w:sz w:val="32"/>
          <w:szCs w:val="32"/>
        </w:rPr>
        <w:t>发生的接待支出。</w:t>
      </w:r>
    </w:p>
    <w:p>
      <w:pPr>
        <w:ind w:firstLine="800" w:firstLineChars="25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公务用车购置0辆，公务用车运行维护费0万元。截止2021年12月31日，我单位财政拨款的公务用车保有量为0辆</w:t>
      </w:r>
      <w:r>
        <w:rPr>
          <w:rFonts w:hint="eastAsia" w:asciiTheme="minorEastAsia" w:hAnsiTheme="minorEastAsia"/>
          <w:sz w:val="32"/>
          <w:szCs w:val="32"/>
          <w:lang w:eastAsia="zh-CN"/>
        </w:rPr>
        <w:t>。</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216.66</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39.18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%。主要原因</w:t>
      </w:r>
      <w:r>
        <w:rPr>
          <w:rFonts w:hint="eastAsia" w:asciiTheme="minorEastAsia" w:hAnsiTheme="minorEastAsia" w:eastAsiaTheme="minorEastAsia"/>
          <w:sz w:val="32"/>
          <w:szCs w:val="32"/>
          <w:lang w:val="en-US" w:eastAsia="zh-CN"/>
        </w:rPr>
        <w:t>是人大换届选举经费及人员经费的增加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241.36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人大</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520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人大会议及常委会例会</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12.36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人大代表履职</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210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履职能力提升。</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本级单位</w:t>
      </w:r>
      <w:r>
        <w:rPr>
          <w:rFonts w:hint="eastAsia" w:cs="黑体" w:asciiTheme="minorEastAsia" w:hAnsiTheme="minorEastAsia"/>
          <w:color w:val="000000"/>
          <w:kern w:val="0"/>
          <w:sz w:val="32"/>
          <w:szCs w:val="32"/>
        </w:rPr>
        <w:t>开展整体支出绩效评价，涉及一般公共预算支出</w:t>
      </w:r>
      <w:r>
        <w:rPr>
          <w:rFonts w:hint="eastAsia" w:cs="黑体" w:asciiTheme="minorEastAsia" w:hAnsiTheme="minorEastAsia"/>
          <w:color w:val="000000"/>
          <w:kern w:val="0"/>
          <w:sz w:val="32"/>
          <w:szCs w:val="32"/>
          <w:lang w:val="en-US" w:eastAsia="zh-CN"/>
        </w:rPr>
        <w:t>1139.7</w:t>
      </w:r>
      <w:r>
        <w:rPr>
          <w:rFonts w:hint="eastAsia" w:cs="黑体" w:asciiTheme="minorEastAsia" w:hAnsiTheme="minorEastAsia"/>
          <w:color w:val="000000"/>
          <w:kern w:val="0"/>
          <w:sz w:val="32"/>
          <w:szCs w:val="32"/>
        </w:rPr>
        <w:t>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本音准在规定时间内按照年初计划圆满完成了各项任务</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 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四、项目支出：指在为完成特定的工作任务和事业发展目标所发生 的支出。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五、基本支出：指为保障机构正常运转、完成日常工作任务而发生 的支出，包括人员经费和公用经费。 10．年末结转和结余资金：指本年度或以前年度预算安排、因客观 条件发生变化无法按原计划实施，需要延迟到以后年度按有关规定继续 使用的资金。</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六、一般公共服务支出（类）人大事务（款）行政运行（项）：反 映行政单位（包括实行公务员管理的事业单位）的基本支出。 </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七、一般公共服务支出（类）人大事务（款）人大会议（项）：反 映各级人大召开人民代表大会等专门会议的支出。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八、一般公共服务支出（类）人大事务（款）人大代表履职能力提 升（项）：反映各级人大为提高代表履职能力所发生的各项支出。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九、一般公共服务支出（类）人大事务（款）代表工作（项）：反 映人大代表开展各类视察等方面的支出。 </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十、一般公共服务支出（类）人大事务（款）其他人大事务支出（项）： 反映除上述项目以外的其他人大事务支出。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十一、一般公共服务支出（类）政府办公厅（室）及相关机构事务（款） 其他政府办公厅（室）及相关机构事务支出（项）：反映除上述项目以 外的其他政府办公厅（室）及相关机构事 务支出。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十二、社会保障和就业支出（类）行政事业单位养老支出（款）机关 事业单位基本养老保险缴费支出（项）：反映机关事业单位实施养老保 险制度由单位缴纳的基本养老保险费支出。 </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十三、社会保障和就业支出（类）抚恤（款）死亡抚恤（项）：反映 按规定用于烈士和牺牲、病故人员家属的一次性和定期 抚恤金、丧葬补 助费以及烈士褒扬金。</w:t>
      </w:r>
    </w:p>
    <w:p>
      <w:pPr>
        <w:ind w:firstLine="640" w:firstLineChars="200"/>
        <w:jc w:val="left"/>
        <w:rPr>
          <w:sz w:val="72"/>
          <w:szCs w:val="72"/>
        </w:rPr>
      </w:pPr>
      <w:r>
        <w:rPr>
          <w:rFonts w:hint="eastAsia" w:cs="黑体" w:asciiTheme="minorEastAsia" w:hAnsiTheme="minorEastAsia"/>
          <w:color w:val="000000"/>
          <w:kern w:val="0"/>
          <w:sz w:val="32"/>
          <w:szCs w:val="32"/>
          <w:lang w:val="en-US" w:eastAsia="zh-CN"/>
        </w:rPr>
        <w:t>十四、卫生健康支出（类）行政事业单位医疗（款）行政单位医疗（项）：反映财政部门安排的行政单位（包括实行公务员管理的事业 单位，下同） 基本医疗保险缴费经费，未参加医疗保险的行政 单位的公费医疗经费， 按国家规定享受离休人员、红军老战士 待遇人员的医疗经费。</w:t>
      </w: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A879C"/>
    <w:multiLevelType w:val="singleLevel"/>
    <w:tmpl w:val="02CA879C"/>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981761"/>
    <w:rsid w:val="01EA75E4"/>
    <w:rsid w:val="05042846"/>
    <w:rsid w:val="05C76B6E"/>
    <w:rsid w:val="0C730409"/>
    <w:rsid w:val="13AD6523"/>
    <w:rsid w:val="22603DB2"/>
    <w:rsid w:val="267A0897"/>
    <w:rsid w:val="2C9A60E0"/>
    <w:rsid w:val="37A9429A"/>
    <w:rsid w:val="3F8E198F"/>
    <w:rsid w:val="47C841A9"/>
    <w:rsid w:val="48230AF5"/>
    <w:rsid w:val="59987F3E"/>
    <w:rsid w:val="64C33752"/>
    <w:rsid w:val="6A067F1B"/>
    <w:rsid w:val="6AB62D79"/>
    <w:rsid w:val="6B105217"/>
    <w:rsid w:val="6B6C4D84"/>
    <w:rsid w:val="706F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10078</Words>
  <Characters>12009</Characters>
  <Lines>69</Lines>
  <Paragraphs>19</Paragraphs>
  <TotalTime>0</TotalTime>
  <ScaleCrop>false</ScaleCrop>
  <LinksUpToDate>false</LinksUpToDate>
  <CharactersWithSpaces>13009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2023-09-07T04:45:00Z</cp:lastPrinted>
  <dcterms:modified xsi:type="dcterms:W3CDTF">2023-09-28T06:19:58Z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A3B17C6793CE44C490EC33AA1BF67737_13</vt:lpwstr>
  </property>
</Properties>
</file>