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after="0"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2021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道县计划生育协会</w:t>
      </w:r>
      <w:r>
        <w:rPr>
          <w:rFonts w:hint="eastAsia" w:ascii="方正小标宋简体" w:hAnsi="方正小标宋简体" w:eastAsia="方正小标宋简体" w:cs="方正小标宋简体"/>
          <w:b w:val="0"/>
          <w:bCs/>
          <w:sz w:val="44"/>
          <w:szCs w:val="44"/>
        </w:rPr>
        <w:t>部门</w:t>
      </w:r>
    </w:p>
    <w:p>
      <w:pPr>
        <w:wordWrap/>
        <w:adjustRightInd/>
        <w:snapToGrid/>
        <w:spacing w:after="0"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整体支出绩效评价报告</w:t>
      </w:r>
    </w:p>
    <w:p>
      <w:pPr>
        <w:wordWrap/>
        <w:adjustRightInd/>
        <w:snapToGrid/>
        <w:spacing w:after="0" w:line="560" w:lineRule="exact"/>
        <w:ind w:left="0" w:leftChars="0" w:firstLine="880" w:firstLineChars="200"/>
        <w:jc w:val="center"/>
        <w:textAlignment w:val="auto"/>
        <w:outlineLvl w:val="9"/>
        <w:rPr>
          <w:rFonts w:ascii="宋体" w:hAnsi="宋体"/>
          <w:b/>
          <w:sz w:val="44"/>
          <w:szCs w:val="44"/>
        </w:rPr>
      </w:pPr>
    </w:p>
    <w:p>
      <w:pPr>
        <w:wordWrap/>
        <w:adjustRightInd/>
        <w:snapToGrid/>
        <w:spacing w:after="0" w:line="560" w:lineRule="exact"/>
        <w:ind w:left="0" w:leftChars="0" w:right="11" w:firstLine="8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一、部门概况</w:t>
      </w:r>
    </w:p>
    <w:p>
      <w:pPr>
        <w:wordWrap/>
        <w:adjustRightInd/>
        <w:snapToGrid/>
        <w:spacing w:after="0" w:line="560" w:lineRule="exact"/>
        <w:ind w:left="0" w:leftChars="0" w:right="11" w:firstLine="88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（一）部门基本情况：</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1．主要职能。</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协助有关部门推动卫生和计划生育工作，指导乡镇（街道）计划生育协会工作，参与计划生育的民主监督，维护会员与育龄群众实行计划生育的正当权益。具体职责：</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服务育龄群众和计划生育家庭，发挥带头、宣传、服务、监督、交流作用，动员和组织广大群众参与人口发展、生殖健康、计划生育和家庭保健。</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开展群众性宣传工作，普及生殖健康、卫生和计划生育等科学知识和信息，倡导科学、文明、健康的婚育观念，提高群众实行计划生育的自觉性。</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推进人口计划生育基层群众自治，教育、引导广大群众自觉实行计划生育，反映群众在生殖健康计划生育等方面的诉求，依法维护群众的合法权益。</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开展计划生育“三结合”、计生家庭创业小额贴息贷款等项目工作和生育关怀救助行动。</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 xml:space="preserve">完成上级协会部署和同级卫计生部门交办的各项工作任务。 </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2．机构情况，包括当年变动情况及原因。</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道县计生协会是参照公务员管理的全额拨款事业单位。内设办公室、业务指导股等两个股室。核定全额拨款事业单位编制</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名，其领导职数和编制结构为：会长1名（兼），常务副会长1名，秘书长1名（副科级），其他工作人员3名。</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3．人员情况，包括当年变动情况及原因。</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年度年末在职人员</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人，</w:t>
      </w:r>
      <w:r>
        <w:rPr>
          <w:rFonts w:hint="eastAsia" w:ascii="仿宋_GB2312" w:hAnsi="仿宋_GB2312" w:eastAsia="仿宋_GB2312" w:cs="仿宋_GB2312"/>
          <w:kern w:val="2"/>
          <w:sz w:val="32"/>
          <w:szCs w:val="32"/>
          <w:lang w:eastAsia="zh-CN"/>
        </w:rPr>
        <w:t>2021</w:t>
      </w:r>
      <w:r>
        <w:rPr>
          <w:rFonts w:hint="eastAsia" w:ascii="仿宋_GB2312" w:hAnsi="仿宋_GB2312" w:eastAsia="仿宋_GB2312" w:cs="仿宋_GB2312"/>
          <w:kern w:val="2"/>
          <w:sz w:val="32"/>
          <w:szCs w:val="32"/>
        </w:rPr>
        <w:t>年度年末在职人员</w:t>
      </w:r>
      <w:r>
        <w:rPr>
          <w:rFonts w:hint="eastAsia" w:ascii="仿宋_GB2312" w:hAnsi="仿宋_GB2312" w:eastAsia="仿宋_GB2312" w:cs="仿宋_GB2312"/>
          <w:kern w:val="2"/>
          <w:sz w:val="32"/>
          <w:szCs w:val="32"/>
          <w:lang w:val="en-US" w:eastAsia="zh-CN"/>
        </w:rPr>
        <w:t>4人</w:t>
      </w:r>
      <w:r>
        <w:rPr>
          <w:rFonts w:hint="eastAsia" w:ascii="仿宋_GB2312" w:hAnsi="仿宋_GB2312" w:eastAsia="仿宋_GB2312" w:cs="仿宋_GB2312"/>
          <w:kern w:val="2"/>
          <w:sz w:val="32"/>
          <w:szCs w:val="32"/>
        </w:rPr>
        <w:t>。</w:t>
      </w:r>
    </w:p>
    <w:p>
      <w:pPr>
        <w:wordWrap/>
        <w:adjustRightInd/>
        <w:snapToGrid/>
        <w:spacing w:after="0" w:line="560" w:lineRule="exact"/>
        <w:ind w:left="0" w:leftChars="0" w:right="11" w:firstLine="880" w:firstLineChars="200"/>
        <w:textAlignment w:val="auto"/>
        <w:outlineLvl w:val="9"/>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kern w:val="2"/>
          <w:sz w:val="32"/>
          <w:szCs w:val="32"/>
          <w:lang w:val="en-US" w:eastAsia="zh-CN"/>
        </w:rPr>
        <w:t>二）部门整体支出规模、使用方向和主要内容</w:t>
      </w:r>
    </w:p>
    <w:p>
      <w:pPr>
        <w:wordWrap/>
        <w:adjustRightInd/>
        <w:snapToGrid/>
        <w:spacing w:after="0" w:line="560" w:lineRule="exact"/>
        <w:ind w:left="0" w:leftChars="0" w:right="11" w:firstLine="88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2021道县计生协会收到县级财政拨款105.42万元，具体情况如下：基本支出67.48万元，其中：计划生育机构支出57.48万元，其他计划生育事务支出10万元；项目支出37.94万元，其中：计生特殊家庭扶助资金支出10万元，基层计生协能力建设资金支出10万元，计生健康保险经费支出0.23万元，计生特殊家庭住院护理补贴支出17.71万元。</w:t>
      </w:r>
    </w:p>
    <w:p>
      <w:pPr>
        <w:numPr>
          <w:numId w:val="0"/>
        </w:numPr>
        <w:wordWrap/>
        <w:adjustRightInd/>
        <w:snapToGrid/>
        <w:spacing w:after="0" w:line="560" w:lineRule="exact"/>
        <w:ind w:left="0" w:leftChars="0" w:right="11" w:firstLine="8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一般公共预算支出情况</w:t>
      </w:r>
    </w:p>
    <w:p>
      <w:pPr>
        <w:numPr>
          <w:numId w:val="0"/>
        </w:numPr>
        <w:wordWrap/>
        <w:adjustRightInd/>
        <w:snapToGrid/>
        <w:spacing w:after="0" w:line="560" w:lineRule="exact"/>
        <w:ind w:left="0" w:leftChars="0" w:right="11" w:firstLine="880" w:firstLineChars="200"/>
        <w:textAlignment w:val="auto"/>
        <w:outlineLvl w:val="9"/>
        <w:rPr>
          <w:rFonts w:hint="eastAsia" w:ascii="楷体_GB2312" w:hAnsi="楷体_GB2312" w:eastAsia="楷体_GB2312" w:cs="楷体_GB2312"/>
          <w:b/>
          <w:bCs/>
          <w:color w:val="010101"/>
          <w:sz w:val="32"/>
          <w:szCs w:val="32"/>
        </w:rPr>
      </w:pPr>
      <w:r>
        <w:rPr>
          <w:rFonts w:hint="eastAsia" w:ascii="楷体_GB2312" w:hAnsi="楷体_GB2312" w:eastAsia="楷体_GB2312" w:cs="楷体_GB2312"/>
          <w:b/>
          <w:bCs/>
          <w:color w:val="010101"/>
          <w:sz w:val="32"/>
          <w:szCs w:val="32"/>
          <w:lang w:eastAsia="zh-CN"/>
        </w:rPr>
        <w:t>（一）</w:t>
      </w:r>
      <w:r>
        <w:rPr>
          <w:rFonts w:hint="eastAsia" w:ascii="楷体_GB2312" w:hAnsi="楷体_GB2312" w:eastAsia="楷体_GB2312" w:cs="楷体_GB2312"/>
          <w:b/>
          <w:bCs/>
          <w:color w:val="010101"/>
          <w:sz w:val="32"/>
          <w:szCs w:val="32"/>
        </w:rPr>
        <w:t>基本支出</w:t>
      </w:r>
      <w:r>
        <w:rPr>
          <w:rFonts w:hint="eastAsia" w:ascii="楷体_GB2312" w:hAnsi="楷体_GB2312" w:eastAsia="楷体_GB2312" w:cs="楷体_GB2312"/>
          <w:b/>
          <w:bCs/>
          <w:color w:val="010101"/>
          <w:sz w:val="32"/>
          <w:szCs w:val="32"/>
          <w:lang w:eastAsia="zh-CN"/>
        </w:rPr>
        <w:t>情况</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用于为保障我</w:t>
      </w:r>
      <w:r>
        <w:rPr>
          <w:rFonts w:hint="eastAsia" w:ascii="仿宋_GB2312" w:hAnsi="仿宋_GB2312" w:eastAsia="仿宋_GB2312" w:cs="仿宋_GB2312"/>
          <w:kern w:val="2"/>
          <w:sz w:val="32"/>
          <w:szCs w:val="32"/>
          <w:lang w:eastAsia="zh-CN"/>
        </w:rPr>
        <w:t>单位</w:t>
      </w:r>
      <w:r>
        <w:rPr>
          <w:rFonts w:hint="eastAsia" w:ascii="仿宋_GB2312" w:hAnsi="仿宋_GB2312" w:eastAsia="仿宋_GB2312" w:cs="仿宋_GB2312"/>
          <w:kern w:val="2"/>
          <w:sz w:val="32"/>
          <w:szCs w:val="32"/>
        </w:rPr>
        <w:t>正常运转、完成日常工作任务而发生的支出，包括人员经费和公用经费。</w:t>
      </w:r>
    </w:p>
    <w:p>
      <w:pPr>
        <w:wordWrap/>
        <w:adjustRightInd/>
        <w:snapToGrid/>
        <w:spacing w:after="0" w:line="560" w:lineRule="exact"/>
        <w:ind w:left="0" w:leftChars="0" w:right="11" w:firstLine="88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2021</w:t>
      </w:r>
      <w:r>
        <w:rPr>
          <w:rFonts w:hint="eastAsia" w:ascii="仿宋_GB2312" w:hAnsi="仿宋_GB2312" w:eastAsia="仿宋_GB2312" w:cs="仿宋_GB2312"/>
          <w:kern w:val="2"/>
          <w:sz w:val="32"/>
          <w:szCs w:val="32"/>
        </w:rPr>
        <w:t>年一般公共预算财政拨款基本支出</w:t>
      </w:r>
      <w:r>
        <w:rPr>
          <w:rFonts w:hint="eastAsia" w:ascii="仿宋_GB2312" w:hAnsi="仿宋_GB2312" w:eastAsia="仿宋_GB2312" w:cs="仿宋_GB2312"/>
          <w:kern w:val="2"/>
          <w:sz w:val="32"/>
          <w:szCs w:val="32"/>
          <w:lang w:val="en-US" w:eastAsia="zh-CN"/>
        </w:rPr>
        <w:t>67.48</w:t>
      </w:r>
      <w:r>
        <w:rPr>
          <w:rFonts w:hint="eastAsia" w:ascii="仿宋_GB2312" w:hAnsi="仿宋_GB2312" w:eastAsia="仿宋_GB2312" w:cs="仿宋_GB2312"/>
          <w:kern w:val="2"/>
          <w:sz w:val="32"/>
          <w:szCs w:val="32"/>
        </w:rPr>
        <w:t>万元，具体使用情况如下:</w:t>
      </w:r>
      <w:r>
        <w:rPr>
          <w:rFonts w:hint="eastAsia" w:ascii="仿宋_GB2312" w:hAnsi="仿宋_GB2312" w:eastAsia="仿宋_GB2312" w:cs="仿宋_GB2312"/>
          <w:kern w:val="2"/>
          <w:sz w:val="32"/>
          <w:szCs w:val="32"/>
          <w:lang w:eastAsia="zh-CN"/>
        </w:rPr>
        <w:t>工资福利支出津贴补贴</w:t>
      </w:r>
      <w:r>
        <w:rPr>
          <w:rFonts w:hint="eastAsia" w:ascii="仿宋_GB2312" w:hAnsi="仿宋_GB2312" w:eastAsia="仿宋_GB2312" w:cs="仿宋_GB2312"/>
          <w:kern w:val="2"/>
          <w:sz w:val="32"/>
          <w:szCs w:val="32"/>
          <w:lang w:val="en-US" w:eastAsia="zh-CN"/>
        </w:rPr>
        <w:t>1.88万元；</w:t>
      </w:r>
      <w:r>
        <w:rPr>
          <w:rFonts w:hint="eastAsia" w:ascii="仿宋_GB2312" w:hAnsi="仿宋_GB2312" w:eastAsia="仿宋_GB2312" w:cs="仿宋_GB2312"/>
          <w:kern w:val="2"/>
          <w:sz w:val="32"/>
          <w:szCs w:val="32"/>
        </w:rPr>
        <w:t>商品和服务支出</w:t>
      </w:r>
      <w:r>
        <w:rPr>
          <w:rFonts w:hint="eastAsia" w:ascii="仿宋_GB2312" w:hAnsi="仿宋_GB2312" w:eastAsia="仿宋_GB2312" w:cs="仿宋_GB2312"/>
          <w:kern w:val="2"/>
          <w:sz w:val="32"/>
          <w:szCs w:val="32"/>
          <w:lang w:val="en-US" w:eastAsia="zh-CN"/>
        </w:rPr>
        <w:t>12.5</w:t>
      </w:r>
      <w:r>
        <w:rPr>
          <w:rFonts w:hint="eastAsia" w:ascii="仿宋_GB2312" w:hAnsi="仿宋_GB2312" w:eastAsia="仿宋_GB2312" w:cs="仿宋_GB2312"/>
          <w:kern w:val="2"/>
          <w:sz w:val="32"/>
          <w:szCs w:val="32"/>
        </w:rPr>
        <w:t>万元，包括办公费</w:t>
      </w:r>
      <w:r>
        <w:rPr>
          <w:rFonts w:hint="eastAsia" w:ascii="仿宋_GB2312" w:hAnsi="仿宋_GB2312" w:eastAsia="仿宋_GB2312" w:cs="仿宋_GB2312"/>
          <w:kern w:val="2"/>
          <w:sz w:val="32"/>
          <w:szCs w:val="32"/>
          <w:lang w:val="en-US" w:eastAsia="zh-CN"/>
        </w:rPr>
        <w:t>3.3</w:t>
      </w:r>
      <w:r>
        <w:rPr>
          <w:rFonts w:hint="eastAsia" w:ascii="仿宋_GB2312" w:hAnsi="仿宋_GB2312" w:eastAsia="仿宋_GB2312" w:cs="仿宋_GB2312"/>
          <w:kern w:val="2"/>
          <w:sz w:val="32"/>
          <w:szCs w:val="32"/>
        </w:rPr>
        <w:t>万元，印刷费</w:t>
      </w:r>
      <w:r>
        <w:rPr>
          <w:rFonts w:hint="eastAsia" w:ascii="仿宋_GB2312" w:hAnsi="仿宋_GB2312" w:eastAsia="仿宋_GB2312" w:cs="仿宋_GB2312"/>
          <w:kern w:val="2"/>
          <w:sz w:val="32"/>
          <w:szCs w:val="32"/>
          <w:lang w:val="en-US" w:eastAsia="zh-CN"/>
        </w:rPr>
        <w:t>2.5</w:t>
      </w:r>
      <w:r>
        <w:rPr>
          <w:rFonts w:hint="eastAsia" w:ascii="仿宋_GB2312" w:hAnsi="仿宋_GB2312" w:eastAsia="仿宋_GB2312" w:cs="仿宋_GB2312"/>
          <w:kern w:val="2"/>
          <w:sz w:val="32"/>
          <w:szCs w:val="32"/>
        </w:rPr>
        <w:t>万元，差旅费</w:t>
      </w:r>
      <w:r>
        <w:rPr>
          <w:rFonts w:hint="eastAsia" w:ascii="仿宋_GB2312" w:hAnsi="仿宋_GB2312" w:eastAsia="仿宋_GB2312" w:cs="仿宋_GB2312"/>
          <w:kern w:val="2"/>
          <w:sz w:val="32"/>
          <w:szCs w:val="32"/>
          <w:lang w:val="en-US" w:eastAsia="zh-CN"/>
        </w:rPr>
        <w:t>0.6</w:t>
      </w:r>
      <w:r>
        <w:rPr>
          <w:rFonts w:hint="eastAsia" w:ascii="仿宋_GB2312" w:hAnsi="仿宋_GB2312" w:eastAsia="仿宋_GB2312" w:cs="仿宋_GB2312"/>
          <w:kern w:val="2"/>
          <w:sz w:val="32"/>
          <w:szCs w:val="32"/>
        </w:rPr>
        <w:t>万元，会议费</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万元，培训费</w:t>
      </w:r>
      <w:r>
        <w:rPr>
          <w:rFonts w:hint="eastAsia" w:ascii="仿宋_GB2312" w:hAnsi="仿宋_GB2312" w:eastAsia="仿宋_GB2312" w:cs="仿宋_GB2312"/>
          <w:kern w:val="2"/>
          <w:sz w:val="32"/>
          <w:szCs w:val="32"/>
          <w:lang w:val="en-US" w:eastAsia="zh-CN"/>
        </w:rPr>
        <w:t>0.6</w:t>
      </w:r>
      <w:r>
        <w:rPr>
          <w:rFonts w:hint="eastAsia" w:ascii="仿宋_GB2312" w:hAnsi="仿宋_GB2312" w:eastAsia="仿宋_GB2312" w:cs="仿宋_GB2312"/>
          <w:kern w:val="2"/>
          <w:sz w:val="32"/>
          <w:szCs w:val="32"/>
        </w:rPr>
        <w:t>万元，公务接待费</w:t>
      </w:r>
      <w:r>
        <w:rPr>
          <w:rFonts w:hint="eastAsia" w:ascii="仿宋_GB2312" w:hAnsi="仿宋_GB2312" w:eastAsia="仿宋_GB2312" w:cs="仿宋_GB2312"/>
          <w:kern w:val="2"/>
          <w:sz w:val="32"/>
          <w:szCs w:val="32"/>
          <w:lang w:val="en-US" w:eastAsia="zh-CN"/>
        </w:rPr>
        <w:t>0.9</w:t>
      </w:r>
      <w:r>
        <w:rPr>
          <w:rFonts w:hint="eastAsia" w:ascii="仿宋_GB2312" w:hAnsi="仿宋_GB2312" w:eastAsia="仿宋_GB2312" w:cs="仿宋_GB2312"/>
          <w:kern w:val="2"/>
          <w:sz w:val="32"/>
          <w:szCs w:val="32"/>
        </w:rPr>
        <w:t>万元，其他交通费</w:t>
      </w:r>
      <w:r>
        <w:rPr>
          <w:rFonts w:hint="eastAsia" w:ascii="仿宋_GB2312" w:hAnsi="仿宋_GB2312" w:eastAsia="仿宋_GB2312" w:cs="仿宋_GB2312"/>
          <w:kern w:val="2"/>
          <w:sz w:val="32"/>
          <w:szCs w:val="32"/>
          <w:lang w:val="en-US" w:eastAsia="zh-CN"/>
        </w:rPr>
        <w:t>0.8</w:t>
      </w:r>
      <w:r>
        <w:rPr>
          <w:rFonts w:hint="eastAsia" w:ascii="仿宋_GB2312" w:hAnsi="仿宋_GB2312" w:eastAsia="仿宋_GB2312" w:cs="仿宋_GB2312"/>
          <w:kern w:val="2"/>
          <w:sz w:val="32"/>
          <w:szCs w:val="32"/>
        </w:rPr>
        <w:t>万元，其他商品和服务支出</w:t>
      </w:r>
      <w:r>
        <w:rPr>
          <w:rFonts w:hint="eastAsia" w:ascii="仿宋_GB2312" w:hAnsi="仿宋_GB2312" w:eastAsia="仿宋_GB2312" w:cs="仿宋_GB2312"/>
          <w:kern w:val="2"/>
          <w:sz w:val="32"/>
          <w:szCs w:val="32"/>
          <w:lang w:val="en-US" w:eastAsia="zh-CN"/>
        </w:rPr>
        <w:t>2.6</w:t>
      </w:r>
      <w:r>
        <w:rPr>
          <w:rFonts w:hint="eastAsia" w:ascii="仿宋_GB2312" w:hAnsi="仿宋_GB2312" w:eastAsia="仿宋_GB2312" w:cs="仿宋_GB2312"/>
          <w:kern w:val="2"/>
          <w:sz w:val="32"/>
          <w:szCs w:val="32"/>
        </w:rPr>
        <w:t>万元；对个人和家庭的补助</w:t>
      </w:r>
      <w:r>
        <w:rPr>
          <w:rFonts w:hint="eastAsia" w:ascii="仿宋_GB2312" w:hAnsi="仿宋_GB2312" w:eastAsia="仿宋_GB2312" w:cs="仿宋_GB2312"/>
          <w:kern w:val="2"/>
          <w:sz w:val="32"/>
          <w:szCs w:val="32"/>
          <w:lang w:val="en-US" w:eastAsia="zh-CN"/>
        </w:rPr>
        <w:t>53.1万元。</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2021</w:t>
      </w:r>
      <w:r>
        <w:rPr>
          <w:rFonts w:hint="eastAsia" w:ascii="仿宋_GB2312" w:hAnsi="仿宋_GB2312" w:eastAsia="仿宋_GB2312" w:cs="仿宋_GB2312"/>
          <w:kern w:val="2"/>
          <w:sz w:val="32"/>
          <w:szCs w:val="32"/>
        </w:rPr>
        <w:t>年“三公”经费预算</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kern w:val="2"/>
          <w:sz w:val="32"/>
          <w:szCs w:val="32"/>
          <w:lang w:val="en-US" w:eastAsia="zh-CN"/>
        </w:rPr>
        <w:t>2021年“三公”经费实际支出，</w:t>
      </w:r>
      <w:r>
        <w:rPr>
          <w:rFonts w:hint="eastAsia" w:ascii="仿宋_GB2312" w:hAnsi="仿宋_GB2312" w:eastAsia="仿宋_GB2312" w:cs="仿宋_GB2312"/>
          <w:kern w:val="2"/>
          <w:sz w:val="32"/>
          <w:szCs w:val="32"/>
        </w:rPr>
        <w:t>其中：1、出国出境 0 万元、2、公务接待</w:t>
      </w:r>
      <w:r>
        <w:rPr>
          <w:rFonts w:hint="eastAsia" w:ascii="仿宋_GB2312" w:hAnsi="仿宋_GB2312" w:eastAsia="仿宋_GB2312" w:cs="仿宋_GB2312"/>
          <w:kern w:val="2"/>
          <w:sz w:val="32"/>
          <w:szCs w:val="32"/>
          <w:lang w:val="en-US" w:eastAsia="zh-CN"/>
        </w:rPr>
        <w:t>0.9</w:t>
      </w:r>
      <w:r>
        <w:rPr>
          <w:rFonts w:hint="eastAsia" w:ascii="仿宋_GB2312" w:hAnsi="仿宋_GB2312" w:eastAsia="仿宋_GB2312" w:cs="仿宋_GB2312"/>
          <w:kern w:val="2"/>
          <w:sz w:val="32"/>
          <w:szCs w:val="32"/>
        </w:rPr>
        <w:t>万元、3、公务用车</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2020年“三公”经费实际支出，</w:t>
      </w:r>
      <w:r>
        <w:rPr>
          <w:rFonts w:hint="eastAsia" w:ascii="仿宋_GB2312" w:hAnsi="仿宋_GB2312" w:eastAsia="仿宋_GB2312" w:cs="仿宋_GB2312"/>
          <w:kern w:val="2"/>
          <w:sz w:val="32"/>
          <w:szCs w:val="32"/>
        </w:rPr>
        <w:t>其中：1、出国出境 0 万元、2、公务接待</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万元、3、公务用车</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w:t>
      </w:r>
    </w:p>
    <w:p>
      <w:pPr>
        <w:wordWrap/>
        <w:adjustRightInd/>
        <w:snapToGrid/>
        <w:spacing w:after="0" w:line="560" w:lineRule="exact"/>
        <w:ind w:left="0" w:leftChars="0" w:right="11" w:firstLine="88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与</w:t>
      </w:r>
      <w:r>
        <w:rPr>
          <w:rFonts w:hint="eastAsia" w:ascii="仿宋_GB2312" w:hAnsi="仿宋_GB2312" w:eastAsia="仿宋_GB2312" w:cs="仿宋_GB2312"/>
          <w:kern w:val="2"/>
          <w:sz w:val="32"/>
          <w:szCs w:val="32"/>
          <w:lang w:val="en-US" w:eastAsia="zh-CN"/>
        </w:rPr>
        <w:t>2020年相对比减少了0.1万元，减少的主要原因是本单位认真贯彻落实中央八项规定，厉行节约，严格控制，有效降低行政运行成本。</w:t>
      </w:r>
    </w:p>
    <w:p>
      <w:pPr>
        <w:wordWrap/>
        <w:adjustRightInd/>
        <w:snapToGrid/>
        <w:spacing w:after="0" w:line="560" w:lineRule="exact"/>
        <w:ind w:left="0" w:leftChars="0" w:right="11" w:firstLine="880"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（二）项目支出</w:t>
      </w:r>
      <w:r>
        <w:rPr>
          <w:rFonts w:hint="eastAsia" w:ascii="楷体_GB2312" w:hAnsi="楷体_GB2312" w:eastAsia="楷体_GB2312" w:cs="楷体_GB2312"/>
          <w:b/>
          <w:bCs/>
          <w:sz w:val="32"/>
          <w:szCs w:val="32"/>
          <w:lang w:eastAsia="zh-CN"/>
        </w:rPr>
        <w:t>情况</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一般公共预算财政拨款项目支出</w:t>
      </w:r>
      <w:r>
        <w:rPr>
          <w:rFonts w:hint="eastAsia" w:ascii="仿宋_GB2312" w:hAnsi="仿宋_GB2312" w:eastAsia="仿宋_GB2312" w:cs="仿宋_GB2312"/>
          <w:kern w:val="2"/>
          <w:sz w:val="32"/>
          <w:szCs w:val="32"/>
          <w:lang w:val="en-US" w:eastAsia="zh-CN"/>
        </w:rPr>
        <w:t>37.94</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kern w:val="2"/>
          <w:sz w:val="32"/>
          <w:szCs w:val="32"/>
          <w:lang w:eastAsia="zh-CN"/>
        </w:rPr>
        <w:t>包括计生困难家庭救助项目和基层计生协专职副会长补助项目。</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其中计生困难家庭救助项目支出10万元，用于计生困难家庭的走访、慰问、救助；计生健康保险经费支出0.23万元，计生特殊家庭住院护理补贴支出17.71万元。</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政府性基金预算支出情况</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道县计生协会</w:t>
      </w:r>
      <w:r>
        <w:rPr>
          <w:rFonts w:hint="eastAsia" w:ascii="仿宋_GB2312" w:hAnsi="仿宋_GB2312" w:eastAsia="仿宋_GB2312" w:cs="仿宋_GB2312"/>
          <w:kern w:val="2"/>
          <w:sz w:val="32"/>
          <w:szCs w:val="32"/>
          <w:lang w:val="en-US" w:eastAsia="zh-CN"/>
        </w:rPr>
        <w:t>2021年无政府性基金预算。</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Fonts w:hint="default" w:ascii="黑体" w:hAnsi="黑体" w:eastAsia="黑体" w:cs="黑体"/>
          <w:b w:val="0"/>
          <w:bCs w:val="0"/>
          <w:color w:val="auto"/>
          <w:sz w:val="32"/>
          <w:szCs w:val="32"/>
          <w:lang w:val="en-US" w:eastAsia="zh-CN"/>
        </w:rPr>
        <w:t>国有资本经营预算支出情况</w:t>
      </w:r>
    </w:p>
    <w:p>
      <w:pPr>
        <w:wordWrap/>
        <w:adjustRightInd/>
        <w:snapToGrid/>
        <w:spacing w:after="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道县计生协会</w:t>
      </w:r>
      <w:r>
        <w:rPr>
          <w:rFonts w:hint="eastAsia" w:ascii="仿宋_GB2312" w:hAnsi="仿宋_GB2312" w:eastAsia="仿宋_GB2312" w:cs="仿宋_GB2312"/>
          <w:kern w:val="2"/>
          <w:sz w:val="32"/>
          <w:szCs w:val="32"/>
          <w:lang w:val="en-US" w:eastAsia="zh-CN"/>
        </w:rPr>
        <w:t>2021年无国有资本经营预算支出。</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default" w:ascii="黑体" w:hAnsi="黑体" w:eastAsia="黑体" w:cs="黑体"/>
          <w:b w:val="0"/>
          <w:bCs w:val="0"/>
          <w:color w:val="auto"/>
          <w:sz w:val="32"/>
          <w:szCs w:val="32"/>
          <w:lang w:val="en-US" w:eastAsia="zh-CN"/>
        </w:rPr>
        <w:t>社会保险基金预算支出情况</w:t>
      </w:r>
    </w:p>
    <w:p>
      <w:pPr>
        <w:wordWrap/>
        <w:adjustRightInd/>
        <w:snapToGrid/>
        <w:spacing w:after="0" w:line="560" w:lineRule="exact"/>
        <w:ind w:left="0" w:leftChars="0" w:right="11" w:firstLine="88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道县计生协会2021</w:t>
      </w:r>
      <w:r>
        <w:rPr>
          <w:rFonts w:hint="default" w:ascii="仿宋_GB2312" w:hAnsi="仿宋_GB2312" w:eastAsia="仿宋_GB2312" w:cs="仿宋_GB2312"/>
          <w:kern w:val="2"/>
          <w:sz w:val="32"/>
          <w:szCs w:val="32"/>
          <w:lang w:val="en-US" w:eastAsia="zh-CN"/>
        </w:rPr>
        <w:t>年无社会保险基金预算支出。</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六、部门整体支出绩效情况</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开展三结合项目。我县各级计生协会按照《湖南省计划生育“三结合”项目专项资金管理办法》的要求，规范资金管理，严格申报程序，加强督促检查，确保项目资金管理和使用安全、规范。2021年，全县发展省级计划生育“三结合”项目1个，共申请省级项目资金10万元，没有发现滥用职权、徇私舞弊、擅自改变项目资金扶助范围和用途或降低支付标准的情况，也不存在贪污、挪用、扣压、拖欠项目资金和弄虚作假、套取项目资金的现象。</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我县获得省财政补助计划生育特殊家庭健康保险经费3.33万元，全县各级计生协会严格按照《湖南省财政补助购买部分计划生育家庭相关保险项目管理办法》的规定，为全县201名计生特扶家庭对象及手术并发症对象购买了一份150元综合保险。</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基层计生协会能力建设经费10万元用于计生协会的活动开展、阵地建设、生育关怀、计划生育基层群众自治示范村创建、流动人口计生协示范点建设、开展计划生育宣传活动以及用于计生协系统能力建设培训等。</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宋体" w:hAnsi="宋体" w:cs="Times New Roman"/>
          <w:b/>
          <w:bCs w:val="0"/>
          <w:color w:val="010101"/>
          <w:sz w:val="32"/>
          <w:szCs w:val="32"/>
          <w:lang w:val="en-US" w:eastAsia="zh-CN"/>
        </w:rPr>
      </w:pPr>
      <w:r>
        <w:rPr>
          <w:rFonts w:hint="eastAsia" w:ascii="仿宋_GB2312" w:hAnsi="仿宋_GB2312" w:eastAsia="仿宋_GB2312" w:cs="仿宋_GB2312"/>
          <w:kern w:val="2"/>
          <w:sz w:val="32"/>
          <w:szCs w:val="32"/>
          <w:lang w:val="en-US" w:eastAsia="zh-CN" w:bidi="ar-SA"/>
        </w:rPr>
        <w:t>计划生育特殊家庭住院护理补贴项目经费4.61万元。通过电话调查，下乡入户走访，全县共摸底上报87人次。</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七、存在的问题及原因分析</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县计生协工作经费保障不足；相关财务管理制度还有待进一步完善。</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八、下一步改进措施</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（一）加大经费投入，提高补助标准。</w:t>
      </w:r>
      <w:r>
        <w:rPr>
          <w:rFonts w:hint="eastAsia" w:ascii="仿宋_GB2312" w:hAnsi="仿宋_GB2312" w:eastAsia="仿宋_GB2312" w:cs="仿宋_GB2312"/>
          <w:kern w:val="2"/>
          <w:sz w:val="32"/>
          <w:szCs w:val="32"/>
          <w:lang w:val="en-US" w:eastAsia="zh-CN" w:bidi="ar-SA"/>
        </w:rPr>
        <w:t>建议省级财政加大投入，让更多符合条件的人群能享受到国家的惠民政策。</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（二）突出重点项目。</w:t>
      </w:r>
      <w:r>
        <w:rPr>
          <w:rFonts w:hint="eastAsia" w:ascii="仿宋_GB2312" w:hAnsi="仿宋_GB2312" w:eastAsia="仿宋_GB2312" w:cs="仿宋_GB2312"/>
          <w:kern w:val="2"/>
          <w:sz w:val="32"/>
          <w:szCs w:val="32"/>
          <w:lang w:val="en-US" w:eastAsia="zh-CN" w:bidi="ar-SA"/>
        </w:rPr>
        <w:t>财政为计划生育特殊家庭购买综合保险能有效地为这些家庭解减轻一些实际困难，在一定程度上增强了抗风险的能力，让这些家庭感受到政府对他们的关怀。建议将此项目作为重点项目长期开展下去。</w:t>
      </w:r>
    </w:p>
    <w:p>
      <w:pPr>
        <w:pStyle w:val="4"/>
        <w:widowControl/>
        <w:wordWrap/>
        <w:adjustRightInd/>
        <w:snapToGrid/>
        <w:spacing w:before="0" w:beforeAutospacing="0" w:after="0" w:afterAutospacing="0" w:line="560" w:lineRule="exact"/>
        <w:ind w:left="0" w:leftChars="0" w:right="11" w:firstLine="88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（三）扩大计生特殊家庭住院护理补贴范围。</w:t>
      </w:r>
      <w:r>
        <w:rPr>
          <w:rFonts w:hint="eastAsia" w:ascii="仿宋_GB2312" w:hAnsi="仿宋_GB2312" w:eastAsia="仿宋_GB2312" w:cs="仿宋_GB2312"/>
          <w:kern w:val="2"/>
          <w:sz w:val="32"/>
          <w:szCs w:val="32"/>
          <w:lang w:val="en-US" w:eastAsia="zh-CN" w:bidi="ar-SA"/>
        </w:rPr>
        <w:t xml:space="preserve">让因其它疾病住院导致生活困难的计生特殊家庭也能享受省级资金补贴。    </w:t>
      </w:r>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bookmarkStart w:id="0" w:name="_GoBack"/>
      <w:bookmarkEnd w:id="0"/>
    </w:p>
    <w:p>
      <w:pPr>
        <w:pStyle w:val="4"/>
        <w:widowControl/>
        <w:wordWrap/>
        <w:adjustRightInd/>
        <w:snapToGrid/>
        <w:spacing w:before="0" w:beforeAutospacing="0" w:after="0" w:afterAutospacing="0" w:line="560" w:lineRule="exact"/>
        <w:ind w:left="0" w:leftChars="0" w:right="11" w:firstLine="880" w:firstLineChars="200"/>
        <w:textAlignment w:val="auto"/>
        <w:outlineLvl w:val="9"/>
        <w:rPr>
          <w:rFonts w:hint="eastAsia" w:ascii="仿宋_GB2312" w:hAnsi="仿宋_GB2312" w:eastAsia="仿宋_GB2312" w:cs="仿宋_GB2312"/>
          <w:kern w:val="2"/>
          <w:sz w:val="32"/>
          <w:szCs w:val="32"/>
          <w:lang w:val="en-US" w:eastAsia="zh-CN" w:bidi="ar-SA"/>
        </w:rPr>
      </w:pPr>
    </w:p>
    <w:p>
      <w:pPr>
        <w:wordWrap/>
        <w:adjustRightInd/>
        <w:snapToGrid/>
        <w:spacing w:beforeLines="50" w:after="0" w:line="560" w:lineRule="exact"/>
        <w:ind w:left="0" w:leftChars="0" w:right="311" w:firstLine="880" w:firstLineChars="20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道县计划生育协会</w:t>
      </w:r>
    </w:p>
    <w:p>
      <w:pPr>
        <w:wordWrap/>
        <w:adjustRightInd/>
        <w:snapToGrid/>
        <w:spacing w:beforeLines="50" w:after="0" w:line="560" w:lineRule="exact"/>
        <w:ind w:left="0" w:leftChars="0" w:right="11" w:firstLine="880" w:firstLineChars="20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2022年6月8日</w:t>
      </w:r>
    </w:p>
    <w:p>
      <w:pPr>
        <w:wordWrap/>
        <w:adjustRightInd/>
        <w:snapToGrid/>
        <w:spacing w:beforeLines="50" w:after="0" w:line="560" w:lineRule="exact"/>
        <w:ind w:left="0" w:leftChars="0" w:right="11" w:firstLine="880" w:firstLineChars="200"/>
        <w:jc w:val="center"/>
        <w:textAlignment w:val="auto"/>
        <w:outlineLvl w:val="9"/>
        <w:rPr>
          <w:rFonts w:hint="eastAsia" w:ascii="仿宋_GB2312" w:hAnsi="仿宋_GB2312" w:eastAsia="仿宋_GB2312" w:cs="仿宋_GB2312"/>
          <w:kern w:val="2"/>
          <w:sz w:val="32"/>
          <w:szCs w:val="32"/>
          <w:lang w:val="en-US" w:eastAsia="zh-CN" w:bidi="ar-SA"/>
        </w:rPr>
      </w:pPr>
    </w:p>
    <w:p>
      <w:pPr>
        <w:wordWrap/>
        <w:adjustRightInd/>
        <w:snapToGrid/>
        <w:spacing w:beforeLines="50" w:after="0" w:line="560" w:lineRule="exact"/>
        <w:ind w:left="0" w:leftChars="0" w:right="11" w:firstLine="880" w:firstLineChars="200"/>
        <w:jc w:val="center"/>
        <w:textAlignment w:val="auto"/>
        <w:outlineLvl w:val="9"/>
        <w:rPr>
          <w:rFonts w:hint="eastAsia" w:ascii="仿宋_GB2312" w:hAnsi="仿宋_GB2312" w:eastAsia="仿宋_GB2312" w:cs="仿宋_GB2312"/>
          <w:kern w:val="2"/>
          <w:sz w:val="32"/>
          <w:szCs w:val="32"/>
          <w:lang w:val="en-US" w:eastAsia="zh-CN" w:bidi="ar-SA"/>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6">
    <w:name w:val="List Paragraph"/>
    <w:basedOn w:val="1"/>
    <w:qFormat/>
    <w:uiPriority w:val="34"/>
    <w:pPr>
      <w:ind w:firstLine="420" w:firstLineChars="200"/>
    </w:pPr>
  </w:style>
  <w:style w:type="character" w:customStyle="1" w:styleId="7">
    <w:name w:val="页眉 Char Char"/>
    <w:basedOn w:val="5"/>
    <w:link w:val="3"/>
    <w:uiPriority w:val="99"/>
    <w:rPr>
      <w:rFonts w:ascii="Times New Roman" w:hAnsi="Times New Roman" w:eastAsia="宋体" w:cs="Times New Roman"/>
      <w:kern w:val="2"/>
      <w:sz w:val="18"/>
      <w:szCs w:val="18"/>
    </w:rPr>
  </w:style>
  <w:style w:type="character" w:customStyle="1" w:styleId="8">
    <w:name w:val="页脚 Char Char"/>
    <w:basedOn w:val="5"/>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2108</Words>
  <Characters>2231</Characters>
  <Lines>39</Lines>
  <Paragraphs>11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2019-11-12T03:23:00Z</dcterms:created>
  <dc:creator>Administrator</dc:creator>
  <cp:lastModifiedBy>Administrator</cp:lastModifiedBy>
  <cp:lastPrinted>2022-06-09T01:14:32Z</cp:lastPrinted>
  <dcterms:modified xsi:type="dcterms:W3CDTF">2022-06-09T01:14:44Z</dcterms:modified>
  <dc:title>2021年道县计划生育协会部门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28F65651044C48078BD328E0EAE16EEA</vt:lpwstr>
  </property>
</Properties>
</file>