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cs="Times New Roman"/>
          <w:sz w:val="56"/>
          <w:szCs w:val="56"/>
        </w:rPr>
      </w:pPr>
    </w:p>
    <w:p>
      <w:pPr>
        <w:pStyle w:val="13"/>
        <w:jc w:val="center"/>
        <w:rPr>
          <w:rFonts w:cs="Times New Roman"/>
          <w:sz w:val="56"/>
          <w:szCs w:val="56"/>
        </w:rPr>
      </w:pPr>
    </w:p>
    <w:p>
      <w:pPr>
        <w:pStyle w:val="13"/>
        <w:jc w:val="center"/>
        <w:rPr>
          <w:rFonts w:cs="Times New Roman"/>
          <w:sz w:val="84"/>
          <w:szCs w:val="84"/>
        </w:rPr>
      </w:pPr>
    </w:p>
    <w:p>
      <w:pPr>
        <w:pStyle w:val="13"/>
        <w:jc w:val="center"/>
        <w:rPr>
          <w:rFonts w:cs="Times New Roman"/>
          <w:sz w:val="84"/>
          <w:szCs w:val="84"/>
        </w:rPr>
      </w:pPr>
    </w:p>
    <w:p>
      <w:pPr>
        <w:pStyle w:val="13"/>
        <w:jc w:val="center"/>
        <w:rPr>
          <w:rFonts w:cs="Times New Roman"/>
          <w:sz w:val="84"/>
          <w:szCs w:val="84"/>
        </w:rPr>
      </w:pPr>
      <w:r>
        <w:rPr>
          <w:sz w:val="84"/>
          <w:szCs w:val="84"/>
        </w:rPr>
        <w:t>2021</w:t>
      </w:r>
      <w:r>
        <w:rPr>
          <w:rFonts w:hint="eastAsia"/>
          <w:sz w:val="84"/>
          <w:szCs w:val="84"/>
        </w:rPr>
        <w:t>年度</w:t>
      </w:r>
    </w:p>
    <w:p>
      <w:pPr>
        <w:pStyle w:val="13"/>
        <w:jc w:val="center"/>
        <w:rPr>
          <w:rFonts w:cs="Times New Roman"/>
          <w:sz w:val="84"/>
          <w:szCs w:val="84"/>
        </w:rPr>
      </w:pPr>
      <w:r>
        <w:rPr>
          <w:rFonts w:hint="eastAsia"/>
          <w:sz w:val="84"/>
          <w:szCs w:val="84"/>
        </w:rPr>
        <w:t>道县应急管理局决算</w:t>
      </w:r>
    </w:p>
    <w:p>
      <w:pPr>
        <w:pStyle w:val="13"/>
        <w:jc w:val="center"/>
        <w:rPr>
          <w:rFonts w:cs="Times New Roman"/>
          <w:sz w:val="56"/>
          <w:szCs w:val="56"/>
        </w:rPr>
      </w:pPr>
    </w:p>
    <w:p>
      <w:pPr>
        <w:pStyle w:val="13"/>
        <w:jc w:val="center"/>
        <w:rPr>
          <w:rFonts w:cs="Times New Roman"/>
          <w:sz w:val="56"/>
          <w:szCs w:val="56"/>
        </w:rPr>
      </w:pPr>
    </w:p>
    <w:p>
      <w:pPr>
        <w:pStyle w:val="13"/>
        <w:jc w:val="center"/>
        <w:rPr>
          <w:rFonts w:cs="Times New Roman"/>
          <w:sz w:val="56"/>
          <w:szCs w:val="56"/>
        </w:rPr>
      </w:pPr>
    </w:p>
    <w:p>
      <w:pPr>
        <w:pStyle w:val="13"/>
        <w:jc w:val="center"/>
        <w:rPr>
          <w:rFonts w:cs="Times New Roman"/>
          <w:sz w:val="56"/>
          <w:szCs w:val="56"/>
        </w:rPr>
      </w:pPr>
    </w:p>
    <w:p>
      <w:pPr>
        <w:pStyle w:val="13"/>
        <w:jc w:val="center"/>
        <w:rPr>
          <w:rFonts w:cs="Times New Roman"/>
          <w:sz w:val="32"/>
          <w:szCs w:val="32"/>
        </w:rPr>
      </w:pPr>
    </w:p>
    <w:p>
      <w:pPr>
        <w:pStyle w:val="13"/>
        <w:jc w:val="center"/>
        <w:rPr>
          <w:rFonts w:cs="Times New Roman"/>
          <w:sz w:val="32"/>
          <w:szCs w:val="32"/>
        </w:rPr>
      </w:pPr>
    </w:p>
    <w:p>
      <w:pPr>
        <w:pStyle w:val="13"/>
        <w:jc w:val="center"/>
        <w:rPr>
          <w:rFonts w:cs="Times New Roman"/>
          <w:sz w:val="32"/>
          <w:szCs w:val="32"/>
        </w:rPr>
      </w:pPr>
    </w:p>
    <w:p>
      <w:pPr>
        <w:pStyle w:val="13"/>
        <w:jc w:val="center"/>
        <w:rPr>
          <w:rFonts w:cs="Times New Roman"/>
          <w:sz w:val="32"/>
          <w:szCs w:val="32"/>
        </w:rPr>
      </w:pPr>
    </w:p>
    <w:p>
      <w:pPr>
        <w:pStyle w:val="13"/>
        <w:jc w:val="center"/>
        <w:rPr>
          <w:rFonts w:cs="Times New Roman"/>
          <w:sz w:val="32"/>
          <w:szCs w:val="32"/>
        </w:rPr>
      </w:pPr>
    </w:p>
    <w:p>
      <w:pPr>
        <w:pStyle w:val="13"/>
        <w:spacing w:line="540" w:lineRule="exact"/>
        <w:jc w:val="center"/>
        <w:rPr>
          <w:rFonts w:cs="Times New Roman"/>
          <w:sz w:val="56"/>
          <w:szCs w:val="56"/>
        </w:rPr>
      </w:pPr>
    </w:p>
    <w:p>
      <w:pPr>
        <w:pStyle w:val="13"/>
        <w:spacing w:line="500" w:lineRule="exact"/>
        <w:jc w:val="center"/>
        <w:rPr>
          <w:rFonts w:cs="Times New Roman"/>
          <w:b/>
          <w:bCs/>
          <w:sz w:val="36"/>
          <w:szCs w:val="36"/>
        </w:rPr>
      </w:pPr>
    </w:p>
    <w:p>
      <w:pPr>
        <w:pStyle w:val="13"/>
        <w:spacing w:line="500" w:lineRule="exact"/>
        <w:jc w:val="center"/>
        <w:rPr>
          <w:rFonts w:cs="Times New Roman"/>
          <w:b/>
          <w:bCs/>
          <w:sz w:val="36"/>
          <w:szCs w:val="36"/>
        </w:rPr>
      </w:pPr>
    </w:p>
    <w:p>
      <w:pPr>
        <w:pStyle w:val="13"/>
        <w:spacing w:line="500" w:lineRule="exact"/>
        <w:jc w:val="center"/>
        <w:rPr>
          <w:rFonts w:cs="Times New Roman"/>
          <w:b/>
          <w:bCs/>
          <w:sz w:val="36"/>
          <w:szCs w:val="36"/>
        </w:rPr>
      </w:pPr>
      <w:r>
        <w:rPr>
          <w:rFonts w:hint="eastAsia"/>
          <w:b/>
          <w:bCs/>
          <w:sz w:val="36"/>
          <w:szCs w:val="36"/>
        </w:rPr>
        <w:t>目录</w:t>
      </w:r>
    </w:p>
    <w:p>
      <w:pPr>
        <w:pStyle w:val="13"/>
        <w:spacing w:line="500" w:lineRule="exact"/>
        <w:rPr>
          <w:rFonts w:ascii="仿宋_GB2312" w:eastAsia="仿宋_GB2312" w:cs="Times New Roman"/>
          <w:b/>
          <w:bCs/>
          <w:sz w:val="28"/>
          <w:szCs w:val="28"/>
        </w:rPr>
      </w:pPr>
      <w:r>
        <w:rPr>
          <w:rFonts w:hint="eastAsia"/>
          <w:b/>
          <w:bCs/>
          <w:sz w:val="28"/>
          <w:szCs w:val="28"/>
        </w:rPr>
        <w:t>第一部分道县应急管理局概况</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一、部门职责</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二、机构设置</w:t>
      </w:r>
    </w:p>
    <w:p>
      <w:pPr>
        <w:pStyle w:val="13"/>
        <w:spacing w:line="500" w:lineRule="exact"/>
        <w:rPr>
          <w:rFonts w:ascii="仿宋_GB2312" w:eastAsia="仿宋_GB2312" w:cs="Times New Roman"/>
          <w:b/>
          <w:bCs/>
          <w:sz w:val="28"/>
          <w:szCs w:val="28"/>
        </w:rPr>
      </w:pPr>
      <w:r>
        <w:rPr>
          <w:rFonts w:hint="eastAsia" w:hAnsi="仿宋_GB2312"/>
          <w:b/>
          <w:bCs/>
          <w:sz w:val="28"/>
          <w:szCs w:val="28"/>
        </w:rPr>
        <w:t>第二部分</w:t>
      </w:r>
      <w:r>
        <w:rPr>
          <w:rFonts w:hAnsi="仿宋_GB2312"/>
          <w:b/>
          <w:bCs/>
          <w:sz w:val="28"/>
          <w:szCs w:val="28"/>
        </w:rPr>
        <w:t>2021</w:t>
      </w:r>
      <w:r>
        <w:rPr>
          <w:rFonts w:hint="eastAsia" w:hAnsi="仿宋_GB2312"/>
          <w:b/>
          <w:bCs/>
          <w:sz w:val="28"/>
          <w:szCs w:val="28"/>
        </w:rPr>
        <w:t>年度部门决算表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一、收入支出决算总表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二、收入决算表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三、支出决算表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四、财政拨款收入支出决算总表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五、一般公共预算财政拨款支出决算表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六、一般公共预算财政拨款基本支出决算明细表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七、一般公共预算财政拨款“三公”经费支出决算表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八、政府性基金预算财政拨款收入支出决算表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九、国有资本经营预算财政拨款支出决算表</w:t>
      </w:r>
    </w:p>
    <w:p>
      <w:pPr>
        <w:pStyle w:val="13"/>
        <w:spacing w:line="500" w:lineRule="exact"/>
        <w:rPr>
          <w:rFonts w:ascii="仿宋_GB2312" w:eastAsia="仿宋_GB2312" w:cs="Times New Roman"/>
          <w:b/>
          <w:bCs/>
          <w:sz w:val="28"/>
          <w:szCs w:val="28"/>
        </w:rPr>
      </w:pPr>
      <w:r>
        <w:rPr>
          <w:rFonts w:hint="eastAsia" w:hAnsi="仿宋_GB2312"/>
          <w:b/>
          <w:bCs/>
          <w:sz w:val="28"/>
          <w:szCs w:val="28"/>
        </w:rPr>
        <w:t>第三部分</w:t>
      </w:r>
      <w:r>
        <w:rPr>
          <w:rFonts w:hAnsi="仿宋_GB2312"/>
          <w:b/>
          <w:bCs/>
          <w:sz w:val="28"/>
          <w:szCs w:val="28"/>
        </w:rPr>
        <w:t>2021</w:t>
      </w:r>
      <w:r>
        <w:rPr>
          <w:rFonts w:hint="eastAsia" w:hAnsi="仿宋_GB2312"/>
          <w:b/>
          <w:bCs/>
          <w:sz w:val="28"/>
          <w:szCs w:val="28"/>
        </w:rPr>
        <w:t>年度部门决算情况说明</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一、收入支出决算总体情况说明</w:t>
      </w:r>
    </w:p>
    <w:p>
      <w:pPr>
        <w:spacing w:line="500" w:lineRule="exact"/>
        <w:ind w:firstLine="700" w:firstLineChars="250"/>
        <w:jc w:val="left"/>
        <w:rPr>
          <w:rFonts w:ascii="仿宋_GB2312" w:eastAsia="仿宋_GB2312" w:cs="Times New Roman"/>
          <w:sz w:val="28"/>
          <w:szCs w:val="28"/>
        </w:rPr>
      </w:pPr>
      <w:r>
        <w:rPr>
          <w:rFonts w:hint="eastAsia" w:ascii="仿宋_GB2312" w:hAnsi="仿宋_GB2312" w:cs="宋体"/>
          <w:sz w:val="28"/>
          <w:szCs w:val="28"/>
        </w:rPr>
        <w:t>二、收入决算情况说明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九、机关运行经费支出说明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十一、政府采购支出说明</w:t>
      </w:r>
    </w:p>
    <w:p>
      <w:pPr>
        <w:pStyle w:val="13"/>
        <w:spacing w:line="500" w:lineRule="exact"/>
        <w:ind w:firstLine="700" w:firstLineChars="250"/>
        <w:rPr>
          <w:rFonts w:ascii="仿宋_GB2312" w:hAnsi="仿宋_GB2312" w:eastAsia="宋体" w:cs="Times New Roman"/>
          <w:sz w:val="28"/>
          <w:szCs w:val="28"/>
        </w:rPr>
      </w:pPr>
      <w:r>
        <w:rPr>
          <w:rFonts w:hint="eastAsia" w:ascii="仿宋_GB2312" w:hAnsi="仿宋_GB2312" w:eastAsia="宋体" w:cs="宋体"/>
          <w:sz w:val="28"/>
          <w:szCs w:val="28"/>
        </w:rPr>
        <w:t>十二、国有资产占用情况说明</w:t>
      </w:r>
    </w:p>
    <w:p>
      <w:pPr>
        <w:pStyle w:val="13"/>
        <w:spacing w:line="500" w:lineRule="exact"/>
        <w:ind w:firstLine="700" w:firstLineChars="250"/>
        <w:rPr>
          <w:rFonts w:ascii="仿宋_GB2312" w:hAnsi="仿宋_GB2312" w:eastAsia="宋体" w:cs="Times New Roman"/>
          <w:sz w:val="28"/>
          <w:szCs w:val="28"/>
        </w:rPr>
      </w:pPr>
      <w:r>
        <w:rPr>
          <w:rFonts w:hint="eastAsia" w:ascii="仿宋_GB2312" w:hAnsi="仿宋_GB2312" w:eastAsia="宋体" w:cs="宋体"/>
          <w:sz w:val="28"/>
          <w:szCs w:val="28"/>
        </w:rPr>
        <w:t>十三、</w:t>
      </w:r>
      <w:r>
        <w:rPr>
          <w:rFonts w:ascii="宋体" w:hAnsi="宋体" w:eastAsia="宋体" w:cs="宋体"/>
          <w:sz w:val="28"/>
          <w:szCs w:val="28"/>
        </w:rPr>
        <w:t>2021</w:t>
      </w:r>
      <w:r>
        <w:rPr>
          <w:rFonts w:hint="eastAsia" w:ascii="宋体" w:hAnsi="宋体" w:eastAsia="宋体" w:cs="宋体"/>
          <w:sz w:val="28"/>
          <w:szCs w:val="28"/>
        </w:rPr>
        <w:t>年</w:t>
      </w:r>
      <w:r>
        <w:rPr>
          <w:rFonts w:hint="eastAsia" w:ascii="仿宋_GB2312" w:hAnsi="仿宋_GB2312" w:eastAsia="宋体" w:cs="宋体"/>
          <w:sz w:val="28"/>
          <w:szCs w:val="28"/>
        </w:rPr>
        <w:t>度预算绩效情况说明</w:t>
      </w:r>
    </w:p>
    <w:p>
      <w:pPr>
        <w:autoSpaceDE w:val="0"/>
        <w:autoSpaceDN w:val="0"/>
        <w:adjustRightInd w:val="0"/>
        <w:spacing w:line="500" w:lineRule="exact"/>
        <w:jc w:val="left"/>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第四部分名词解释</w:t>
      </w:r>
    </w:p>
    <w:p>
      <w:pPr>
        <w:autoSpaceDE w:val="0"/>
        <w:autoSpaceDN w:val="0"/>
        <w:adjustRightInd w:val="0"/>
        <w:spacing w:line="500" w:lineRule="exact"/>
        <w:jc w:val="left"/>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第五部分附件</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rPr>
          <w:rFonts w:cs="Times New Roman"/>
          <w:sz w:val="72"/>
          <w:szCs w:val="72"/>
        </w:rPr>
      </w:pPr>
    </w:p>
    <w:p>
      <w:pPr>
        <w:pStyle w:val="13"/>
        <w:jc w:val="center"/>
        <w:rPr>
          <w:rFonts w:cs="Times New Roman"/>
          <w:sz w:val="84"/>
          <w:szCs w:val="84"/>
        </w:rPr>
      </w:pPr>
      <w:r>
        <w:rPr>
          <w:rFonts w:hint="eastAsia"/>
          <w:sz w:val="84"/>
          <w:szCs w:val="84"/>
        </w:rPr>
        <w:t>第一部分</w:t>
      </w:r>
    </w:p>
    <w:p>
      <w:pPr>
        <w:pStyle w:val="13"/>
        <w:jc w:val="center"/>
        <w:rPr>
          <w:rFonts w:cs="Times New Roman"/>
          <w:sz w:val="84"/>
          <w:szCs w:val="84"/>
        </w:rPr>
      </w:pPr>
    </w:p>
    <w:p>
      <w:pPr>
        <w:pStyle w:val="13"/>
        <w:jc w:val="center"/>
        <w:rPr>
          <w:rFonts w:cs="Times New Roman"/>
          <w:sz w:val="84"/>
          <w:szCs w:val="84"/>
        </w:rPr>
      </w:pPr>
      <w:r>
        <w:rPr>
          <w:rFonts w:hint="eastAsia"/>
          <w:sz w:val="84"/>
          <w:szCs w:val="84"/>
        </w:rPr>
        <w:t>道县应急管理局概况</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pStyle w:val="14"/>
        <w:ind w:left="720" w:firstLine="0" w:firstLineChars="0"/>
        <w:jc w:val="left"/>
        <w:rPr>
          <w:rFonts w:ascii="黑体" w:hAnsi="黑体" w:eastAsia="黑体" w:cs="Times New Roman"/>
          <w:sz w:val="32"/>
          <w:szCs w:val="32"/>
        </w:rPr>
      </w:pPr>
    </w:p>
    <w:p>
      <w:pPr>
        <w:pStyle w:val="14"/>
        <w:ind w:left="720" w:firstLine="0" w:firstLineChars="0"/>
        <w:jc w:val="left"/>
        <w:rPr>
          <w:rFonts w:ascii="黑体" w:hAnsi="黑体" w:eastAsia="黑体" w:cs="Times New Roman"/>
          <w:sz w:val="32"/>
          <w:szCs w:val="32"/>
        </w:rPr>
      </w:pPr>
    </w:p>
    <w:p>
      <w:pPr>
        <w:pStyle w:val="14"/>
        <w:ind w:left="720" w:firstLine="0" w:firstLineChars="0"/>
        <w:jc w:val="left"/>
        <w:rPr>
          <w:rFonts w:ascii="黑体" w:hAnsi="黑体" w:eastAsia="黑体" w:cs="Times New Roman"/>
          <w:sz w:val="32"/>
          <w:szCs w:val="32"/>
        </w:rPr>
      </w:pPr>
    </w:p>
    <w:p>
      <w:pPr>
        <w:pStyle w:val="14"/>
        <w:ind w:firstLine="0" w:firstLineChars="0"/>
        <w:jc w:val="left"/>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一、部门职责</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1</w:t>
      </w:r>
      <w:r>
        <w:rPr>
          <w:rFonts w:hint="eastAsia"/>
          <w:sz w:val="32"/>
          <w:szCs w:val="32"/>
        </w:rPr>
        <w:t>、负责应急管理工作，指导全县各级各部门应对安全生产类、自然灾害类等突发事件和综合防灾减灾救灾工作。负责安全生产综合监督管理和工矿商贸行业安全生产监督管理工作。</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2</w:t>
      </w:r>
      <w:r>
        <w:rPr>
          <w:rFonts w:hint="eastAsia"/>
          <w:sz w:val="32"/>
          <w:szCs w:val="32"/>
        </w:rPr>
        <w:t>、贯彻实施相关法律法规、部门规章、规程和标准，组织编制全县应急体系建设、安全生产和综合防灾减灾规划，监督实施相关政策、规程和标准。</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3</w:t>
      </w:r>
      <w:r>
        <w:rPr>
          <w:rFonts w:hint="eastAsia"/>
          <w:sz w:val="32"/>
          <w:szCs w:val="32"/>
        </w:rPr>
        <w:t>、指导应急预案体系建设，建立完善事故灾难和自然灾害分级应对制度，组织编制道县总体应急预案和安全生产类、自然灾害类专项预案，综合协调应急预案衔接工作，组织开展预案演练，推动应急避难设施建设。</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4</w:t>
      </w:r>
      <w:r>
        <w:rPr>
          <w:rFonts w:hint="eastAsia"/>
          <w:sz w:val="32"/>
          <w:szCs w:val="32"/>
        </w:rPr>
        <w:t>、牵头推进全县统一的应急管理信息系统建设，负责信息传输渠道的规划和布局，建立监测预警和灾情报告制度，健全自然灾害信息资源获取和共享机制，依法统一发布灾情。</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5</w:t>
      </w:r>
      <w:r>
        <w:rPr>
          <w:rFonts w:hint="eastAsia"/>
          <w:sz w:val="32"/>
          <w:szCs w:val="32"/>
        </w:rPr>
        <w:t>、组织指导协调安全生产类、自然灾害类等突发事件应急救援，承担县应对灾害指挥部工作，综合研判突发事件发展态势并提出应对建议，协助县委、县政府指定的负责同志组织灾害应急处置工作。</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6</w:t>
      </w:r>
      <w:r>
        <w:rPr>
          <w:rFonts w:hint="eastAsia"/>
          <w:sz w:val="32"/>
          <w:szCs w:val="32"/>
        </w:rPr>
        <w:t>、统一协调指挥各类应急专业队伍，建立应急协调联动机制，推进指挥平台对接，负责做好解放军和武警部队参与应急救援相关衔接工作。</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7</w:t>
      </w:r>
      <w:r>
        <w:rPr>
          <w:rFonts w:hint="eastAsia"/>
          <w:sz w:val="32"/>
          <w:szCs w:val="32"/>
        </w:rPr>
        <w:t>、统筹全县应急救援力量建设，负责消防、森林和草原火灾扑救、抗洪抢险、地震和地质灾害救援、生产安全事故救援等专业应急救援力量建设，依权限做好驻道综合性应急救援队伍建设的相关工作，指导地方及社会应急救援力量建设。</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8</w:t>
      </w:r>
      <w:r>
        <w:rPr>
          <w:rFonts w:hint="eastAsia"/>
          <w:sz w:val="32"/>
          <w:szCs w:val="32"/>
        </w:rPr>
        <w:t>、负责全县消防管理有关工作，指导全县消防监督、火灾预防、火灾扑救等工作。</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9</w:t>
      </w:r>
      <w:r>
        <w:rPr>
          <w:rFonts w:hint="eastAsia"/>
          <w:sz w:val="32"/>
          <w:szCs w:val="32"/>
        </w:rPr>
        <w:t>、指导协调全县森林和草原火灾、水旱灾害、地震和地质灾害等防治工作，负责自然灾害综合监测预警工作，指导开展自然灾害综合风险评估工作。</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10</w:t>
      </w:r>
      <w:r>
        <w:rPr>
          <w:rFonts w:hint="eastAsia"/>
          <w:sz w:val="32"/>
          <w:szCs w:val="32"/>
        </w:rPr>
        <w:t>、组织协调灾害救助工作，组织指导灾情核查、损失评估、救灾捐赠工作，按权限管理、分配中央、省、市下达和县级救灾款物并监督使用。</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11</w:t>
      </w:r>
      <w:r>
        <w:rPr>
          <w:rFonts w:hint="eastAsia"/>
          <w:sz w:val="32"/>
          <w:szCs w:val="32"/>
        </w:rPr>
        <w:t>、依法行使安全生产综合监督管理职权，指导协调、监督检查县政府有关部门和各乡镇场（街道）安全生产工作，组织开展安全生产巡查、考核工作。</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12</w:t>
      </w:r>
      <w:r>
        <w:rPr>
          <w:rFonts w:hint="eastAsia"/>
          <w:sz w:val="32"/>
          <w:szCs w:val="32"/>
        </w:rPr>
        <w:t>、按照分级、属地原则，依法监督检查工矿商贸生产经营单位贯彻执行安全生产法律法规情况及其安全生产条件和有关设备（特种设备除外）、材料、劳动防护用品的安全生产管理工作。负责监督管理工矿商贸行业县属企业安全生产工作。依法组织和指导监督实施安全生产准入制度。负责危险化学品安全监督管理综合工作和烟花爆竹安全生产监督管理工作。</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13</w:t>
      </w:r>
      <w:r>
        <w:rPr>
          <w:rFonts w:hint="eastAsia"/>
          <w:sz w:val="32"/>
          <w:szCs w:val="32"/>
        </w:rPr>
        <w:t>、依法组织指导生产安全事故调查处理，监督事故查处和责任追究落实情况。组织开展自然灾害类突发事件的调查评估工作。</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14</w:t>
      </w:r>
      <w:r>
        <w:rPr>
          <w:rFonts w:hint="eastAsia"/>
          <w:sz w:val="32"/>
          <w:szCs w:val="32"/>
        </w:rPr>
        <w:t>、依程序开展应急管理对外交流与合作，组织参与安全生产类、自然灾害类等突发事件的对外救援工作。</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15</w:t>
      </w:r>
      <w:r>
        <w:rPr>
          <w:rFonts w:hint="eastAsia"/>
          <w:sz w:val="32"/>
          <w:szCs w:val="32"/>
        </w:rPr>
        <w:t>、制定全县应急物资储备和应急救援装备规划并组织实施，会同县发改局等部门建立健全应急物资信息平台和调拨制度，在救灾时统一调度。</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16</w:t>
      </w:r>
      <w:r>
        <w:rPr>
          <w:rFonts w:hint="eastAsia"/>
          <w:sz w:val="32"/>
          <w:szCs w:val="32"/>
        </w:rPr>
        <w:t>、负责应急管理、安全生产宣传教育和培训工作，组织指导应急管理、安全生产的科学技术研究、推广应用和信息化建设工作。</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17</w:t>
      </w:r>
      <w:r>
        <w:rPr>
          <w:rFonts w:hint="eastAsia"/>
          <w:sz w:val="32"/>
          <w:szCs w:val="32"/>
        </w:rPr>
        <w:t>、承担县防汛抗旱指挥部日常工作，协调县防汛抗旱指挥部成员单位的相关工作，组织执行上级防汛抗旱指挥部和县防汛抗旱指挥部的指示、命令。</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18</w:t>
      </w:r>
      <w:r>
        <w:rPr>
          <w:rFonts w:hint="eastAsia"/>
          <w:sz w:val="32"/>
          <w:szCs w:val="32"/>
        </w:rPr>
        <w:t>、完成县委、县政府交办的其他任务。</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19</w:t>
      </w:r>
      <w:r>
        <w:rPr>
          <w:rFonts w:hint="eastAsia"/>
          <w:sz w:val="32"/>
          <w:szCs w:val="32"/>
        </w:rPr>
        <w:t>、职能转变。县应急局应加强、优化、统筹全县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防范化解重大安全风险，有效遏制安全事故发生。</w:t>
      </w:r>
    </w:p>
    <w:p>
      <w:pPr>
        <w:widowControl/>
        <w:spacing w:line="560" w:lineRule="exact"/>
        <w:ind w:firstLine="640" w:firstLineChars="200"/>
        <w:rPr>
          <w:rFonts w:ascii="宋体" w:cs="Times New Roman"/>
          <w:kern w:val="0"/>
          <w:sz w:val="32"/>
          <w:szCs w:val="32"/>
        </w:rPr>
      </w:pPr>
      <w:r>
        <w:rPr>
          <w:rFonts w:ascii="宋体" w:hAnsi="宋体" w:cs="宋体"/>
          <w:kern w:val="0"/>
          <w:sz w:val="32"/>
          <w:szCs w:val="32"/>
        </w:rPr>
        <w:t>20</w:t>
      </w:r>
      <w:r>
        <w:rPr>
          <w:rFonts w:hint="eastAsia" w:ascii="宋体" w:hAnsi="宋体" w:cs="宋体"/>
          <w:kern w:val="0"/>
          <w:sz w:val="32"/>
          <w:szCs w:val="32"/>
        </w:rPr>
        <w:t>、有关职责分工。</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1.</w:t>
      </w:r>
      <w:r>
        <w:rPr>
          <w:rFonts w:hint="eastAsia"/>
          <w:sz w:val="32"/>
          <w:szCs w:val="32"/>
        </w:rPr>
        <w:t>与县自然资源局、县水利局、县林业局、县水文局等部门在自然灾害防救方面的职责分工。</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rFonts w:hint="eastAsia"/>
          <w:sz w:val="32"/>
          <w:szCs w:val="32"/>
        </w:rPr>
        <w:t>县应急局负责统一组织、统一指挥、统一协调自然灾害类突发事件应急救援，统筹综合防灾减灾救灾工作。各行业领域主管部门依法承担相关行业领域的灾害监测、预警、防治及保障工作。</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rFonts w:hint="eastAsia"/>
          <w:sz w:val="32"/>
          <w:szCs w:val="32"/>
        </w:rPr>
        <w:t>（</w:t>
      </w:r>
      <w:r>
        <w:rPr>
          <w:sz w:val="32"/>
          <w:szCs w:val="32"/>
        </w:rPr>
        <w:t>1</w:t>
      </w:r>
      <w:r>
        <w:rPr>
          <w:rFonts w:hint="eastAsia"/>
          <w:sz w:val="32"/>
          <w:szCs w:val="32"/>
        </w:rPr>
        <w:t>）县应急局负责组织编制全县总体应急预案和安全生产类、自然灾害类专项预案，综合协调应急预案衔接工作，组织开展预案演练。按照分级负责的原则，指导自然灾害类应急救援；组织协调较大灾害应急救援工作，并按权限作出决定；承担县应对灾害指挥部工作，协助县委、县政府指定的负责同志组织灾害应急处置工作。组织编制综合防灾减灾规划，指导协调相关部门森林和草原火灾、水旱灾害、地震和地质灾害等防治工作；会同县自然资源局、县水利局、县气象局、县林业局、县水文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rFonts w:hint="eastAsia"/>
          <w:sz w:val="32"/>
          <w:szCs w:val="32"/>
        </w:rPr>
        <w:t>（</w:t>
      </w:r>
      <w:r>
        <w:rPr>
          <w:sz w:val="32"/>
          <w:szCs w:val="32"/>
        </w:rPr>
        <w:t>2</w:t>
      </w:r>
      <w:r>
        <w:rPr>
          <w:rFonts w:hint="eastAsia"/>
          <w:sz w:val="32"/>
          <w:szCs w:val="32"/>
        </w:rPr>
        <w:t>）县自然资源局负责落实综合防灾减灾规划相关要求，组织编制地质灾害防治规划和防护标准并指导实施；组织指导协调和监督地质灾害调查评价及隐患的普查、详查、排查；组织指导开展群测群防、专业监测和预报预警等工作，组织指导开展地质灾害工程治理工作；承担地质灾害应急救援的技术支撑工作。</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rFonts w:hint="eastAsia"/>
          <w:sz w:val="32"/>
          <w:szCs w:val="32"/>
        </w:rPr>
        <w:t>（</w:t>
      </w:r>
      <w:r>
        <w:rPr>
          <w:sz w:val="32"/>
          <w:szCs w:val="32"/>
        </w:rPr>
        <w:t>3</w:t>
      </w:r>
      <w:r>
        <w:rPr>
          <w:rFonts w:hint="eastAsia"/>
          <w:sz w:val="32"/>
          <w:szCs w:val="32"/>
        </w:rPr>
        <w:t>）县水利局负责落实综合防灾减灾规划相关要求，组织编制洪水干旱灾害防治规划和防护标准并指导实施；组织编制重要江河湖泊和重要水工程的防御洪水抗御旱灾调度和应急水量调度方案，按程序报批并组织实施；承担防御洪水应急抢险的技术支撑工作；承担台风防御期间重要水工程调度工作。</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rFonts w:hint="eastAsia"/>
          <w:sz w:val="32"/>
          <w:szCs w:val="32"/>
        </w:rPr>
        <w:t>（</w:t>
      </w:r>
      <w:r>
        <w:rPr>
          <w:sz w:val="32"/>
          <w:szCs w:val="32"/>
        </w:rPr>
        <w:t>4</w:t>
      </w:r>
      <w:r>
        <w:rPr>
          <w:rFonts w:hint="eastAsia"/>
          <w:sz w:val="32"/>
          <w:szCs w:val="32"/>
        </w:rPr>
        <w:t>）县林业局负责落实综合防灾减灾规划相关要求，组织编制森林和草原火灾防治规划和防护标准并组织指导实施；组织指导开展防火巡护、火源管理、防火设施建设等工作；组织指导国有林场林区开展防火宣传教育、监测预警、督促检查等工作。</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rFonts w:hint="eastAsia"/>
          <w:sz w:val="32"/>
          <w:szCs w:val="32"/>
        </w:rPr>
        <w:t>（</w:t>
      </w:r>
      <w:r>
        <w:rPr>
          <w:sz w:val="32"/>
          <w:szCs w:val="32"/>
        </w:rPr>
        <w:t>5</w:t>
      </w:r>
      <w:r>
        <w:rPr>
          <w:rFonts w:hint="eastAsia"/>
          <w:sz w:val="32"/>
          <w:szCs w:val="32"/>
        </w:rPr>
        <w:t>）县水文局负责承担水情旱情监测预警工作；协助县水利局编制重要江河湖泊和重要水工程的防御洪水抗御旱灾调度和应急水量调度方案；做好洪旱灾害重现期评估。</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rFonts w:hint="eastAsia"/>
          <w:sz w:val="32"/>
          <w:szCs w:val="32"/>
        </w:rPr>
        <w:t>（</w:t>
      </w:r>
      <w:r>
        <w:rPr>
          <w:sz w:val="32"/>
          <w:szCs w:val="32"/>
        </w:rPr>
        <w:t>6</w:t>
      </w:r>
      <w:r>
        <w:rPr>
          <w:rFonts w:hint="eastAsia"/>
          <w:sz w:val="32"/>
          <w:szCs w:val="32"/>
        </w:rPr>
        <w:t>）必要时，县自然资源局、县水利局、县林业局等部门可以提请县应急局，以县应急指挥机构名义部署相关防治工作。</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sz w:val="32"/>
          <w:szCs w:val="32"/>
        </w:rPr>
        <w:t>2</w:t>
      </w:r>
      <w:r>
        <w:rPr>
          <w:rFonts w:hint="eastAsia"/>
          <w:sz w:val="32"/>
          <w:szCs w:val="32"/>
        </w:rPr>
        <w:t>．与县发改局在救灾物资储备方面的职责分工。</w:t>
      </w:r>
    </w:p>
    <w:p>
      <w:pPr>
        <w:pStyle w:val="15"/>
        <w:shd w:val="clear" w:color="auto" w:fill="FFFFFF"/>
        <w:adjustRightInd w:val="0"/>
        <w:snapToGrid w:val="0"/>
        <w:spacing w:beforeAutospacing="0" w:afterAutospacing="0" w:line="560" w:lineRule="exact"/>
        <w:ind w:right="24" w:firstLine="480" w:firstLineChars="150"/>
        <w:jc w:val="both"/>
        <w:rPr>
          <w:rFonts w:cs="Times New Roman"/>
          <w:sz w:val="32"/>
          <w:szCs w:val="32"/>
        </w:rPr>
      </w:pPr>
      <w:r>
        <w:rPr>
          <w:rFonts w:hint="eastAsia"/>
          <w:sz w:val="32"/>
          <w:szCs w:val="32"/>
        </w:rPr>
        <w:t>（</w:t>
      </w:r>
      <w:r>
        <w:rPr>
          <w:sz w:val="32"/>
          <w:szCs w:val="32"/>
        </w:rPr>
        <w:t>1</w:t>
      </w:r>
      <w:r>
        <w:rPr>
          <w:rFonts w:hint="eastAsia"/>
          <w:sz w:val="32"/>
          <w:szCs w:val="32"/>
        </w:rPr>
        <w:t>）县应急局负责提出县级救灾物资的储备需求，负责按权限提出中央、省、市下达和县级救灾物资的动用决策，组织编制县级救灾物资储备规划、品种目录和标准，会同县发改局等部门确定年度购置计划，根据需要下达动用指令。</w:t>
      </w:r>
    </w:p>
    <w:p>
      <w:pPr>
        <w:pStyle w:val="15"/>
        <w:shd w:val="clear" w:color="auto" w:fill="FFFFFF"/>
        <w:adjustRightInd w:val="0"/>
        <w:snapToGrid w:val="0"/>
        <w:spacing w:beforeAutospacing="0" w:afterAutospacing="0" w:line="560" w:lineRule="exact"/>
        <w:ind w:right="24" w:firstLine="640" w:firstLineChars="200"/>
        <w:jc w:val="both"/>
        <w:rPr>
          <w:rFonts w:cs="Times New Roman"/>
          <w:sz w:val="32"/>
          <w:szCs w:val="32"/>
        </w:rPr>
      </w:pPr>
      <w:r>
        <w:rPr>
          <w:rFonts w:hint="eastAsia"/>
          <w:sz w:val="32"/>
          <w:szCs w:val="32"/>
        </w:rPr>
        <w:t>（</w:t>
      </w:r>
      <w:r>
        <w:rPr>
          <w:sz w:val="32"/>
          <w:szCs w:val="32"/>
        </w:rPr>
        <w:t>2</w:t>
      </w:r>
      <w:r>
        <w:rPr>
          <w:rFonts w:hint="eastAsia"/>
          <w:sz w:val="32"/>
          <w:szCs w:val="32"/>
        </w:rPr>
        <w:t>）县发改局根据县级救灾物资储备规划、品种目录和标准、年度购置计划，负责中央、省、市下达和县级救灾物资的收储、轮换和日常管理，根据县应急局的动用指令按程序组织调出。</w:t>
      </w:r>
    </w:p>
    <w:p>
      <w:pPr>
        <w:widowControl/>
        <w:spacing w:line="60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二、机构设置及决算单位构成</w:t>
      </w:r>
    </w:p>
    <w:p>
      <w:pPr>
        <w:widowControl/>
        <w:spacing w:line="600" w:lineRule="exact"/>
        <w:ind w:firstLine="320" w:firstLineChars="100"/>
        <w:rPr>
          <w:rFonts w:ascii="宋体" w:cs="Times New Roman"/>
          <w:kern w:val="0"/>
          <w:sz w:val="32"/>
          <w:szCs w:val="32"/>
        </w:rPr>
      </w:pPr>
      <w:r>
        <w:rPr>
          <w:rFonts w:hint="eastAsia" w:ascii="宋体" w:hAnsi="宋体" w:cs="宋体"/>
          <w:kern w:val="0"/>
          <w:sz w:val="32"/>
          <w:szCs w:val="32"/>
        </w:rPr>
        <w:t>（一）内设机构设置。道县应急管理局内设机构包括：办公室、政工室、应急指挥中心、法规宣教股（行政审批股）、科技和信息化股、工矿商贸行业安全监督管理股、烟花爆竹和危险化学品安全监督管理股、安全生产综合协调股、救援协调和预案管理股、风险监测和综合减灾股、救灾和物资保障股、火灾防治管理股、防汛抗旱股（地震和地质灾害救援股）以及调查评估和统计股等十四个内设股室。</w:t>
      </w:r>
    </w:p>
    <w:p>
      <w:pPr>
        <w:widowControl/>
        <w:spacing w:line="600" w:lineRule="exact"/>
        <w:ind w:firstLine="320" w:firstLineChars="100"/>
        <w:rPr>
          <w:rFonts w:ascii="宋体" w:cs="Times New Roman"/>
          <w:kern w:val="0"/>
          <w:sz w:val="32"/>
          <w:szCs w:val="32"/>
        </w:rPr>
      </w:pPr>
      <w:r>
        <w:rPr>
          <w:rFonts w:hint="eastAsia" w:ascii="宋体" w:hAnsi="宋体" w:cs="宋体"/>
          <w:kern w:val="0"/>
          <w:sz w:val="32"/>
          <w:szCs w:val="32"/>
        </w:rPr>
        <w:t>（二）决算单位构成。道县应急管理局</w:t>
      </w:r>
      <w:r>
        <w:rPr>
          <w:rFonts w:ascii="宋体" w:hAnsi="宋体" w:cs="宋体"/>
          <w:kern w:val="0"/>
          <w:sz w:val="32"/>
          <w:szCs w:val="32"/>
        </w:rPr>
        <w:t>2021</w:t>
      </w:r>
      <w:r>
        <w:rPr>
          <w:rFonts w:hint="eastAsia" w:ascii="宋体" w:hAnsi="宋体" w:cs="宋体"/>
          <w:kern w:val="0"/>
          <w:sz w:val="32"/>
          <w:szCs w:val="32"/>
        </w:rPr>
        <w:t>年部门决算汇总公开单位构成包括：道县应急管理局本级。</w:t>
      </w:r>
    </w:p>
    <w:p>
      <w:pPr>
        <w:jc w:val="left"/>
        <w:rPr>
          <w:rFonts w:ascii="仿宋_GB2312" w:hAnsi="宋体" w:eastAsia="仿宋_GB2312"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r>
        <w:rPr>
          <w:rFonts w:hint="eastAsia" w:cs="宋体"/>
          <w:sz w:val="72"/>
          <w:szCs w:val="72"/>
        </w:rPr>
        <w:t>第二部分</w:t>
      </w:r>
    </w:p>
    <w:p>
      <w:pPr>
        <w:jc w:val="center"/>
        <w:rPr>
          <w:rFonts w:cs="Times New Roman"/>
          <w:sz w:val="72"/>
          <w:szCs w:val="72"/>
        </w:rPr>
      </w:pPr>
    </w:p>
    <w:p>
      <w:pPr>
        <w:jc w:val="center"/>
        <w:rPr>
          <w:rFonts w:cs="Times New Roman"/>
          <w:sz w:val="72"/>
          <w:szCs w:val="72"/>
        </w:rPr>
      </w:pPr>
      <w:r>
        <w:rPr>
          <w:rFonts w:hint="eastAsia" w:cs="宋体"/>
          <w:sz w:val="72"/>
          <w:szCs w:val="72"/>
        </w:rPr>
        <w:t>部门决算表</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left"/>
        <w:rPr>
          <w:rFonts w:cs="Times New Roman"/>
          <w:sz w:val="32"/>
          <w:szCs w:val="32"/>
        </w:rPr>
      </w:pPr>
    </w:p>
    <w:p>
      <w:pPr>
        <w:jc w:val="left"/>
        <w:rPr>
          <w:rFonts w:ascii="宋体" w:cs="Times New Roman"/>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106"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部门：道县应急管理局</w:t>
            </w:r>
          </w:p>
        </w:tc>
        <w:tc>
          <w:tcPr>
            <w:tcW w:w="697"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cs="Times New Roman"/>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cs="Times New Roman"/>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w:t>
            </w:r>
          </w:p>
        </w:tc>
        <w:tc>
          <w:tcPr>
            <w:tcW w:w="1230" w:type="dxa"/>
            <w:gridSpan w:val="2"/>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1,510.42</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32</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33</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34</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35</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36</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37</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7</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38</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8</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39</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9</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40</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10</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41</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11</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42</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12</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43</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13</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44</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14</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45</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15</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46</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16</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47</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17</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48</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18</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49</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19</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50</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ascii="宋体" w:hAnsi="宋体" w:cs="宋体"/>
                <w:color w:val="000000"/>
                <w:kern w:val="0"/>
                <w:sz w:val="22"/>
                <w:szCs w:val="22"/>
              </w:rPr>
              <w:t>173.00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20</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51</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21</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52</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22</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53</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ascii="宋体" w:hAnsi="宋体" w:cs="宋体"/>
                <w:color w:val="000000"/>
                <w:kern w:val="0"/>
                <w:sz w:val="22"/>
                <w:szCs w:val="22"/>
              </w:rPr>
              <w:t>1,337.42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23</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54</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center"/>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0"/>
                <w:szCs w:val="20"/>
              </w:rPr>
              <w:t>24</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55</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0"/>
                <w:szCs w:val="20"/>
              </w:rPr>
              <w:t>25</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56</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0"/>
                <w:szCs w:val="20"/>
              </w:rPr>
              <w:t>26</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57</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kern w:val="0"/>
                <w:sz w:val="20"/>
                <w:szCs w:val="20"/>
              </w:rPr>
            </w:pPr>
            <w:r>
              <w:rPr>
                <w:rFonts w:hint="eastAsia" w:ascii="宋体" w:hAnsi="宋体" w:cs="宋体"/>
                <w:b/>
                <w:bCs/>
                <w:color w:val="000000"/>
                <w:kern w:val="0"/>
                <w:sz w:val="22"/>
                <w:szCs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27</w:t>
            </w:r>
          </w:p>
        </w:tc>
        <w:tc>
          <w:tcPr>
            <w:tcW w:w="1230" w:type="dxa"/>
            <w:gridSpan w:val="2"/>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1,510.42</w:t>
            </w:r>
          </w:p>
        </w:tc>
        <w:tc>
          <w:tcPr>
            <w:tcW w:w="3798" w:type="dxa"/>
            <w:gridSpan w:val="3"/>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0"/>
                <w:szCs w:val="20"/>
              </w:rPr>
            </w:pPr>
            <w:r>
              <w:rPr>
                <w:rFonts w:hint="eastAsia" w:ascii="宋体" w:hAnsi="宋体" w:cs="宋体"/>
                <w:b/>
                <w:bCs/>
                <w:color w:val="000000"/>
                <w:kern w:val="0"/>
                <w:sz w:val="22"/>
                <w:szCs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58</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ascii="宋体" w:hAnsi="宋体" w:cs="宋体"/>
                <w:color w:val="000000"/>
                <w:kern w:val="0"/>
                <w:sz w:val="22"/>
                <w:szCs w:val="22"/>
              </w:rPr>
              <w:t>1,510.42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b/>
                <w:bCs/>
                <w:kern w:val="0"/>
                <w:sz w:val="22"/>
                <w:szCs w:val="22"/>
              </w:rPr>
            </w:pPr>
            <w:r>
              <w:rPr>
                <w:rFonts w:hint="eastAsia" w:ascii="宋体" w:hAnsi="宋体" w:cs="宋体"/>
                <w:color w:val="000000"/>
                <w:kern w:val="0"/>
                <w:sz w:val="22"/>
                <w:szCs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28</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b/>
                <w:bCs/>
                <w:kern w:val="0"/>
                <w:sz w:val="22"/>
                <w:szCs w:val="22"/>
              </w:rPr>
            </w:pPr>
            <w:r>
              <w:rPr>
                <w:rFonts w:hint="eastAsia" w:ascii="宋体" w:hAnsi="宋体" w:cs="宋体"/>
                <w:color w:val="000000"/>
                <w:kern w:val="0"/>
                <w:sz w:val="22"/>
                <w:szCs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59</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29</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60</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30</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61</w:t>
            </w:r>
          </w:p>
        </w:tc>
        <w:tc>
          <w:tcPr>
            <w:tcW w:w="3633" w:type="dxa"/>
            <w:gridSpan w:val="3"/>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31</w:t>
            </w:r>
          </w:p>
        </w:tc>
        <w:tc>
          <w:tcPr>
            <w:tcW w:w="1230" w:type="dxa"/>
            <w:gridSpan w:val="2"/>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1,510.42</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62</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ascii="宋体" w:hAnsi="宋体" w:cs="宋体"/>
                <w:color w:val="000000"/>
                <w:kern w:val="0"/>
                <w:sz w:val="22"/>
                <w:szCs w:val="22"/>
              </w:rPr>
              <w:t>1,510.42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本表反映部门本年度的总收支和年末结转结余情况。</w:t>
            </w:r>
            <w:r>
              <w:rPr>
                <w:rFonts w:ascii="宋体" w:cs="Times New Roman"/>
                <w:kern w:val="0"/>
                <w:sz w:val="24"/>
                <w:szCs w:val="24"/>
              </w:rPr>
              <w:br w:type="textWrapping"/>
            </w:r>
            <w:r>
              <w:rPr>
                <w:rFonts w:ascii="宋体" w:hAnsi="宋体" w:cs="宋体"/>
                <w:kern w:val="0"/>
                <w:sz w:val="24"/>
                <w:szCs w:val="24"/>
              </w:rPr>
              <w:t xml:space="preserve"> 2.</w:t>
            </w:r>
            <w:r>
              <w:rPr>
                <w:rFonts w:hint="eastAsia" w:ascii="宋体" w:hAnsi="宋体" w:cs="宋体"/>
                <w:kern w:val="0"/>
                <w:sz w:val="24"/>
                <w:szCs w:val="24"/>
              </w:rPr>
              <w:t>本套报表金额单位转换时可能存在尾数误差。</w:t>
            </w:r>
          </w:p>
        </w:tc>
      </w:tr>
    </w:tbl>
    <w:p>
      <w:pPr>
        <w:jc w:val="center"/>
        <w:rPr>
          <w:rFonts w:ascii="黑体" w:hAnsi="黑体" w:eastAsia="黑体" w:cs="Times New Roman"/>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386" w:type="dxa"/>
        <w:tblInd w:w="2" w:type="dxa"/>
        <w:tblLayout w:type="autofit"/>
        <w:tblCellMar>
          <w:top w:w="0" w:type="dxa"/>
          <w:left w:w="0" w:type="dxa"/>
          <w:bottom w:w="0" w:type="dxa"/>
          <w:right w:w="0" w:type="dxa"/>
        </w:tblCellMar>
      </w:tblPr>
      <w:tblGrid>
        <w:gridCol w:w="1791"/>
        <w:gridCol w:w="130"/>
        <w:gridCol w:w="1777"/>
        <w:gridCol w:w="1580"/>
        <w:gridCol w:w="1580"/>
        <w:gridCol w:w="1580"/>
        <w:gridCol w:w="1580"/>
        <w:gridCol w:w="1580"/>
        <w:gridCol w:w="1580"/>
        <w:gridCol w:w="2248"/>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noWrap/>
            <w:tcMar>
              <w:top w:w="15" w:type="dxa"/>
              <w:left w:w="15" w:type="dxa"/>
              <w:bottom w:w="0" w:type="dxa"/>
              <w:right w:w="15" w:type="dxa"/>
            </w:tcMar>
            <w:vAlign w:val="center"/>
          </w:tcPr>
          <w:p>
            <w:pPr>
              <w:jc w:val="center"/>
              <w:rPr>
                <w:rFonts w:ascii="华文中宋" w:hAnsi="华文中宋" w:eastAsia="华文中宋" w:cs="Times New Roman"/>
                <w:color w:val="000000"/>
                <w:sz w:val="32"/>
                <w:szCs w:val="32"/>
              </w:rPr>
            </w:pPr>
            <w:r>
              <w:rPr>
                <w:rFonts w:hint="eastAsia" w:ascii="华文中宋" w:hAnsi="华文中宋" w:eastAsia="华文中宋" w:cs="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color w:val="000000"/>
                <w:sz w:val="20"/>
                <w:szCs w:val="20"/>
              </w:rPr>
            </w:pPr>
            <w:r>
              <w:rPr>
                <w:rFonts w:hint="eastAsia" w:cs="宋体"/>
                <w:color w:val="000000"/>
                <w:sz w:val="20"/>
                <w:szCs w:val="20"/>
              </w:rPr>
              <w:t>公开</w:t>
            </w:r>
            <w:r>
              <w:rPr>
                <w:color w:val="000000"/>
                <w:sz w:val="20"/>
                <w:szCs w:val="20"/>
              </w:rPr>
              <w:t>02</w:t>
            </w:r>
            <w:r>
              <w:rPr>
                <w:rFonts w:hint="eastAsia" w:cs="宋体"/>
                <w:color w:val="000000"/>
                <w:sz w:val="20"/>
                <w:szCs w:val="20"/>
              </w:rPr>
              <w:t>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cs="Times New Roman"/>
                <w:color w:val="000000"/>
                <w:sz w:val="20"/>
                <w:szCs w:val="20"/>
              </w:rPr>
            </w:pPr>
            <w:r>
              <w:rPr>
                <w:rFonts w:hint="eastAsia" w:cs="宋体"/>
                <w:color w:val="000000"/>
                <w:sz w:val="20"/>
                <w:szCs w:val="20"/>
              </w:rPr>
              <w:t>部门：</w:t>
            </w:r>
            <w:r>
              <w:rPr>
                <w:rFonts w:hint="eastAsia" w:ascii="宋体" w:hAnsi="宋体" w:cs="宋体"/>
                <w:color w:val="000000"/>
                <w:kern w:val="0"/>
                <w:sz w:val="20"/>
                <w:szCs w:val="20"/>
              </w:rPr>
              <w:t>道县应急管理局</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cs="Times New Roman"/>
                <w:color w:val="000000"/>
                <w:sz w:val="20"/>
                <w:szCs w:val="20"/>
              </w:rPr>
            </w:pPr>
            <w:r>
              <w:rPr>
                <w:rFonts w:hint="eastAsia" w:cs="宋体"/>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color w:val="000000"/>
                <w:sz w:val="20"/>
                <w:szCs w:val="20"/>
              </w:rPr>
            </w:pPr>
            <w:r>
              <w:rPr>
                <w:rFonts w:hint="eastAsia" w:cs="宋体"/>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项</w:t>
            </w:r>
            <w:r>
              <w:t xml:space="preserve">    </w:t>
            </w:r>
            <w:r>
              <w:rPr>
                <w:rFonts w:hint="eastAsia" w:cs="宋体"/>
              </w:rPr>
              <w:t>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本年收入合计</w:t>
            </w:r>
          </w:p>
        </w:tc>
        <w:tc>
          <w:tcPr>
            <w:tcW w:w="16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cs="Times New Roman"/>
                <w:sz w:val="24"/>
                <w:szCs w:val="24"/>
              </w:rPr>
            </w:pPr>
            <w:r>
              <w:rPr>
                <w:rFonts w:hint="eastAsia" w:cs="宋体"/>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hint="eastAsia" w:ascii="宋体" w:hAnsi="宋体" w:cs="宋体"/>
                <w:color w:val="000000"/>
                <w:kern w:val="0"/>
                <w:sz w:val="22"/>
                <w:szCs w:val="22"/>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hint="eastAsia" w:ascii="宋体" w:hAnsi="宋体" w:cs="宋体"/>
                <w:color w:val="000000"/>
                <w:kern w:val="0"/>
                <w:sz w:val="22"/>
                <w:szCs w:val="22"/>
              </w:rPr>
              <w:t>合计</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b/>
                <w:bCs/>
                <w:color w:val="000000"/>
                <w:kern w:val="0"/>
                <w:sz w:val="22"/>
                <w:szCs w:val="22"/>
              </w:rPr>
              <w:t>1,510.42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b/>
                <w:bCs/>
                <w:color w:val="000000"/>
                <w:kern w:val="0"/>
                <w:sz w:val="22"/>
                <w:szCs w:val="22"/>
              </w:rPr>
              <w:t>1,510.42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ascii="宋体" w:hAnsi="宋体" w:cs="宋体"/>
                <w:color w:val="000000"/>
                <w:kern w:val="0"/>
                <w:sz w:val="22"/>
                <w:szCs w:val="22"/>
              </w:rPr>
              <w:t>221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hint="eastAsia" w:ascii="宋体" w:hAnsi="宋体" w:cs="宋体"/>
                <w:color w:val="000000"/>
                <w:kern w:val="0"/>
                <w:sz w:val="22"/>
                <w:szCs w:val="22"/>
              </w:rPr>
              <w:t>住房保障支出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173.00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173.00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ascii="宋体" w:hAnsi="宋体" w:cs="宋体"/>
                <w:color w:val="000000"/>
                <w:kern w:val="0"/>
                <w:sz w:val="22"/>
                <w:szCs w:val="22"/>
              </w:rPr>
              <w:t>22101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hint="eastAsia" w:ascii="宋体" w:hAnsi="宋体" w:cs="宋体"/>
                <w:color w:val="000000"/>
                <w:kern w:val="0"/>
                <w:sz w:val="22"/>
                <w:szCs w:val="22"/>
              </w:rPr>
              <w:t>保障性安居工程支出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sz w:val="24"/>
                <w:szCs w:val="24"/>
              </w:rPr>
            </w:pPr>
            <w:r>
              <w:rPr>
                <w:rFonts w:ascii="宋体" w:hAnsi="宋体" w:cs="宋体"/>
                <w:color w:val="000000"/>
                <w:kern w:val="0"/>
                <w:sz w:val="22"/>
                <w:szCs w:val="22"/>
              </w:rPr>
              <w:t>173.00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173.00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2210105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农村危房改造</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173.00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173.00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224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灾害防治及应急管理支出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1,337.42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1,337.42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22401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应急管理事务</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768.00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768.00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2240101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702.00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702.00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2240108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应急救援</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40.00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40.00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2240199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其他应急管理支出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26.00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26.00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22407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自然灾害救灾及恢复重建支出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200.00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200.00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2240703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自然灾害救灾补助</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200.00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200.00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22499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其他灾害防治及应急管理支出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369.42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369.42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2249999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其他灾害防治及应急管理支出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369.42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369.42</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tcMar>
              <w:top w:w="15" w:type="dxa"/>
              <w:left w:w="15" w:type="dxa"/>
              <w:bottom w:w="0" w:type="dxa"/>
              <w:right w:w="15" w:type="dxa"/>
            </w:tcMar>
            <w:vAlign w:val="center"/>
          </w:tcPr>
          <w:p>
            <w:pPr>
              <w:rPr>
                <w:rFonts w:ascii="宋体" w:cs="Times New Roman"/>
                <w:sz w:val="24"/>
                <w:szCs w:val="24"/>
              </w:rPr>
            </w:pPr>
            <w:r>
              <w:rPr>
                <w:rFonts w:hint="eastAsia" w:cs="宋体"/>
              </w:rPr>
              <w:t>注：本表反映部门本年度取得的各项收入情况。</w:t>
            </w:r>
          </w:p>
        </w:tc>
      </w:tr>
    </w:tbl>
    <w:p>
      <w:pPr>
        <w:widowControl/>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4111" w:type="dxa"/>
        <w:tblInd w:w="-106"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03</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部门：道县应急管理局</w:t>
            </w:r>
          </w:p>
        </w:tc>
        <w:tc>
          <w:tcPr>
            <w:tcW w:w="22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合计</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b/>
                <w:bCs/>
                <w:color w:val="000000"/>
                <w:kern w:val="0"/>
                <w:sz w:val="22"/>
                <w:szCs w:val="22"/>
              </w:rPr>
              <w:t>1,510.42</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b/>
                <w:bCs/>
                <w:color w:val="000000"/>
                <w:kern w:val="0"/>
                <w:sz w:val="22"/>
                <w:szCs w:val="22"/>
              </w:rPr>
              <w:t>1,091.42</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b/>
                <w:bCs/>
                <w:color w:val="000000"/>
                <w:kern w:val="0"/>
                <w:sz w:val="22"/>
                <w:szCs w:val="22"/>
              </w:rPr>
              <w:t>419.00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221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住房保障支出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173.00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173.00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22101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保障性安居工程支出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173.00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173.00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2210105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农村危房改造</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173.00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173.00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224</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灾害防治及应急管理支出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1,337.42</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1,091.42</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246.00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22401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应急管理事务</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768.00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742.00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26.00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2240101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702.00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702.00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2240108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应急救援</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40.00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40.00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2240199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其他应急管理支出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26.00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26.00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22407</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自然灾害救灾及恢复重建支出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200.00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200.00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2240703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自然灾害救灾补助</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200.00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200.00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22499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其他灾害防治及应急管理支出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369.42</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349.42</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2249999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其他灾害防治及应急管理支出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369.42</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349.42</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tbl>
      <w:tblPr>
        <w:tblStyle w:val="7"/>
        <w:tblW w:w="15521" w:type="dxa"/>
        <w:tblInd w:w="-106" w:type="dxa"/>
        <w:tblLayout w:type="autofit"/>
        <w:tblCellMar>
          <w:top w:w="0" w:type="dxa"/>
          <w:left w:w="108" w:type="dxa"/>
          <w:bottom w:w="0" w:type="dxa"/>
          <w:right w:w="108" w:type="dxa"/>
        </w:tblCellMar>
      </w:tblPr>
      <w:tblGrid>
        <w:gridCol w:w="3595"/>
        <w:gridCol w:w="436"/>
        <w:gridCol w:w="1096"/>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noWrap/>
            <w:vAlign w:val="center"/>
          </w:tcPr>
          <w:p>
            <w:pPr>
              <w:widowControl/>
              <w:jc w:val="left"/>
              <w:rPr>
                <w:rFonts w:ascii="黑体" w:hAnsi="黑体" w:eastAsia="黑体" w:cs="Times New Roman"/>
                <w:kern w:val="0"/>
                <w:sz w:val="24"/>
                <w:szCs w:val="24"/>
              </w:rPr>
            </w:pPr>
            <w:bookmarkStart w:id="0" w:name="RANGE_A1_I22"/>
            <w:bookmarkEnd w:id="0"/>
            <w:bookmarkStart w:id="1" w:name="RANGE_A1_F16"/>
          </w:p>
        </w:tc>
        <w:tc>
          <w:tcPr>
            <w:tcW w:w="436" w:type="dxa"/>
            <w:tcBorders>
              <w:top w:val="nil"/>
              <w:left w:val="nil"/>
              <w:bottom w:val="nil"/>
              <w:right w:val="nil"/>
            </w:tcBorders>
            <w:noWrap/>
            <w:vAlign w:val="center"/>
          </w:tcPr>
          <w:p>
            <w:pPr>
              <w:widowControl/>
              <w:jc w:val="right"/>
              <w:rPr>
                <w:rFonts w:ascii="宋体" w:cs="Times New Roman"/>
                <w:kern w:val="0"/>
                <w:sz w:val="24"/>
                <w:szCs w:val="24"/>
              </w:rPr>
            </w:pPr>
          </w:p>
        </w:tc>
        <w:tc>
          <w:tcPr>
            <w:tcW w:w="1574" w:type="dxa"/>
            <w:gridSpan w:val="2"/>
            <w:tcBorders>
              <w:top w:val="nil"/>
              <w:left w:val="nil"/>
              <w:bottom w:val="nil"/>
              <w:right w:val="nil"/>
            </w:tcBorders>
            <w:noWrap/>
            <w:vAlign w:val="center"/>
          </w:tcPr>
          <w:p>
            <w:pPr>
              <w:widowControl/>
              <w:jc w:val="right"/>
              <w:rPr>
                <w:rFonts w:ascii="宋体" w:cs="Times New Roman"/>
                <w:kern w:val="0"/>
                <w:sz w:val="24"/>
                <w:szCs w:val="24"/>
              </w:rPr>
            </w:pPr>
          </w:p>
        </w:tc>
        <w:tc>
          <w:tcPr>
            <w:tcW w:w="3547" w:type="dxa"/>
            <w:gridSpan w:val="2"/>
            <w:tcBorders>
              <w:top w:val="nil"/>
              <w:left w:val="nil"/>
              <w:bottom w:val="nil"/>
              <w:right w:val="nil"/>
            </w:tcBorders>
            <w:noWrap/>
            <w:vAlign w:val="center"/>
          </w:tcPr>
          <w:p>
            <w:pPr>
              <w:widowControl/>
              <w:jc w:val="right"/>
              <w:rPr>
                <w:rFonts w:ascii="宋体" w:cs="Times New Roman"/>
                <w:kern w:val="0"/>
                <w:sz w:val="24"/>
                <w:szCs w:val="24"/>
              </w:rPr>
            </w:pPr>
          </w:p>
        </w:tc>
        <w:tc>
          <w:tcPr>
            <w:tcW w:w="435" w:type="dxa"/>
            <w:tcBorders>
              <w:top w:val="nil"/>
              <w:left w:val="nil"/>
              <w:bottom w:val="nil"/>
              <w:right w:val="nil"/>
            </w:tcBorders>
            <w:noWrap/>
            <w:vAlign w:val="center"/>
          </w:tcPr>
          <w:p>
            <w:pPr>
              <w:widowControl/>
              <w:jc w:val="right"/>
              <w:rPr>
                <w:rFonts w:ascii="宋体" w:cs="Times New Roman"/>
                <w:kern w:val="0"/>
                <w:sz w:val="24"/>
                <w:szCs w:val="24"/>
              </w:rPr>
            </w:pPr>
          </w:p>
        </w:tc>
        <w:tc>
          <w:tcPr>
            <w:tcW w:w="1573" w:type="dxa"/>
            <w:tcBorders>
              <w:top w:val="nil"/>
              <w:left w:val="nil"/>
              <w:bottom w:val="nil"/>
              <w:right w:val="nil"/>
            </w:tcBorders>
            <w:noWrap/>
            <w:vAlign w:val="center"/>
          </w:tcPr>
          <w:p>
            <w:pPr>
              <w:widowControl/>
              <w:jc w:val="right"/>
              <w:rPr>
                <w:rFonts w:ascii="宋体" w:cs="Times New Roman"/>
                <w:kern w:val="0"/>
                <w:sz w:val="24"/>
                <w:szCs w:val="24"/>
              </w:rPr>
            </w:pPr>
          </w:p>
        </w:tc>
        <w:tc>
          <w:tcPr>
            <w:tcW w:w="1394" w:type="dxa"/>
            <w:tcBorders>
              <w:top w:val="nil"/>
              <w:left w:val="nil"/>
              <w:bottom w:val="nil"/>
              <w:right w:val="nil"/>
            </w:tcBorders>
            <w:noWrap/>
            <w:vAlign w:val="center"/>
          </w:tcPr>
          <w:p>
            <w:pPr>
              <w:widowControl/>
              <w:jc w:val="right"/>
              <w:rPr>
                <w:rFonts w:ascii="宋体" w:cs="Times New Roman"/>
                <w:kern w:val="0"/>
                <w:sz w:val="24"/>
                <w:szCs w:val="24"/>
              </w:rPr>
            </w:pPr>
          </w:p>
        </w:tc>
        <w:tc>
          <w:tcPr>
            <w:tcW w:w="1394" w:type="dxa"/>
            <w:tcBorders>
              <w:top w:val="nil"/>
              <w:left w:val="nil"/>
              <w:bottom w:val="nil"/>
              <w:right w:val="nil"/>
            </w:tcBorders>
            <w:noWrap/>
            <w:vAlign w:val="center"/>
          </w:tcPr>
          <w:p>
            <w:pPr>
              <w:widowControl/>
              <w:jc w:val="right"/>
              <w:rPr>
                <w:rFonts w:ascii="宋体" w:cs="Times New Roman"/>
                <w:kern w:val="0"/>
                <w:sz w:val="24"/>
                <w:szCs w:val="24"/>
              </w:rPr>
            </w:pPr>
          </w:p>
        </w:tc>
        <w:tc>
          <w:tcPr>
            <w:tcW w:w="1573" w:type="dxa"/>
            <w:tcBorders>
              <w:top w:val="nil"/>
              <w:left w:val="nil"/>
              <w:bottom w:val="nil"/>
              <w:right w:val="nil"/>
            </w:tcBorders>
            <w:noWrap/>
            <w:vAlign w:val="center"/>
          </w:tcPr>
          <w:p>
            <w:pPr>
              <w:widowControl/>
              <w:jc w:val="right"/>
              <w:rPr>
                <w:rFonts w:ascii="宋体" w:cs="Times New Roman"/>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部门：道县应急管理局</w:t>
            </w:r>
          </w:p>
        </w:tc>
        <w:tc>
          <w:tcPr>
            <w:tcW w:w="43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07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金额</w:t>
            </w:r>
          </w:p>
        </w:tc>
        <w:tc>
          <w:tcPr>
            <w:tcW w:w="3411"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1394"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一般公共预算财政拨款</w:t>
            </w:r>
          </w:p>
        </w:tc>
        <w:tc>
          <w:tcPr>
            <w:tcW w:w="1394"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政府性基金预算财政拨款</w:t>
            </w:r>
          </w:p>
        </w:tc>
        <w:tc>
          <w:tcPr>
            <w:tcW w:w="1573"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436" w:type="dxa"/>
            <w:tcBorders>
              <w:top w:val="nil"/>
              <w:left w:val="nil"/>
              <w:bottom w:val="single" w:color="auto" w:sz="4" w:space="0"/>
              <w:right w:val="single" w:color="auto" w:sz="4" w:space="0"/>
            </w:tcBorders>
            <w:noWrap/>
            <w:vAlign w:val="center"/>
          </w:tcPr>
          <w:p>
            <w:pPr>
              <w:jc w:val="center"/>
              <w:rPr>
                <w:rFonts w:ascii="宋体" w:cs="Times New Roman"/>
                <w:kern w:val="0"/>
                <w:sz w:val="24"/>
                <w:szCs w:val="24"/>
              </w:rPr>
            </w:pPr>
          </w:p>
        </w:tc>
        <w:tc>
          <w:tcPr>
            <w:tcW w:w="1078"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3411"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1067" w:type="dxa"/>
            <w:gridSpan w:val="2"/>
            <w:tcBorders>
              <w:top w:val="nil"/>
              <w:left w:val="nil"/>
              <w:bottom w:val="single" w:color="auto" w:sz="4" w:space="0"/>
              <w:right w:val="single" w:color="auto" w:sz="4" w:space="0"/>
            </w:tcBorders>
            <w:noWrap/>
            <w:vAlign w:val="center"/>
          </w:tcPr>
          <w:p>
            <w:pPr>
              <w:jc w:val="center"/>
              <w:rPr>
                <w:rFonts w:ascii="宋体" w:cs="Times New Roman"/>
                <w:kern w:val="0"/>
                <w:sz w:val="24"/>
                <w:szCs w:val="24"/>
              </w:rPr>
            </w:pPr>
          </w:p>
        </w:tc>
        <w:tc>
          <w:tcPr>
            <w:tcW w:w="1573"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c>
          <w:tcPr>
            <w:tcW w:w="1394"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3</w:t>
            </w:r>
          </w:p>
        </w:tc>
        <w:tc>
          <w:tcPr>
            <w:tcW w:w="1394"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4</w:t>
            </w:r>
          </w:p>
        </w:tc>
        <w:tc>
          <w:tcPr>
            <w:tcW w:w="1573"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w:t>
            </w:r>
          </w:p>
        </w:tc>
        <w:tc>
          <w:tcPr>
            <w:tcW w:w="107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1,510.42</w:t>
            </w: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一、一般公共服务支出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33</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二、外交支出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34</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三、国有资本经营财政拨款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三、国防支出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35</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四、公共安全支出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36</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五、教育支出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37</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六、科学技术支出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38</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7</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七、文化旅游体育与传媒支出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39</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8</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八、社会保障和就业支出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40</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9</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九、卫生健康支出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41</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10</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十、节能环保支出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42</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11</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十一、城乡社区支出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43</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12</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十二、农林水支出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44</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13</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十三、交通运输支出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45</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14</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十四、资源勘探工业信息等支出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46</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15</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十五、商业服务业等支出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47</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16</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十六、金融支出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48</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17</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十七、援助其他地区支出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49</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18</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十八、自然资源海洋气象等支出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50</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19</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十九、住房保障支出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51</w:t>
            </w:r>
          </w:p>
        </w:tc>
        <w:tc>
          <w:tcPr>
            <w:tcW w:w="15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173.00</w:t>
            </w:r>
          </w:p>
        </w:tc>
        <w:tc>
          <w:tcPr>
            <w:tcW w:w="139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173.00</w:t>
            </w: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20</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二十、粮油物资储备支出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52</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21</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二十一、国有资本经营预算支出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53</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22</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二十二、灾害防治及应急管理支出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54</w:t>
            </w:r>
          </w:p>
        </w:tc>
        <w:tc>
          <w:tcPr>
            <w:tcW w:w="15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1,337.42</w:t>
            </w:r>
          </w:p>
        </w:tc>
        <w:tc>
          <w:tcPr>
            <w:tcW w:w="139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1,337.42</w:t>
            </w: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23</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二十三、其他支出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55</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center"/>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24</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二十四、债务还本支出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56</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25</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二十五、债务付息支出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57</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26</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二十六、抗疫特别国债安排的支出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58</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本年收入合计</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27</w:t>
            </w:r>
          </w:p>
        </w:tc>
        <w:tc>
          <w:tcPr>
            <w:tcW w:w="107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1,510.42</w:t>
            </w:r>
          </w:p>
        </w:tc>
        <w:tc>
          <w:tcPr>
            <w:tcW w:w="3411"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本年支出合计</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59</w:t>
            </w:r>
          </w:p>
        </w:tc>
        <w:tc>
          <w:tcPr>
            <w:tcW w:w="15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1,510.42</w:t>
            </w:r>
          </w:p>
        </w:tc>
        <w:tc>
          <w:tcPr>
            <w:tcW w:w="139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1,510.42</w:t>
            </w: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年初财政拨款结转和结余</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28</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年末财政拨款结转和结余</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60</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一般公共预算财政拨款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29</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61</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30</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62</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国有资本经营预算财政拨款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31</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63</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32</w:t>
            </w:r>
          </w:p>
        </w:tc>
        <w:tc>
          <w:tcPr>
            <w:tcW w:w="107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1,510.42</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1,510.42</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1,510.42</w:t>
            </w:r>
          </w:p>
        </w:tc>
        <w:tc>
          <w:tcPr>
            <w:tcW w:w="1394" w:type="dxa"/>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方正小标宋_GBK"/>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w:t>
      </w:r>
      <w:r>
        <w:rPr>
          <w:rFonts w:hint="eastAsia" w:ascii="宋体" w:hAnsi="宋体" w:cs="宋体"/>
          <w:color w:val="000000"/>
          <w:kern w:val="0"/>
          <w:sz w:val="20"/>
          <w:szCs w:val="20"/>
        </w:rPr>
        <w:t>道县应急管理局</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05</w:t>
      </w:r>
      <w:r>
        <w:rPr>
          <w:rFonts w:hint="eastAsia" w:ascii="Times New Roman" w:hAnsi="Times New Roman" w:eastAsia="仿宋_GB2312" w:cs="仿宋_GB2312"/>
          <w:color w:val="000000"/>
          <w:kern w:val="0"/>
        </w:rPr>
        <w:t>表</w:t>
      </w:r>
    </w:p>
    <w:p>
      <w:pPr>
        <w:widowControl/>
        <w:jc w:val="left"/>
        <w:rPr>
          <w:rFonts w:ascii="Times New Roman" w:hAnsi="Times New Roman" w:cs="Times New Roman"/>
          <w:color w:val="000000"/>
          <w:kern w:val="0"/>
          <w:sz w:val="20"/>
          <w:szCs w:val="20"/>
        </w:rPr>
      </w:pP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单位：万元</w:t>
      </w:r>
    </w:p>
    <w:tbl>
      <w:tblPr>
        <w:tblStyle w:val="7"/>
        <w:tblW w:w="14219" w:type="dxa"/>
        <w:jc w:val="center"/>
        <w:tblLayout w:type="autofit"/>
        <w:tblCellMar>
          <w:top w:w="0" w:type="dxa"/>
          <w:left w:w="108" w:type="dxa"/>
          <w:bottom w:w="0" w:type="dxa"/>
          <w:right w:w="108" w:type="dxa"/>
        </w:tblCellMar>
      </w:tblPr>
      <w:tblGrid>
        <w:gridCol w:w="986"/>
        <w:gridCol w:w="1000"/>
        <w:gridCol w:w="3271"/>
        <w:gridCol w:w="2843"/>
        <w:gridCol w:w="3294"/>
        <w:gridCol w:w="2825"/>
      </w:tblGrid>
      <w:tr>
        <w:tblPrEx>
          <w:tblCellMar>
            <w:top w:w="0" w:type="dxa"/>
            <w:left w:w="108" w:type="dxa"/>
            <w:bottom w:w="0" w:type="dxa"/>
            <w:right w:w="108" w:type="dxa"/>
          </w:tblCellMar>
        </w:tblPrEx>
        <w:trPr>
          <w:trHeight w:val="405" w:hRule="atLeast"/>
          <w:jc w:val="center"/>
        </w:trPr>
        <w:tc>
          <w:tcPr>
            <w:tcW w:w="5257"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w:t>
            </w:r>
            <w:r>
              <w:rPr>
                <w:rFonts w:ascii="Times New Roman" w:hAnsi="Times New Roman" w:eastAsia="仿宋_GB2312" w:cs="Times New Roman"/>
                <w:b/>
                <w:bCs/>
                <w:kern w:val="0"/>
              </w:rPr>
              <w:t xml:space="preserve"> </w:t>
            </w:r>
            <w:r>
              <w:rPr>
                <w:rFonts w:hint="eastAsia" w:ascii="Times New Roman" w:hAnsi="Times New Roman" w:eastAsia="仿宋_GB2312" w:cs="仿宋_GB2312"/>
                <w:b/>
                <w:bCs/>
                <w:kern w:val="0"/>
              </w:rPr>
              <w:t>目</w:t>
            </w:r>
          </w:p>
        </w:tc>
        <w:tc>
          <w:tcPr>
            <w:tcW w:w="8962"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本年支出</w:t>
            </w:r>
          </w:p>
        </w:tc>
      </w:tr>
      <w:tr>
        <w:tblPrEx>
          <w:tblCellMar>
            <w:top w:w="0" w:type="dxa"/>
            <w:left w:w="108" w:type="dxa"/>
            <w:bottom w:w="0" w:type="dxa"/>
            <w:right w:w="108" w:type="dxa"/>
          </w:tblCellMar>
        </w:tblPrEx>
        <w:trPr>
          <w:trHeight w:val="495" w:hRule="atLeast"/>
          <w:jc w:val="center"/>
        </w:trPr>
        <w:tc>
          <w:tcPr>
            <w:tcW w:w="1986"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功能分类科目编码</w:t>
            </w:r>
          </w:p>
        </w:tc>
        <w:tc>
          <w:tcPr>
            <w:tcW w:w="3271"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科目名称</w:t>
            </w:r>
          </w:p>
        </w:tc>
        <w:tc>
          <w:tcPr>
            <w:tcW w:w="2843"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小计</w:t>
            </w:r>
          </w:p>
        </w:tc>
        <w:tc>
          <w:tcPr>
            <w:tcW w:w="3294"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基本支出</w:t>
            </w:r>
          </w:p>
        </w:tc>
        <w:tc>
          <w:tcPr>
            <w:tcW w:w="2825"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项目支出</w:t>
            </w:r>
          </w:p>
        </w:tc>
      </w:tr>
      <w:tr>
        <w:tblPrEx>
          <w:tblCellMar>
            <w:top w:w="0" w:type="dxa"/>
            <w:left w:w="108" w:type="dxa"/>
            <w:bottom w:w="0" w:type="dxa"/>
            <w:right w:w="108" w:type="dxa"/>
          </w:tblCellMar>
        </w:tblPrEx>
        <w:trPr>
          <w:trHeight w:val="36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32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32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hint="eastAsia" w:ascii="宋体" w:hAnsi="宋体" w:cs="宋体"/>
                <w:color w:val="000000"/>
                <w:kern w:val="0"/>
                <w:sz w:val="22"/>
                <w:szCs w:val="22"/>
              </w:rPr>
              <w:t>栏次</w:t>
            </w:r>
          </w:p>
        </w:tc>
        <w:tc>
          <w:tcPr>
            <w:tcW w:w="2843"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1</w:t>
            </w:r>
          </w:p>
        </w:tc>
        <w:tc>
          <w:tcPr>
            <w:tcW w:w="3294"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2</w:t>
            </w:r>
          </w:p>
        </w:tc>
        <w:tc>
          <w:tcPr>
            <w:tcW w:w="2825" w:type="dxa"/>
            <w:tcBorders>
              <w:top w:val="nil"/>
              <w:left w:val="nil"/>
              <w:bottom w:val="single" w:color="auto" w:sz="4" w:space="0"/>
              <w:right w:val="single" w:color="auto" w:sz="8" w:space="0"/>
            </w:tcBorders>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3</w:t>
            </w: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hint="eastAsia" w:ascii="宋体" w:hAnsi="宋体" w:cs="宋体"/>
                <w:color w:val="000000"/>
                <w:kern w:val="0"/>
                <w:sz w:val="22"/>
                <w:szCs w:val="22"/>
              </w:rPr>
              <w:t>合计</w:t>
            </w:r>
          </w:p>
        </w:tc>
        <w:tc>
          <w:tcPr>
            <w:tcW w:w="284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b/>
                <w:bCs/>
                <w:color w:val="000000"/>
                <w:kern w:val="0"/>
                <w:sz w:val="22"/>
                <w:szCs w:val="22"/>
              </w:rPr>
              <w:t>1,510.42</w:t>
            </w:r>
          </w:p>
        </w:tc>
        <w:tc>
          <w:tcPr>
            <w:tcW w:w="329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b/>
                <w:bCs/>
                <w:color w:val="000000"/>
                <w:kern w:val="0"/>
                <w:sz w:val="22"/>
                <w:szCs w:val="22"/>
              </w:rPr>
              <w:t>1,091.42</w:t>
            </w:r>
          </w:p>
        </w:tc>
        <w:tc>
          <w:tcPr>
            <w:tcW w:w="2825"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b/>
                <w:bCs/>
                <w:color w:val="000000"/>
                <w:kern w:val="0"/>
                <w:sz w:val="22"/>
                <w:szCs w:val="22"/>
              </w:rPr>
              <w:t>419.00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221</w:t>
            </w:r>
          </w:p>
        </w:tc>
        <w:tc>
          <w:tcPr>
            <w:tcW w:w="427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住房保障支出</w:t>
            </w:r>
          </w:p>
        </w:tc>
        <w:tc>
          <w:tcPr>
            <w:tcW w:w="284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173.00</w:t>
            </w:r>
          </w:p>
        </w:tc>
        <w:tc>
          <w:tcPr>
            <w:tcW w:w="3294" w:type="dxa"/>
            <w:tcBorders>
              <w:top w:val="nil"/>
              <w:left w:val="nil"/>
              <w:bottom w:val="single" w:color="auto" w:sz="4" w:space="0"/>
              <w:right w:val="single" w:color="auto" w:sz="4" w:space="0"/>
            </w:tcBorders>
            <w:vAlign w:val="center"/>
          </w:tcPr>
          <w:p>
            <w:pPr>
              <w:jc w:val="right"/>
              <w:rPr>
                <w:rFonts w:ascii="Times New Roman" w:hAnsi="Times New Roman" w:eastAsia="仿宋_GB2312" w:cs="Times New Roman"/>
                <w:kern w:val="0"/>
              </w:rPr>
            </w:pPr>
          </w:p>
        </w:tc>
        <w:tc>
          <w:tcPr>
            <w:tcW w:w="2825"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173.00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22101</w:t>
            </w:r>
          </w:p>
        </w:tc>
        <w:tc>
          <w:tcPr>
            <w:tcW w:w="427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保障性安居工程支出</w:t>
            </w:r>
          </w:p>
        </w:tc>
        <w:tc>
          <w:tcPr>
            <w:tcW w:w="284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173.00</w:t>
            </w:r>
          </w:p>
        </w:tc>
        <w:tc>
          <w:tcPr>
            <w:tcW w:w="3294" w:type="dxa"/>
            <w:tcBorders>
              <w:top w:val="nil"/>
              <w:left w:val="nil"/>
              <w:bottom w:val="single" w:color="auto" w:sz="4" w:space="0"/>
              <w:right w:val="single" w:color="auto" w:sz="4" w:space="0"/>
            </w:tcBorders>
            <w:vAlign w:val="center"/>
          </w:tcPr>
          <w:p>
            <w:pPr>
              <w:jc w:val="right"/>
              <w:rPr>
                <w:rFonts w:ascii="Times New Roman" w:hAnsi="Times New Roman" w:eastAsia="仿宋_GB2312" w:cs="Times New Roman"/>
                <w:kern w:val="0"/>
              </w:rPr>
            </w:pPr>
          </w:p>
        </w:tc>
        <w:tc>
          <w:tcPr>
            <w:tcW w:w="2825"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173.00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2210105</w:t>
            </w:r>
          </w:p>
        </w:tc>
        <w:tc>
          <w:tcPr>
            <w:tcW w:w="427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农村危房改造</w:t>
            </w:r>
          </w:p>
        </w:tc>
        <w:tc>
          <w:tcPr>
            <w:tcW w:w="284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173.00</w:t>
            </w:r>
          </w:p>
        </w:tc>
        <w:tc>
          <w:tcPr>
            <w:tcW w:w="3294" w:type="dxa"/>
            <w:tcBorders>
              <w:top w:val="nil"/>
              <w:left w:val="nil"/>
              <w:bottom w:val="single" w:color="auto" w:sz="4" w:space="0"/>
              <w:right w:val="single" w:color="auto" w:sz="4" w:space="0"/>
            </w:tcBorders>
            <w:vAlign w:val="center"/>
          </w:tcPr>
          <w:p>
            <w:pPr>
              <w:jc w:val="right"/>
              <w:rPr>
                <w:rFonts w:ascii="Times New Roman" w:hAnsi="Times New Roman" w:eastAsia="仿宋_GB2312" w:cs="Times New Roman"/>
                <w:kern w:val="0"/>
              </w:rPr>
            </w:pPr>
          </w:p>
        </w:tc>
        <w:tc>
          <w:tcPr>
            <w:tcW w:w="2825"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173.00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224</w:t>
            </w:r>
          </w:p>
        </w:tc>
        <w:tc>
          <w:tcPr>
            <w:tcW w:w="427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灾害防治及应急管理支出</w:t>
            </w:r>
          </w:p>
        </w:tc>
        <w:tc>
          <w:tcPr>
            <w:tcW w:w="284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1,337.42</w:t>
            </w:r>
          </w:p>
        </w:tc>
        <w:tc>
          <w:tcPr>
            <w:tcW w:w="329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1,091.42</w:t>
            </w:r>
          </w:p>
        </w:tc>
        <w:tc>
          <w:tcPr>
            <w:tcW w:w="2825"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246.00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22401</w:t>
            </w:r>
          </w:p>
        </w:tc>
        <w:tc>
          <w:tcPr>
            <w:tcW w:w="427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应急管理事务</w:t>
            </w:r>
          </w:p>
        </w:tc>
        <w:tc>
          <w:tcPr>
            <w:tcW w:w="284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768.00</w:t>
            </w:r>
          </w:p>
        </w:tc>
        <w:tc>
          <w:tcPr>
            <w:tcW w:w="329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742.00</w:t>
            </w:r>
          </w:p>
        </w:tc>
        <w:tc>
          <w:tcPr>
            <w:tcW w:w="2825"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26.00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2240101</w:t>
            </w:r>
          </w:p>
        </w:tc>
        <w:tc>
          <w:tcPr>
            <w:tcW w:w="427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284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702.00</w:t>
            </w:r>
          </w:p>
        </w:tc>
        <w:tc>
          <w:tcPr>
            <w:tcW w:w="329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702.00</w:t>
            </w:r>
          </w:p>
        </w:tc>
        <w:tc>
          <w:tcPr>
            <w:tcW w:w="2825"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2240108</w:t>
            </w:r>
          </w:p>
        </w:tc>
        <w:tc>
          <w:tcPr>
            <w:tcW w:w="427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应急救援</w:t>
            </w:r>
          </w:p>
        </w:tc>
        <w:tc>
          <w:tcPr>
            <w:tcW w:w="284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40.00</w:t>
            </w:r>
          </w:p>
        </w:tc>
        <w:tc>
          <w:tcPr>
            <w:tcW w:w="329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40.00</w:t>
            </w:r>
          </w:p>
        </w:tc>
        <w:tc>
          <w:tcPr>
            <w:tcW w:w="2825"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2240199</w:t>
            </w:r>
          </w:p>
        </w:tc>
        <w:tc>
          <w:tcPr>
            <w:tcW w:w="427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其他应急管理支出</w:t>
            </w:r>
          </w:p>
        </w:tc>
        <w:tc>
          <w:tcPr>
            <w:tcW w:w="284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26.00</w:t>
            </w:r>
          </w:p>
        </w:tc>
        <w:tc>
          <w:tcPr>
            <w:tcW w:w="3294" w:type="dxa"/>
            <w:tcBorders>
              <w:top w:val="nil"/>
              <w:left w:val="nil"/>
              <w:bottom w:val="single" w:color="auto" w:sz="4" w:space="0"/>
              <w:right w:val="single" w:color="auto" w:sz="4" w:space="0"/>
            </w:tcBorders>
            <w:vAlign w:val="center"/>
          </w:tcPr>
          <w:p>
            <w:pPr>
              <w:jc w:val="right"/>
              <w:rPr>
                <w:rFonts w:ascii="Times New Roman" w:hAnsi="Times New Roman" w:eastAsia="仿宋_GB2312" w:cs="Times New Roman"/>
                <w:kern w:val="0"/>
              </w:rPr>
            </w:pPr>
          </w:p>
        </w:tc>
        <w:tc>
          <w:tcPr>
            <w:tcW w:w="2825"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26.00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22407</w:t>
            </w:r>
          </w:p>
        </w:tc>
        <w:tc>
          <w:tcPr>
            <w:tcW w:w="427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自然灾害救灾及恢复重建支出</w:t>
            </w:r>
          </w:p>
        </w:tc>
        <w:tc>
          <w:tcPr>
            <w:tcW w:w="284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200.00</w:t>
            </w:r>
          </w:p>
        </w:tc>
        <w:tc>
          <w:tcPr>
            <w:tcW w:w="3294" w:type="dxa"/>
            <w:tcBorders>
              <w:top w:val="nil"/>
              <w:left w:val="nil"/>
              <w:bottom w:val="single" w:color="auto" w:sz="4" w:space="0"/>
              <w:right w:val="single" w:color="auto" w:sz="4" w:space="0"/>
            </w:tcBorders>
            <w:vAlign w:val="center"/>
          </w:tcPr>
          <w:p>
            <w:pPr>
              <w:jc w:val="right"/>
              <w:rPr>
                <w:rFonts w:ascii="Times New Roman" w:hAnsi="Times New Roman" w:eastAsia="仿宋_GB2312" w:cs="Times New Roman"/>
                <w:kern w:val="0"/>
              </w:rPr>
            </w:pPr>
          </w:p>
        </w:tc>
        <w:tc>
          <w:tcPr>
            <w:tcW w:w="2825"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200.00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2240703</w:t>
            </w:r>
          </w:p>
        </w:tc>
        <w:tc>
          <w:tcPr>
            <w:tcW w:w="427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自然灾害救灾补助</w:t>
            </w:r>
          </w:p>
        </w:tc>
        <w:tc>
          <w:tcPr>
            <w:tcW w:w="284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200.00</w:t>
            </w:r>
          </w:p>
        </w:tc>
        <w:tc>
          <w:tcPr>
            <w:tcW w:w="3294" w:type="dxa"/>
            <w:tcBorders>
              <w:top w:val="nil"/>
              <w:left w:val="nil"/>
              <w:bottom w:val="single" w:color="auto" w:sz="4" w:space="0"/>
              <w:right w:val="single" w:color="auto" w:sz="4" w:space="0"/>
            </w:tcBorders>
            <w:vAlign w:val="center"/>
          </w:tcPr>
          <w:p>
            <w:pPr>
              <w:jc w:val="right"/>
              <w:rPr>
                <w:rFonts w:ascii="Times New Roman" w:hAnsi="Times New Roman" w:eastAsia="仿宋_GB2312" w:cs="Times New Roman"/>
                <w:kern w:val="0"/>
              </w:rPr>
            </w:pPr>
          </w:p>
        </w:tc>
        <w:tc>
          <w:tcPr>
            <w:tcW w:w="2825"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200.00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22499</w:t>
            </w:r>
          </w:p>
        </w:tc>
        <w:tc>
          <w:tcPr>
            <w:tcW w:w="427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其他灾害防治及应急管理支出</w:t>
            </w:r>
          </w:p>
        </w:tc>
        <w:tc>
          <w:tcPr>
            <w:tcW w:w="284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369.42</w:t>
            </w:r>
          </w:p>
        </w:tc>
        <w:tc>
          <w:tcPr>
            <w:tcW w:w="329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349.42</w:t>
            </w:r>
          </w:p>
        </w:tc>
        <w:tc>
          <w:tcPr>
            <w:tcW w:w="2825"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2249999</w:t>
            </w:r>
          </w:p>
        </w:tc>
        <w:tc>
          <w:tcPr>
            <w:tcW w:w="4271"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其他灾害防治及应急管理支出</w:t>
            </w:r>
          </w:p>
        </w:tc>
        <w:tc>
          <w:tcPr>
            <w:tcW w:w="284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369.42</w:t>
            </w:r>
          </w:p>
        </w:tc>
        <w:tc>
          <w:tcPr>
            <w:tcW w:w="329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349.42</w:t>
            </w:r>
          </w:p>
        </w:tc>
        <w:tc>
          <w:tcPr>
            <w:tcW w:w="2825"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20.00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注：本表反映部门本年度一般公共预算财政拨款支出情况。</w:t>
            </w:r>
          </w:p>
        </w:tc>
      </w:tr>
    </w:tbl>
    <w:p>
      <w:pPr>
        <w:widowControl/>
        <w:jc w:val="left"/>
        <w:rPr>
          <w:rFonts w:ascii="Times New Roman" w:hAnsi="Times New Roman" w:eastAsia="仿宋_GB2312" w:cs="Times New Roman"/>
          <w:kern w:val="0"/>
        </w:rPr>
      </w:pPr>
    </w:p>
    <w:p>
      <w:pPr>
        <w:widowControl/>
        <w:jc w:val="left"/>
        <w:rPr>
          <w:rFonts w:ascii="Times New Roman" w:hAnsi="Times New Roman" w:eastAsia="仿宋_GB2312" w:cs="Times New Roman"/>
          <w:kern w:val="0"/>
        </w:rPr>
      </w:pPr>
      <w:r>
        <w:rPr>
          <w:rFonts w:ascii="Times New Roman" w:hAnsi="Times New Roman" w:eastAsia="仿宋_GB2312" w:cs="Times New Roman"/>
          <w:kern w:val="0"/>
        </w:rPr>
        <w:br w:type="page"/>
      </w:r>
    </w:p>
    <w:tbl>
      <w:tblPr>
        <w:tblStyle w:val="7"/>
        <w:tblW w:w="0" w:type="auto"/>
        <w:tblInd w:w="-106" w:type="dxa"/>
        <w:tblLayout w:type="autofit"/>
        <w:tblCellMar>
          <w:top w:w="0" w:type="dxa"/>
          <w:left w:w="108" w:type="dxa"/>
          <w:bottom w:w="0" w:type="dxa"/>
          <w:right w:w="108" w:type="dxa"/>
        </w:tblCellMar>
      </w:tblPr>
      <w:tblGrid>
        <w:gridCol w:w="1293"/>
        <w:gridCol w:w="3239"/>
        <w:gridCol w:w="849"/>
        <w:gridCol w:w="1181"/>
        <w:gridCol w:w="2231"/>
        <w:gridCol w:w="849"/>
        <w:gridCol w:w="1182"/>
        <w:gridCol w:w="4046"/>
        <w:gridCol w:w="850"/>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noWrap/>
            <w:vAlign w:val="center"/>
          </w:tcPr>
          <w:p>
            <w:pPr>
              <w:widowControl/>
              <w:jc w:val="center"/>
              <w:rPr>
                <w:rFonts w:ascii="华文中宋" w:hAnsi="华文中宋" w:eastAsia="华文中宋" w:cs="Times New Roman"/>
                <w:color w:val="000000"/>
                <w:kern w:val="0"/>
              </w:rPr>
            </w:pPr>
            <w:bookmarkStart w:id="2" w:name="RANGE_A1_I34"/>
            <w:r>
              <w:rPr>
                <w:rFonts w:hint="eastAsia" w:ascii="华文中宋" w:hAnsi="华文中宋" w:eastAsia="华文中宋" w:cs="华文中宋"/>
                <w:color w:val="000000"/>
                <w:kern w:val="0"/>
              </w:rPr>
              <w:t>一般公共预算财政拨款基本支出决算明细表</w:t>
            </w:r>
            <w:bookmarkEnd w:id="2"/>
          </w:p>
          <w:p>
            <w:pPr>
              <w:widowControl/>
              <w:wordWrap w:val="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w:t>
            </w:r>
            <w:r>
              <w:rPr>
                <w:rFonts w:hint="eastAsia" w:ascii="宋体" w:hAnsi="宋体" w:cs="宋体"/>
                <w:color w:val="000000"/>
                <w:kern w:val="0"/>
                <w:sz w:val="20"/>
                <w:szCs w:val="20"/>
              </w:rPr>
              <w:t>道县应急管理局</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06</w:t>
            </w:r>
            <w:r>
              <w:rPr>
                <w:rFonts w:hint="eastAsia" w:ascii="Times New Roman" w:hAnsi="Times New Roman" w:eastAsia="仿宋_GB2312" w:cs="仿宋_GB2312"/>
                <w:color w:val="000000"/>
                <w:kern w:val="0"/>
              </w:rPr>
              <w:t>表</w:t>
            </w:r>
          </w:p>
          <w:p>
            <w:pPr>
              <w:widowControl/>
              <w:jc w:val="right"/>
              <w:rPr>
                <w:rFonts w:ascii="华文中宋" w:hAnsi="华文中宋" w:eastAsia="华文中宋" w:cs="Times New Roman"/>
                <w:color w:val="000000"/>
                <w:kern w:val="0"/>
              </w:rPr>
            </w:pPr>
            <w:r>
              <w:rPr>
                <w:rFonts w:hint="eastAsia" w:ascii="Times New Roman" w:hAnsi="Times New Roman" w:eastAsia="仿宋_GB2312" w:cs="仿宋_GB2312"/>
                <w:color w:val="000000"/>
                <w:kern w:val="0"/>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决算数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经济分类科目编码</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决算数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经济分类科目编码</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工资福利支出</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607.62</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商品和服务支出</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483.80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307</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债务利息及费用支出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基本工资</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130.90</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30201</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56.00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30701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国内债务付息</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30102</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津贴补贴</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36.00</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30202</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印刷费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70.00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30702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国外债务付息</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奖金</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123.43</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30203</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咨询费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资本性支出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30106</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伙食补助费</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20.00</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30204</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手续费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房屋建筑物购建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30107</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绩效工资</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96.00</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30205</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水费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2.00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办公设备购置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30108</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83.00</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30206</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电费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12.00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31003</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专用设备购置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职业年金缴费</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41.50</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30207</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邮电费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31005</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基础设施建设</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30110</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职工基本医疗保险缴费</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37.00</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30208</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取暖费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31006</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大型修缮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公务员医疗补助缴费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物业管理费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31007</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信息网络及软件购置更新</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30112</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其他社会保障缴费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30211</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差旅费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10.00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31008</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物资储备</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住房公积金</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39.79</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30212</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因公出国（境）费用</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土地补偿</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30114</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30213</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维修（护）费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39.80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31010</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安置补助</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30199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其他工资福利支出</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30214</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租赁费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10.00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地上附着物和青苗补偿</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对个人和家庭的补助</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30215</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会议费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10.00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拆迁补偿</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离休费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30216</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培训费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11.00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31013</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30302</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退休费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30217</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公务接待费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14.00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其他交通工具购置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退职（役）费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30218</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专用材料费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100.00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31021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文物和陈列品购置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30304</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抚恤金</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30224</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被装购置费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31022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无形资产购置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30305</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生活补助</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30225</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专用燃料费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31099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其他资本性支出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30306</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救济费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30226</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劳务费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4.00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其他支出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30307</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医疗费补助</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30227</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委托业务费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39906</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赠与</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30308</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助学金</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30228</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工会经费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30.00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39907</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国家赔偿费用支出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奖励金</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福利费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39908</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对民间非营利组织和群众性自治组织补贴</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30310</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个人农业生产补贴</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30231</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公务用车运行维护费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12.00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39999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30311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代缴社会保险费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30239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其他交通费用</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30.00</w:t>
            </w:r>
          </w:p>
        </w:tc>
        <w:tc>
          <w:tcPr>
            <w:tcW w:w="1223"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420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30399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其他对个人和家庭的补助</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30240</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税金及附加费用</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420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jc w:val="left"/>
              <w:rPr>
                <w:rFonts w:ascii="宋体" w:cs="Times New Roman"/>
                <w:color w:val="000000"/>
                <w:kern w:val="0"/>
              </w:rPr>
            </w:pPr>
          </w:p>
        </w:tc>
        <w:tc>
          <w:tcPr>
            <w:tcW w:w="336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30299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其他商品和服务支出</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73.00</w:t>
            </w:r>
          </w:p>
        </w:tc>
        <w:tc>
          <w:tcPr>
            <w:tcW w:w="1223"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420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color w:val="000000"/>
                <w:kern w:val="0"/>
              </w:rPr>
            </w:pPr>
            <w:r>
              <w:rPr>
                <w:rFonts w:hint="eastAsia" w:ascii="宋体" w:hAnsi="宋体" w:cs="宋体"/>
                <w:color w:val="000000"/>
                <w:kern w:val="0"/>
                <w:sz w:val="22"/>
                <w:szCs w:val="22"/>
              </w:rPr>
              <w:t>人员经费合计</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607.62</w:t>
            </w:r>
          </w:p>
        </w:tc>
        <w:tc>
          <w:tcPr>
            <w:tcW w:w="9615" w:type="dxa"/>
            <w:gridSpan w:val="5"/>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cs="Times New Roman"/>
                <w:color w:val="000000"/>
                <w:kern w:val="0"/>
              </w:rPr>
            </w:pPr>
            <w:r>
              <w:rPr>
                <w:rFonts w:hint="eastAsia" w:ascii="宋体" w:hAnsi="宋体" w:cs="宋体"/>
                <w:color w:val="000000"/>
                <w:kern w:val="0"/>
                <w:sz w:val="22"/>
                <w:szCs w:val="22"/>
              </w:rPr>
              <w:t>公用经费合计</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483.80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noWrap/>
            <w:vAlign w:val="center"/>
          </w:tcPr>
          <w:p>
            <w:pPr>
              <w:widowControl/>
              <w:jc w:val="left"/>
              <w:rPr>
                <w:rFonts w:ascii="宋体" w:cs="Times New Roman"/>
                <w:color w:val="000000"/>
                <w:kern w:val="0"/>
              </w:rPr>
            </w:pPr>
            <w:r>
              <w:rPr>
                <w:rFonts w:hint="eastAsia" w:ascii="宋体" w:hAnsi="宋体" w:cs="宋体"/>
                <w:color w:val="000000"/>
                <w:kern w:val="0"/>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方正小标宋_GBK"/>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w:t>
      </w:r>
      <w:r>
        <w:rPr>
          <w:rFonts w:hint="eastAsia" w:ascii="宋体" w:hAnsi="宋体" w:cs="宋体"/>
          <w:color w:val="000000"/>
          <w:kern w:val="0"/>
          <w:sz w:val="20"/>
          <w:szCs w:val="20"/>
        </w:rPr>
        <w:t>道县应急管理局</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07</w:t>
      </w:r>
      <w:r>
        <w:rPr>
          <w:rFonts w:hint="eastAsia" w:ascii="Times New Roman" w:hAnsi="Times New Roman" w:eastAsia="仿宋_GB2312" w:cs="仿宋_GB2312"/>
          <w:color w:val="000000"/>
          <w:kern w:val="0"/>
        </w:rPr>
        <w:t>表</w:t>
      </w:r>
    </w:p>
    <w:p>
      <w:pPr>
        <w:widowControl/>
        <w:ind w:right="42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6</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7</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8</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9</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10</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11</w:t>
            </w:r>
          </w:p>
        </w:tc>
        <w:tc>
          <w:tcPr>
            <w:tcW w:w="122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40.00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20.00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20.00</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15.00</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26.00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12.00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nil"/>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12.00</w:t>
            </w:r>
          </w:p>
        </w:tc>
        <w:tc>
          <w:tcPr>
            <w:tcW w:w="1220" w:type="dxa"/>
            <w:tcBorders>
              <w:top w:val="nil"/>
              <w:left w:val="single" w:color="auto" w:sz="4" w:space="0"/>
              <w:bottom w:val="single" w:color="auto" w:sz="8"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14.00</w:t>
            </w:r>
          </w:p>
        </w:tc>
      </w:tr>
    </w:tbl>
    <w:p>
      <w:pPr>
        <w:widowControl/>
        <w:jc w:val="left"/>
        <w:rPr>
          <w:rFonts w:ascii="宋体" w:cs="Times New Roman"/>
          <w:kern w:val="0"/>
          <w:sz w:val="24"/>
          <w:szCs w:val="24"/>
        </w:rPr>
      </w:pPr>
      <w:r>
        <w:rPr>
          <w:rFonts w:hint="eastAsia" w:ascii="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cs="Times New Roman"/>
          <w:kern w:val="0"/>
          <w:sz w:val="24"/>
          <w:szCs w:val="24"/>
        </w:rPr>
        <w:br w:type="page"/>
      </w:r>
    </w:p>
    <w:p>
      <w:pPr>
        <w:autoSpaceDE w:val="0"/>
        <w:autoSpaceDN w:val="0"/>
        <w:adjustRightInd w:val="0"/>
        <w:ind w:left="315" w:leftChars="150"/>
        <w:jc w:val="left"/>
        <w:rPr>
          <w:rFonts w:ascii="宋体" w:cs="Times New Roman"/>
          <w:kern w:val="0"/>
          <w:sz w:val="24"/>
          <w:szCs w:val="24"/>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方正小标宋_GBK"/>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w:t>
      </w:r>
      <w:r>
        <w:rPr>
          <w:rFonts w:hint="eastAsia" w:ascii="宋体" w:hAnsi="宋体" w:cs="宋体"/>
          <w:color w:val="000000"/>
          <w:kern w:val="0"/>
          <w:sz w:val="20"/>
          <w:szCs w:val="20"/>
        </w:rPr>
        <w:t>道县应急管理局</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08</w:t>
      </w:r>
      <w:r>
        <w:rPr>
          <w:rFonts w:hint="eastAsia" w:ascii="Times New Roman" w:hAnsi="Times New Roman" w:eastAsia="仿宋_GB2312" w:cs="仿宋_GB2312"/>
          <w:color w:val="000000"/>
          <w:kern w:val="0"/>
        </w:rPr>
        <w:t>表</w:t>
      </w:r>
    </w:p>
    <w:p>
      <w:pPr>
        <w:widowControl/>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w:t>
            </w:r>
            <w:r>
              <w:rPr>
                <w:rFonts w:ascii="Times New Roman" w:hAnsi="Times New Roman" w:eastAsia="仿宋_GB2312" w:cs="Times New Roman"/>
                <w:b/>
                <w:bCs/>
                <w:kern w:val="0"/>
              </w:rPr>
              <w:t xml:space="preserve"> </w:t>
            </w:r>
            <w:r>
              <w:rPr>
                <w:rFonts w:hint="eastAsia" w:ascii="Times New Roman" w:hAnsi="Times New Roman" w:eastAsia="仿宋_GB2312" w:cs="仿宋_GB2312"/>
                <w:b/>
                <w:bCs/>
                <w:kern w:val="0"/>
              </w:rPr>
              <w:t>目</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年初结转和结余</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本年收入</w:t>
            </w:r>
          </w:p>
        </w:tc>
        <w:tc>
          <w:tcPr>
            <w:tcW w:w="6000" w:type="dxa"/>
            <w:gridSpan w:val="3"/>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本年支出</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功能分类科目编码</w:t>
            </w:r>
          </w:p>
        </w:tc>
        <w:tc>
          <w:tcPr>
            <w:tcW w:w="132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科目名称</w:t>
            </w:r>
          </w:p>
        </w:tc>
        <w:tc>
          <w:tcPr>
            <w:tcW w:w="2000" w:type="dxa"/>
            <w:vMerge w:val="continue"/>
            <w:vAlign w:val="center"/>
          </w:tcPr>
          <w:p>
            <w:pPr>
              <w:widowControl/>
              <w:jc w:val="left"/>
              <w:rPr>
                <w:rFonts w:ascii="Times New Roman" w:hAnsi="Times New Roman" w:eastAsia="仿宋_GB2312" w:cs="Times New Roman"/>
                <w:b/>
                <w:bCs/>
                <w:kern w:val="0"/>
              </w:rPr>
            </w:pPr>
          </w:p>
        </w:tc>
        <w:tc>
          <w:tcPr>
            <w:tcW w:w="2000" w:type="dxa"/>
            <w:vMerge w:val="continue"/>
            <w:vAlign w:val="center"/>
          </w:tcPr>
          <w:p>
            <w:pPr>
              <w:widowControl/>
              <w:jc w:val="left"/>
              <w:rPr>
                <w:rFonts w:ascii="Times New Roman" w:hAnsi="Times New Roman" w:eastAsia="仿宋_GB2312" w:cs="Times New Roman"/>
                <w:b/>
                <w:bCs/>
                <w:kern w:val="0"/>
              </w:rPr>
            </w:pP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小计</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基本支出</w:t>
            </w:r>
            <w:r>
              <w:rPr>
                <w:rFonts w:ascii="Times New Roman" w:hAnsi="Times New Roman" w:eastAsia="仿宋_GB2312" w:cs="Times New Roman"/>
                <w:b/>
                <w:bCs/>
                <w:kern w:val="0"/>
              </w:rPr>
              <w:t xml:space="preserve">  </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项目支出</w:t>
            </w:r>
          </w:p>
        </w:tc>
        <w:tc>
          <w:tcPr>
            <w:tcW w:w="2000" w:type="dxa"/>
            <w:vMerge w:val="continue"/>
            <w:vAlign w:val="center"/>
          </w:tcPr>
          <w:p>
            <w:pPr>
              <w:widowControl/>
              <w:jc w:val="left"/>
              <w:rPr>
                <w:rFonts w:ascii="Times New Roman" w:hAnsi="Times New Roman" w:eastAsia="仿宋_GB2312" w:cs="Times New Roman"/>
                <w:b/>
                <w:bCs/>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rPr>
            </w:pPr>
          </w:p>
        </w:tc>
        <w:tc>
          <w:tcPr>
            <w:tcW w:w="132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rPr>
            </w:pPr>
          </w:p>
        </w:tc>
        <w:tc>
          <w:tcPr>
            <w:tcW w:w="132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栏次</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bl>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注：本表反映部门本年度政府性基金预算财政拨款收入、支出及结转和结余情况</w:t>
      </w:r>
    </w:p>
    <w:p>
      <w:pPr>
        <w:widowControl/>
        <w:jc w:val="left"/>
        <w:rPr>
          <w:rFonts w:ascii="Times New Roman" w:hAnsi="Times New Roman" w:eastAsia="仿宋_GB2312" w:cs="Times New Roman"/>
          <w:kern w:val="0"/>
        </w:rPr>
      </w:pPr>
      <w:r>
        <w:rPr>
          <w:rFonts w:ascii="Times New Roman" w:hAnsi="Times New Roman" w:eastAsia="仿宋_GB2312" w:cs="Times New Roman"/>
          <w:kern w:val="0"/>
        </w:rPr>
        <w:t>(</w:t>
      </w:r>
      <w:r>
        <w:rPr>
          <w:rFonts w:hint="eastAsia" w:ascii="Times New Roman" w:hAnsi="Times New Roman" w:eastAsia="仿宋_GB2312" w:cs="仿宋_GB2312"/>
          <w:kern w:val="0"/>
        </w:rPr>
        <w:t>请说明：道县应急管理局没有政府性基金收入，也没有使用政府性基金安排的支出，故本表无数据</w:t>
      </w:r>
      <w:r>
        <w:rPr>
          <w:rFonts w:ascii="Times New Roman" w:hAnsi="Times New Roman" w:eastAsia="仿宋_GB2312" w:cs="Times New Roman"/>
          <w:kern w:val="0"/>
        </w:rPr>
        <w:t>)</w:t>
      </w:r>
      <w:r>
        <w:rPr>
          <w:rFonts w:hint="eastAsia" w:ascii="Times New Roman" w:hAnsi="Times New Roman" w:eastAsia="仿宋_GB2312" w:cs="仿宋_GB2312"/>
          <w:kern w:val="0"/>
        </w:rPr>
        <w:t>。</w:t>
      </w:r>
    </w:p>
    <w:p>
      <w:pPr>
        <w:widowControl/>
        <w:jc w:val="left"/>
        <w:rPr>
          <w:rFonts w:ascii="黑体" w:hAnsi="黑体" w:eastAsia="黑体" w:cs="Times New Roman"/>
        </w:rPr>
      </w:pPr>
      <w:r>
        <w:rPr>
          <w:rFonts w:ascii="黑体" w:hAnsi="黑体" w:eastAsia="黑体" w:cs="Times New Roman"/>
        </w:rPr>
        <w:br w:type="page"/>
      </w:r>
    </w:p>
    <w:tbl>
      <w:tblPr>
        <w:tblStyle w:val="7"/>
        <w:tblW w:w="14190" w:type="dxa"/>
        <w:tblInd w:w="-106"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Times New Roman"/>
                <w:kern w:val="0"/>
                <w:sz w:val="32"/>
                <w:szCs w:val="32"/>
              </w:rPr>
            </w:pPr>
            <w:r>
              <w:rPr>
                <w:rFonts w:hint="eastAsia" w:ascii="华文中宋" w:hAnsi="华文中宋" w:eastAsia="华文中宋" w:cs="华文中宋"/>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09</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color w:val="000000"/>
                <w:kern w:val="0"/>
                <w:sz w:val="20"/>
                <w:szCs w:val="20"/>
              </w:rPr>
              <w:t>道县应急管理局</w:t>
            </w:r>
            <w:r>
              <w:rPr>
                <w:rFonts w:hint="eastAsia" w:ascii="宋体" w:hAnsi="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基本支出</w:t>
            </w:r>
            <w:r>
              <w:rPr>
                <w:rFonts w:ascii="宋体" w:hAnsi="宋体" w:cs="宋体"/>
                <w:kern w:val="0"/>
                <w:sz w:val="24"/>
                <w:szCs w:val="24"/>
              </w:rPr>
              <w:t xml:space="preserve">  </w:t>
            </w:r>
          </w:p>
        </w:tc>
        <w:tc>
          <w:tcPr>
            <w:tcW w:w="38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栏次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3827"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vAlign w:val="center"/>
          </w:tcPr>
          <w:p>
            <w:pPr>
              <w:widowControl/>
              <w:jc w:val="left"/>
              <w:rPr>
                <w:rFonts w:ascii="Times New Roman" w:hAnsi="Times New Roman" w:eastAsia="仿宋_GB2312" w:cs="Times New Roman"/>
                <w:kern w:val="0"/>
              </w:rPr>
            </w:pPr>
            <w:r>
              <w:rPr>
                <w:rFonts w:hint="eastAsia" w:ascii="宋体" w:hAnsi="宋体" w:cs="宋体"/>
                <w:kern w:val="0"/>
                <w:sz w:val="24"/>
                <w:szCs w:val="24"/>
              </w:rPr>
              <w:t>注：</w:t>
            </w:r>
            <w:r>
              <w:rPr>
                <w:rFonts w:ascii="Times New Roman" w:hAnsi="Times New Roman" w:eastAsia="仿宋_GB2312" w:cs="Times New Roman"/>
                <w:kern w:val="0"/>
              </w:rPr>
              <w:t>(</w:t>
            </w:r>
            <w:r>
              <w:rPr>
                <w:rFonts w:hint="eastAsia" w:ascii="Times New Roman" w:hAnsi="Times New Roman" w:eastAsia="仿宋_GB2312" w:cs="仿宋_GB2312"/>
                <w:kern w:val="0"/>
              </w:rPr>
              <w:t>请说明：道县应急管理局没有国有资本经营预算收入，也没有国有资本经营安排的支出，故本表无数据</w:t>
            </w:r>
            <w:r>
              <w:rPr>
                <w:rFonts w:ascii="Times New Roman" w:hAnsi="Times New Roman" w:eastAsia="仿宋_GB2312" w:cs="Times New Roman"/>
                <w:kern w:val="0"/>
              </w:rPr>
              <w:t>)</w:t>
            </w:r>
            <w:r>
              <w:rPr>
                <w:rFonts w:hint="eastAsia" w:ascii="Times New Roman" w:hAnsi="Times New Roman" w:eastAsia="仿宋_GB2312" w:cs="仿宋_GB2312"/>
                <w:kern w:val="0"/>
              </w:rPr>
              <w:t>。</w:t>
            </w:r>
          </w:p>
          <w:p>
            <w:pPr>
              <w:widowControl/>
              <w:jc w:val="left"/>
              <w:rPr>
                <w:rFonts w:ascii="宋体" w:cs="Times New Roman"/>
                <w:kern w:val="0"/>
                <w:sz w:val="24"/>
                <w:szCs w:val="24"/>
              </w:rPr>
            </w:pPr>
          </w:p>
        </w:tc>
      </w:tr>
    </w:tbl>
    <w:p>
      <w:pPr>
        <w:pStyle w:val="13"/>
        <w:rPr>
          <w:rFonts w:cs="Times New Roman"/>
          <w:sz w:val="72"/>
          <w:szCs w:val="72"/>
        </w:rPr>
        <w:sectPr>
          <w:pgSz w:w="16838" w:h="11906" w:orient="landscape"/>
          <w:pgMar w:top="720" w:right="720" w:bottom="720" w:left="720" w:header="851" w:footer="992" w:gutter="0"/>
          <w:cols w:space="425" w:num="1"/>
          <w:docGrid w:type="lines" w:linePitch="312" w:charSpace="0"/>
        </w:sectPr>
      </w:pPr>
    </w:p>
    <w:p>
      <w:pPr>
        <w:pStyle w:val="13"/>
        <w:rPr>
          <w:rFonts w:cs="Times New Roman"/>
          <w:sz w:val="72"/>
          <w:szCs w:val="72"/>
        </w:rPr>
      </w:pPr>
    </w:p>
    <w:p>
      <w:pPr>
        <w:pStyle w:val="13"/>
        <w:rPr>
          <w:rFonts w:cs="Times New Roman"/>
          <w:sz w:val="72"/>
          <w:szCs w:val="72"/>
        </w:rPr>
      </w:pPr>
    </w:p>
    <w:p>
      <w:pPr>
        <w:pStyle w:val="13"/>
        <w:rPr>
          <w:rFonts w:cs="Times New Roman"/>
          <w:sz w:val="72"/>
          <w:szCs w:val="72"/>
        </w:rPr>
      </w:pPr>
    </w:p>
    <w:p>
      <w:pPr>
        <w:pStyle w:val="13"/>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r>
        <w:rPr>
          <w:rFonts w:hint="eastAsia"/>
          <w:sz w:val="72"/>
          <w:szCs w:val="72"/>
        </w:rPr>
        <w:t>第三部分</w:t>
      </w:r>
    </w:p>
    <w:p>
      <w:pPr>
        <w:pStyle w:val="13"/>
        <w:jc w:val="center"/>
        <w:rPr>
          <w:rFonts w:cs="Times New Roman"/>
          <w:sz w:val="70"/>
          <w:szCs w:val="70"/>
        </w:rPr>
      </w:pPr>
    </w:p>
    <w:p>
      <w:pPr>
        <w:pStyle w:val="13"/>
        <w:jc w:val="center"/>
        <w:rPr>
          <w:rFonts w:cs="Times New Roman"/>
          <w:sz w:val="70"/>
          <w:szCs w:val="70"/>
        </w:rPr>
      </w:pPr>
      <w:r>
        <w:rPr>
          <w:sz w:val="70"/>
          <w:szCs w:val="70"/>
        </w:rPr>
        <w:t>2021</w:t>
      </w:r>
      <w:r>
        <w:rPr>
          <w:rFonts w:hint="eastAsia"/>
          <w:sz w:val="70"/>
          <w:szCs w:val="70"/>
        </w:rPr>
        <w:t>年度部门决算情况说明</w:t>
      </w:r>
    </w:p>
    <w:p>
      <w:pPr>
        <w:widowControl/>
        <w:jc w:val="left"/>
        <w:rPr>
          <w:rFonts w:ascii="黑体" w:eastAsia="黑体" w:cs="Times New Roman"/>
          <w:color w:val="000000"/>
          <w:kern w:val="0"/>
          <w:sz w:val="70"/>
          <w:szCs w:val="70"/>
        </w:rPr>
      </w:pPr>
      <w:r>
        <w:rPr>
          <w:rFonts w:cs="Times New Roman"/>
          <w:sz w:val="70"/>
          <w:szCs w:val="70"/>
        </w:rPr>
        <w:br w:type="page"/>
      </w:r>
    </w:p>
    <w:p>
      <w:pPr>
        <w:pStyle w:val="13"/>
        <w:rPr>
          <w:rFonts w:ascii="宋体" w:hAnsi="宋体" w:eastAsia="宋体" w:cs="Times New Roman"/>
          <w:sz w:val="32"/>
          <w:szCs w:val="32"/>
        </w:rPr>
      </w:pPr>
    </w:p>
    <w:p>
      <w:pPr>
        <w:pStyle w:val="13"/>
        <w:ind w:firstLine="640" w:firstLineChars="200"/>
        <w:rPr>
          <w:rFonts w:hAnsi="黑体" w:cs="Times New Roman"/>
          <w:b/>
          <w:bCs/>
          <w:sz w:val="32"/>
          <w:szCs w:val="32"/>
        </w:rPr>
      </w:pPr>
      <w:r>
        <w:rPr>
          <w:rFonts w:hint="eastAsia" w:hAnsi="黑体"/>
          <w:b/>
          <w:bCs/>
          <w:sz w:val="32"/>
          <w:szCs w:val="32"/>
        </w:rPr>
        <w:t>一、收入支出决算总体情况说明</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年度收、支总计</w:t>
      </w:r>
      <w:r>
        <w:rPr>
          <w:rFonts w:ascii="宋体" w:hAnsi="宋体" w:eastAsia="宋体" w:cs="宋体"/>
          <w:sz w:val="32"/>
          <w:szCs w:val="32"/>
        </w:rPr>
        <w:t>1510.42</w:t>
      </w:r>
      <w:r>
        <w:rPr>
          <w:rFonts w:hint="eastAsia" w:ascii="宋体" w:hAnsi="宋体" w:eastAsia="宋体" w:cs="宋体"/>
          <w:sz w:val="32"/>
          <w:szCs w:val="32"/>
        </w:rPr>
        <w:t>万元。与上一年度相比，收、支总计各增加</w:t>
      </w:r>
      <w:r>
        <w:rPr>
          <w:rFonts w:ascii="宋体" w:hAnsi="宋体" w:eastAsia="宋体" w:cs="宋体"/>
          <w:sz w:val="32"/>
          <w:szCs w:val="32"/>
        </w:rPr>
        <w:t>495.28</w:t>
      </w:r>
      <w:r>
        <w:rPr>
          <w:rFonts w:hint="eastAsia" w:ascii="宋体" w:hAnsi="宋体" w:eastAsia="宋体" w:cs="宋体"/>
          <w:sz w:val="32"/>
          <w:szCs w:val="32"/>
        </w:rPr>
        <w:t>万元，增长</w:t>
      </w:r>
      <w:r>
        <w:rPr>
          <w:rFonts w:ascii="宋体" w:hAnsi="宋体" w:eastAsia="宋体" w:cs="宋体"/>
          <w:sz w:val="32"/>
          <w:szCs w:val="32"/>
        </w:rPr>
        <w:t>48%</w:t>
      </w:r>
      <w:r>
        <w:rPr>
          <w:rFonts w:hint="eastAsia" w:ascii="宋体" w:hAnsi="宋体" w:eastAsia="宋体" w:cs="宋体"/>
          <w:sz w:val="32"/>
          <w:szCs w:val="32"/>
        </w:rPr>
        <w:t>。主要是因为</w:t>
      </w:r>
      <w:r>
        <w:rPr>
          <w:rFonts w:ascii="宋体" w:hAnsi="宋体" w:eastAsia="宋体" w:cs="宋体"/>
          <w:sz w:val="32"/>
          <w:szCs w:val="32"/>
        </w:rPr>
        <w:t>2021</w:t>
      </w:r>
      <w:r>
        <w:rPr>
          <w:rFonts w:hint="eastAsia" w:ascii="宋体" w:hAnsi="宋体" w:eastAsia="宋体" w:cs="宋体"/>
          <w:sz w:val="32"/>
          <w:szCs w:val="32"/>
        </w:rPr>
        <w:t>年省级指标</w:t>
      </w:r>
      <w:r>
        <w:rPr>
          <w:rFonts w:ascii="宋体" w:hAnsi="宋体" w:eastAsia="宋体" w:cs="宋体"/>
          <w:sz w:val="32"/>
          <w:szCs w:val="32"/>
        </w:rPr>
        <w:t>419</w:t>
      </w:r>
      <w:r>
        <w:rPr>
          <w:rFonts w:hint="eastAsia" w:ascii="宋体" w:hAnsi="宋体" w:eastAsia="宋体" w:cs="宋体"/>
          <w:sz w:val="32"/>
          <w:szCs w:val="32"/>
        </w:rPr>
        <w:t>万元专项资金，未列入年初预算，职能职责增加，各项开支增加</w:t>
      </w:r>
      <w:r>
        <w:rPr>
          <w:rFonts w:ascii="宋体" w:hAnsi="宋体" w:eastAsia="宋体" w:cs="宋体"/>
          <w:sz w:val="32"/>
          <w:szCs w:val="32"/>
        </w:rPr>
        <w:t>76.48</w:t>
      </w:r>
      <w:r>
        <w:rPr>
          <w:rFonts w:hint="eastAsia" w:ascii="宋体" w:hAnsi="宋体" w:eastAsia="宋体" w:cs="宋体"/>
          <w:sz w:val="32"/>
          <w:szCs w:val="32"/>
        </w:rPr>
        <w:t>万元。</w:t>
      </w:r>
    </w:p>
    <w:p>
      <w:pPr>
        <w:pStyle w:val="13"/>
        <w:ind w:firstLine="640" w:firstLineChars="200"/>
        <w:rPr>
          <w:rFonts w:hAnsi="黑体" w:cs="Times New Roman"/>
          <w:b/>
          <w:bCs/>
          <w:sz w:val="32"/>
          <w:szCs w:val="32"/>
        </w:rPr>
      </w:pPr>
      <w:r>
        <w:rPr>
          <w:rFonts w:hint="eastAsia" w:hAnsi="黑体"/>
          <w:b/>
          <w:bCs/>
          <w:sz w:val="32"/>
          <w:szCs w:val="32"/>
        </w:rPr>
        <w:t>二、收入决算情况说明</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年度收入合计</w:t>
      </w:r>
      <w:r>
        <w:rPr>
          <w:rFonts w:ascii="宋体" w:hAnsi="宋体" w:eastAsia="宋体" w:cs="宋体"/>
          <w:sz w:val="32"/>
          <w:szCs w:val="32"/>
        </w:rPr>
        <w:t>1510.42</w:t>
      </w:r>
      <w:r>
        <w:rPr>
          <w:rFonts w:hint="eastAsia" w:ascii="宋体" w:hAnsi="宋体" w:eastAsia="宋体" w:cs="宋体"/>
          <w:sz w:val="32"/>
          <w:szCs w:val="32"/>
        </w:rPr>
        <w:t>万元，其中：财政拨款收入</w:t>
      </w:r>
      <w:r>
        <w:rPr>
          <w:rFonts w:ascii="宋体" w:hAnsi="宋体" w:eastAsia="宋体" w:cs="宋体"/>
          <w:sz w:val="32"/>
          <w:szCs w:val="32"/>
        </w:rPr>
        <w:t>1510.42</w:t>
      </w:r>
      <w:r>
        <w:rPr>
          <w:rFonts w:hint="eastAsia" w:ascii="宋体" w:hAnsi="宋体" w:eastAsia="宋体" w:cs="宋体"/>
          <w:sz w:val="32"/>
          <w:szCs w:val="32"/>
        </w:rPr>
        <w:t>万元，占</w:t>
      </w:r>
      <w:r>
        <w:rPr>
          <w:rFonts w:ascii="宋体" w:hAnsi="宋体" w:eastAsia="宋体" w:cs="宋体"/>
          <w:sz w:val="32"/>
          <w:szCs w:val="32"/>
        </w:rPr>
        <w:t>100%</w:t>
      </w:r>
      <w:r>
        <w:rPr>
          <w:rFonts w:hint="eastAsia" w:ascii="宋体" w:hAnsi="宋体" w:eastAsia="宋体" w:cs="宋体"/>
          <w:sz w:val="32"/>
          <w:szCs w:val="32"/>
        </w:rPr>
        <w:t>；上级补助收入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；事业收入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；经营收入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；附属单位上缴收入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；其他收入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w:t>
      </w:r>
    </w:p>
    <w:p>
      <w:pPr>
        <w:pStyle w:val="13"/>
        <w:ind w:firstLine="640" w:firstLineChars="200"/>
        <w:rPr>
          <w:rFonts w:hAnsi="黑体" w:cs="Times New Roman"/>
          <w:b/>
          <w:bCs/>
          <w:sz w:val="32"/>
          <w:szCs w:val="32"/>
        </w:rPr>
      </w:pPr>
      <w:r>
        <w:rPr>
          <w:rFonts w:hint="eastAsia" w:hAnsi="黑体"/>
          <w:b/>
          <w:bCs/>
          <w:sz w:val="32"/>
          <w:szCs w:val="32"/>
        </w:rPr>
        <w:t>三、支出决算情况说明</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年度支出合计</w:t>
      </w:r>
      <w:r>
        <w:rPr>
          <w:rFonts w:ascii="宋体" w:hAnsi="宋体" w:eastAsia="宋体" w:cs="宋体"/>
          <w:sz w:val="32"/>
          <w:szCs w:val="32"/>
        </w:rPr>
        <w:t>1510.42</w:t>
      </w:r>
      <w:r>
        <w:rPr>
          <w:rFonts w:hint="eastAsia" w:ascii="宋体" w:hAnsi="宋体" w:eastAsia="宋体" w:cs="宋体"/>
          <w:sz w:val="32"/>
          <w:szCs w:val="32"/>
        </w:rPr>
        <w:t>万元，其中：基本支出</w:t>
      </w:r>
      <w:r>
        <w:rPr>
          <w:rFonts w:ascii="宋体" w:hAnsi="宋体" w:eastAsia="宋体" w:cs="宋体"/>
          <w:sz w:val="32"/>
          <w:szCs w:val="32"/>
        </w:rPr>
        <w:t>1091.42</w:t>
      </w:r>
      <w:r>
        <w:rPr>
          <w:rFonts w:hint="eastAsia" w:ascii="宋体" w:hAnsi="宋体" w:eastAsia="宋体" w:cs="宋体"/>
          <w:sz w:val="32"/>
          <w:szCs w:val="32"/>
        </w:rPr>
        <w:t>万元，占</w:t>
      </w:r>
      <w:r>
        <w:rPr>
          <w:rFonts w:ascii="宋体" w:hAnsi="宋体" w:eastAsia="宋体" w:cs="宋体"/>
          <w:sz w:val="32"/>
          <w:szCs w:val="32"/>
        </w:rPr>
        <w:t>72.25%</w:t>
      </w:r>
      <w:r>
        <w:rPr>
          <w:rFonts w:hint="eastAsia" w:ascii="宋体" w:hAnsi="宋体" w:eastAsia="宋体" w:cs="宋体"/>
          <w:sz w:val="32"/>
          <w:szCs w:val="32"/>
        </w:rPr>
        <w:t>，其中工资福利支出</w:t>
      </w:r>
      <w:r>
        <w:rPr>
          <w:rFonts w:ascii="宋体" w:hAnsi="宋体" w:eastAsia="宋体" w:cs="宋体"/>
          <w:sz w:val="32"/>
          <w:szCs w:val="32"/>
        </w:rPr>
        <w:t>607.62</w:t>
      </w:r>
      <w:r>
        <w:rPr>
          <w:rFonts w:hint="eastAsia" w:ascii="宋体" w:hAnsi="宋体" w:eastAsia="宋体" w:cs="宋体"/>
          <w:sz w:val="32"/>
          <w:szCs w:val="32"/>
        </w:rPr>
        <w:t>万元，商品和服务支出</w:t>
      </w:r>
      <w:r>
        <w:rPr>
          <w:rFonts w:ascii="宋体" w:hAnsi="宋体" w:eastAsia="宋体" w:cs="宋体"/>
          <w:sz w:val="32"/>
          <w:szCs w:val="32"/>
        </w:rPr>
        <w:t>483.8</w:t>
      </w:r>
      <w:r>
        <w:rPr>
          <w:rFonts w:hint="eastAsia" w:ascii="宋体" w:hAnsi="宋体" w:eastAsia="宋体" w:cs="宋体"/>
          <w:sz w:val="32"/>
          <w:szCs w:val="32"/>
        </w:rPr>
        <w:t>万元；项目支出</w:t>
      </w:r>
      <w:r>
        <w:rPr>
          <w:rFonts w:ascii="宋体" w:hAnsi="宋体" w:eastAsia="宋体" w:cs="宋体"/>
          <w:sz w:val="32"/>
          <w:szCs w:val="32"/>
        </w:rPr>
        <w:t>419</w:t>
      </w:r>
      <w:r>
        <w:rPr>
          <w:rFonts w:hint="eastAsia" w:ascii="宋体" w:hAnsi="宋体" w:eastAsia="宋体" w:cs="宋体"/>
          <w:sz w:val="32"/>
          <w:szCs w:val="32"/>
        </w:rPr>
        <w:t>万元，占</w:t>
      </w:r>
      <w:r>
        <w:rPr>
          <w:rFonts w:ascii="宋体" w:hAnsi="宋体" w:eastAsia="宋体" w:cs="宋体"/>
          <w:sz w:val="32"/>
          <w:szCs w:val="32"/>
        </w:rPr>
        <w:t>27.75%</w:t>
      </w:r>
      <w:r>
        <w:rPr>
          <w:rFonts w:hint="eastAsia" w:ascii="宋体" w:hAnsi="宋体" w:eastAsia="宋体" w:cs="宋体"/>
          <w:sz w:val="32"/>
          <w:szCs w:val="32"/>
        </w:rPr>
        <w:t>；上缴上级支出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；经营支出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；对附属单位补助支出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w:t>
      </w:r>
    </w:p>
    <w:p>
      <w:pPr>
        <w:pStyle w:val="13"/>
        <w:ind w:firstLine="640" w:firstLineChars="200"/>
        <w:rPr>
          <w:rFonts w:hAnsi="黑体" w:cs="Times New Roman"/>
          <w:b/>
          <w:bCs/>
          <w:sz w:val="32"/>
          <w:szCs w:val="32"/>
        </w:rPr>
      </w:pPr>
      <w:r>
        <w:rPr>
          <w:rFonts w:hint="eastAsia" w:hAnsi="黑体"/>
          <w:b/>
          <w:bCs/>
          <w:sz w:val="32"/>
          <w:szCs w:val="32"/>
        </w:rPr>
        <w:t>四、财政拨款收入支出决算总体情况说明</w:t>
      </w:r>
    </w:p>
    <w:p>
      <w:pPr>
        <w:pStyle w:val="13"/>
        <w:rPr>
          <w:rFonts w:ascii="宋体" w:hAnsi="宋体" w:eastAsia="宋体" w:cs="Times New Roman"/>
          <w:sz w:val="32"/>
          <w:szCs w:val="32"/>
        </w:rPr>
      </w:pPr>
      <w:r>
        <w:rPr>
          <w:rFonts w:ascii="宋体" w:hAnsi="宋体" w:eastAsia="宋体" w:cs="宋体"/>
          <w:sz w:val="32"/>
          <w:szCs w:val="32"/>
        </w:rPr>
        <w:t xml:space="preserve">    2021</w:t>
      </w:r>
      <w:r>
        <w:rPr>
          <w:rFonts w:hint="eastAsia" w:ascii="宋体" w:hAnsi="宋体" w:eastAsia="宋体" w:cs="宋体"/>
          <w:sz w:val="32"/>
          <w:szCs w:val="32"/>
        </w:rPr>
        <w:t>年度财政拨款收、支总计</w:t>
      </w:r>
      <w:r>
        <w:rPr>
          <w:rFonts w:ascii="宋体" w:hAnsi="宋体" w:eastAsia="宋体" w:cs="宋体"/>
          <w:sz w:val="32"/>
          <w:szCs w:val="32"/>
        </w:rPr>
        <w:t>1510.42</w:t>
      </w:r>
      <w:r>
        <w:rPr>
          <w:rFonts w:hint="eastAsia" w:ascii="宋体" w:hAnsi="宋体" w:eastAsia="宋体" w:cs="宋体"/>
          <w:sz w:val="32"/>
          <w:szCs w:val="32"/>
        </w:rPr>
        <w:t>万元。与上一年度相比，财政拨款收、支总计各增加</w:t>
      </w:r>
      <w:r>
        <w:rPr>
          <w:rFonts w:ascii="宋体" w:hAnsi="宋体" w:eastAsia="宋体" w:cs="宋体"/>
          <w:sz w:val="32"/>
          <w:szCs w:val="32"/>
        </w:rPr>
        <w:t>419</w:t>
      </w:r>
      <w:r>
        <w:rPr>
          <w:rFonts w:hint="eastAsia" w:ascii="宋体" w:hAnsi="宋体" w:eastAsia="宋体" w:cs="宋体"/>
          <w:sz w:val="32"/>
          <w:szCs w:val="32"/>
        </w:rPr>
        <w:t>万元，增长</w:t>
      </w:r>
      <w:r>
        <w:rPr>
          <w:rFonts w:ascii="宋体" w:hAnsi="宋体" w:eastAsia="宋体" w:cs="宋体"/>
          <w:sz w:val="32"/>
          <w:szCs w:val="32"/>
        </w:rPr>
        <w:t>48%</w:t>
      </w:r>
      <w:r>
        <w:rPr>
          <w:rFonts w:hint="eastAsia" w:ascii="宋体" w:hAnsi="宋体" w:eastAsia="宋体" w:cs="宋体"/>
          <w:sz w:val="32"/>
          <w:szCs w:val="32"/>
        </w:rPr>
        <w:t>。主要是因为</w:t>
      </w:r>
      <w:r>
        <w:rPr>
          <w:rFonts w:ascii="宋体" w:hAnsi="宋体" w:eastAsia="宋体" w:cs="宋体"/>
          <w:sz w:val="32"/>
          <w:szCs w:val="32"/>
        </w:rPr>
        <w:t>2021</w:t>
      </w:r>
      <w:r>
        <w:rPr>
          <w:rFonts w:hint="eastAsia" w:ascii="宋体" w:hAnsi="宋体" w:eastAsia="宋体" w:cs="宋体"/>
          <w:sz w:val="32"/>
          <w:szCs w:val="32"/>
        </w:rPr>
        <w:t>年省级指标</w:t>
      </w:r>
      <w:r>
        <w:rPr>
          <w:rFonts w:ascii="宋体" w:hAnsi="宋体" w:eastAsia="宋体" w:cs="宋体"/>
          <w:sz w:val="32"/>
          <w:szCs w:val="32"/>
        </w:rPr>
        <w:t>419</w:t>
      </w:r>
      <w:r>
        <w:rPr>
          <w:rFonts w:hint="eastAsia" w:ascii="宋体" w:hAnsi="宋体" w:eastAsia="宋体" w:cs="宋体"/>
          <w:sz w:val="32"/>
          <w:szCs w:val="32"/>
        </w:rPr>
        <w:t>万元专项资金，未列入年初预算，职能职责增加，各项开支增加</w:t>
      </w:r>
      <w:r>
        <w:rPr>
          <w:rFonts w:ascii="宋体" w:hAnsi="宋体" w:eastAsia="宋体" w:cs="宋体"/>
          <w:sz w:val="32"/>
          <w:szCs w:val="32"/>
        </w:rPr>
        <w:t>76.48</w:t>
      </w:r>
      <w:r>
        <w:rPr>
          <w:rFonts w:hint="eastAsia" w:ascii="宋体" w:hAnsi="宋体" w:eastAsia="宋体" w:cs="宋体"/>
          <w:sz w:val="32"/>
          <w:szCs w:val="32"/>
        </w:rPr>
        <w:t>万元。</w:t>
      </w:r>
    </w:p>
    <w:p>
      <w:pPr>
        <w:pStyle w:val="13"/>
        <w:ind w:firstLine="640" w:firstLineChars="200"/>
        <w:rPr>
          <w:rFonts w:hAnsi="黑体" w:cs="Times New Roman"/>
          <w:b/>
          <w:bCs/>
          <w:sz w:val="32"/>
          <w:szCs w:val="32"/>
        </w:rPr>
      </w:pPr>
      <w:r>
        <w:rPr>
          <w:rFonts w:hint="eastAsia" w:hAnsi="黑体"/>
          <w:b/>
          <w:bCs/>
          <w:sz w:val="32"/>
          <w:szCs w:val="32"/>
        </w:rPr>
        <w:t>五、一般公共预算财政拨款支出决算情况说明</w:t>
      </w:r>
    </w:p>
    <w:p>
      <w:pPr>
        <w:pStyle w:val="13"/>
        <w:ind w:firstLine="640" w:firstLineChars="200"/>
        <w:rPr>
          <w:rFonts w:ascii="宋体" w:hAnsi="宋体" w:eastAsia="宋体" w:cs="Times New Roman"/>
          <w:b/>
          <w:bCs/>
          <w:sz w:val="32"/>
          <w:szCs w:val="32"/>
        </w:rPr>
      </w:pPr>
      <w:r>
        <w:rPr>
          <w:rFonts w:hint="eastAsia" w:ascii="宋体" w:hAnsi="宋体" w:eastAsia="宋体" w:cs="宋体"/>
          <w:b/>
          <w:bCs/>
          <w:sz w:val="32"/>
          <w:szCs w:val="32"/>
        </w:rPr>
        <w:t>（一）财政拨款支出决算总体情况</w:t>
      </w:r>
    </w:p>
    <w:p>
      <w:pPr>
        <w:pStyle w:val="13"/>
        <w:ind w:firstLine="480" w:firstLineChars="150"/>
        <w:rPr>
          <w:rFonts w:ascii="仿宋" w:hAnsi="仿宋" w:eastAsia="仿宋"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年度财政拨款收、支总计</w:t>
      </w:r>
      <w:r>
        <w:rPr>
          <w:rFonts w:ascii="宋体" w:hAnsi="宋体" w:eastAsia="宋体" w:cs="宋体"/>
          <w:sz w:val="32"/>
          <w:szCs w:val="32"/>
        </w:rPr>
        <w:t>1510.42</w:t>
      </w:r>
      <w:r>
        <w:rPr>
          <w:rFonts w:hint="eastAsia" w:ascii="宋体" w:hAnsi="宋体" w:eastAsia="宋体" w:cs="宋体"/>
          <w:sz w:val="32"/>
          <w:szCs w:val="32"/>
        </w:rPr>
        <w:t>万元。与上一年度相比，财政拨款收、支总计各增加</w:t>
      </w:r>
      <w:r>
        <w:rPr>
          <w:rFonts w:ascii="宋体" w:hAnsi="宋体" w:eastAsia="宋体" w:cs="宋体"/>
          <w:sz w:val="32"/>
          <w:szCs w:val="32"/>
        </w:rPr>
        <w:t>419</w:t>
      </w:r>
      <w:r>
        <w:rPr>
          <w:rFonts w:hint="eastAsia" w:ascii="宋体" w:hAnsi="宋体" w:eastAsia="宋体" w:cs="宋体"/>
          <w:sz w:val="32"/>
          <w:szCs w:val="32"/>
        </w:rPr>
        <w:t>万元，增长</w:t>
      </w:r>
      <w:r>
        <w:rPr>
          <w:rFonts w:ascii="宋体" w:hAnsi="宋体" w:eastAsia="宋体" w:cs="宋体"/>
          <w:sz w:val="32"/>
          <w:szCs w:val="32"/>
        </w:rPr>
        <w:t>48%</w:t>
      </w:r>
      <w:r>
        <w:rPr>
          <w:rFonts w:hint="eastAsia" w:ascii="宋体" w:hAnsi="宋体" w:eastAsia="宋体" w:cs="宋体"/>
          <w:sz w:val="32"/>
          <w:szCs w:val="32"/>
        </w:rPr>
        <w:t>。主要是因为</w:t>
      </w:r>
      <w:r>
        <w:rPr>
          <w:rFonts w:ascii="宋体" w:hAnsi="宋体" w:eastAsia="宋体" w:cs="宋体"/>
          <w:sz w:val="32"/>
          <w:szCs w:val="32"/>
        </w:rPr>
        <w:t>2021</w:t>
      </w:r>
      <w:r>
        <w:rPr>
          <w:rFonts w:hint="eastAsia" w:ascii="宋体" w:hAnsi="宋体" w:eastAsia="宋体" w:cs="宋体"/>
          <w:sz w:val="32"/>
          <w:szCs w:val="32"/>
        </w:rPr>
        <w:t>年省级指标</w:t>
      </w:r>
      <w:r>
        <w:rPr>
          <w:rFonts w:ascii="宋体" w:hAnsi="宋体" w:eastAsia="宋体" w:cs="宋体"/>
          <w:sz w:val="32"/>
          <w:szCs w:val="32"/>
        </w:rPr>
        <w:t>419</w:t>
      </w:r>
      <w:r>
        <w:rPr>
          <w:rFonts w:hint="eastAsia" w:ascii="宋体" w:hAnsi="宋体" w:eastAsia="宋体" w:cs="宋体"/>
          <w:sz w:val="32"/>
          <w:szCs w:val="32"/>
        </w:rPr>
        <w:t>万元专项资金，未列入年初预算，职能职责增加，各项开支增加</w:t>
      </w:r>
      <w:r>
        <w:rPr>
          <w:rFonts w:ascii="宋体" w:hAnsi="宋体" w:eastAsia="宋体" w:cs="宋体"/>
          <w:sz w:val="32"/>
          <w:szCs w:val="32"/>
        </w:rPr>
        <w:t>76.48</w:t>
      </w:r>
      <w:r>
        <w:rPr>
          <w:rFonts w:hint="eastAsia" w:ascii="宋体" w:hAnsi="宋体" w:eastAsia="宋体" w:cs="宋体"/>
          <w:sz w:val="32"/>
          <w:szCs w:val="32"/>
        </w:rPr>
        <w:t>万元。</w:t>
      </w:r>
    </w:p>
    <w:p>
      <w:pPr>
        <w:pStyle w:val="13"/>
        <w:ind w:firstLine="480" w:firstLineChars="150"/>
        <w:rPr>
          <w:rFonts w:ascii="宋体" w:hAnsi="宋体" w:eastAsia="宋体" w:cs="Times New Roman"/>
          <w:b/>
          <w:bCs/>
          <w:sz w:val="32"/>
          <w:szCs w:val="32"/>
        </w:rPr>
      </w:pPr>
      <w:r>
        <w:rPr>
          <w:rFonts w:hint="eastAsia" w:ascii="宋体" w:hAnsi="宋体" w:eastAsia="宋体" w:cs="宋体"/>
          <w:b/>
          <w:bCs/>
          <w:sz w:val="32"/>
          <w:szCs w:val="32"/>
        </w:rPr>
        <w:t>（二）财政拨款支出决算结构情况</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年度财政拨款支出</w:t>
      </w:r>
      <w:r>
        <w:rPr>
          <w:rFonts w:ascii="宋体" w:hAnsi="宋体" w:eastAsia="宋体" w:cs="宋体"/>
          <w:sz w:val="32"/>
          <w:szCs w:val="32"/>
        </w:rPr>
        <w:t>1510.42</w:t>
      </w:r>
      <w:r>
        <w:rPr>
          <w:rFonts w:hint="eastAsia" w:ascii="宋体" w:hAnsi="宋体" w:eastAsia="宋体" w:cs="宋体"/>
          <w:sz w:val="32"/>
          <w:szCs w:val="32"/>
        </w:rPr>
        <w:t>万元，主要用于以下方面：住房保障支出</w:t>
      </w:r>
      <w:r>
        <w:rPr>
          <w:rFonts w:ascii="宋体" w:hAnsi="宋体" w:eastAsia="宋体" w:cs="宋体"/>
          <w:sz w:val="32"/>
          <w:szCs w:val="32"/>
        </w:rPr>
        <w:t>173</w:t>
      </w:r>
      <w:r>
        <w:rPr>
          <w:rFonts w:hint="eastAsia" w:ascii="宋体" w:hAnsi="宋体" w:eastAsia="宋体" w:cs="宋体"/>
          <w:sz w:val="32"/>
          <w:szCs w:val="32"/>
        </w:rPr>
        <w:t>万元，占</w:t>
      </w:r>
      <w:r>
        <w:rPr>
          <w:rFonts w:ascii="宋体" w:hAnsi="宋体" w:eastAsia="宋体" w:cs="宋体"/>
          <w:sz w:val="32"/>
          <w:szCs w:val="32"/>
        </w:rPr>
        <w:t>11.45%</w:t>
      </w:r>
      <w:r>
        <w:rPr>
          <w:rFonts w:hint="eastAsia" w:ascii="宋体" w:hAnsi="宋体" w:eastAsia="宋体" w:cs="宋体"/>
          <w:sz w:val="32"/>
          <w:szCs w:val="32"/>
        </w:rPr>
        <w:t>；灾害防治及应急管理支出</w:t>
      </w:r>
      <w:r>
        <w:rPr>
          <w:rFonts w:ascii="宋体" w:hAnsi="宋体" w:eastAsia="宋体" w:cs="宋体"/>
          <w:sz w:val="32"/>
          <w:szCs w:val="32"/>
        </w:rPr>
        <w:t>1337.42</w:t>
      </w:r>
      <w:r>
        <w:rPr>
          <w:rFonts w:hint="eastAsia" w:ascii="宋体" w:hAnsi="宋体" w:eastAsia="宋体" w:cs="宋体"/>
          <w:sz w:val="32"/>
          <w:szCs w:val="32"/>
        </w:rPr>
        <w:t>万元，占</w:t>
      </w:r>
      <w:r>
        <w:rPr>
          <w:rFonts w:ascii="宋体" w:hAnsi="宋体" w:eastAsia="宋体" w:cs="宋体"/>
          <w:sz w:val="32"/>
          <w:szCs w:val="32"/>
        </w:rPr>
        <w:t>88.55%</w:t>
      </w:r>
      <w:r>
        <w:rPr>
          <w:rFonts w:hint="eastAsia" w:ascii="宋体" w:hAnsi="宋体" w:eastAsia="宋体" w:cs="宋体"/>
          <w:sz w:val="32"/>
          <w:szCs w:val="32"/>
        </w:rPr>
        <w:t>。</w:t>
      </w:r>
    </w:p>
    <w:p>
      <w:pPr>
        <w:pStyle w:val="13"/>
        <w:ind w:firstLine="800" w:firstLineChars="250"/>
        <w:rPr>
          <w:rFonts w:ascii="宋体" w:hAnsi="宋体" w:eastAsia="宋体" w:cs="Times New Roman"/>
          <w:b/>
          <w:bCs/>
          <w:sz w:val="32"/>
          <w:szCs w:val="32"/>
        </w:rPr>
      </w:pPr>
      <w:r>
        <w:rPr>
          <w:rFonts w:hint="eastAsia" w:ascii="宋体" w:hAnsi="宋体" w:eastAsia="宋体" w:cs="宋体"/>
          <w:b/>
          <w:bCs/>
          <w:sz w:val="32"/>
          <w:szCs w:val="32"/>
        </w:rPr>
        <w:t>（三）财政拨款支出决算具体情况</w:t>
      </w:r>
    </w:p>
    <w:p>
      <w:pPr>
        <w:pStyle w:val="15"/>
        <w:widowControl/>
        <w:spacing w:beforeAutospacing="0" w:after="2" w:afterAutospacing="0"/>
        <w:ind w:firstLine="640"/>
        <w:rPr>
          <w:color w:val="000000"/>
          <w:sz w:val="32"/>
          <w:szCs w:val="32"/>
        </w:rPr>
      </w:pPr>
      <w:r>
        <w:rPr>
          <w:color w:val="000000"/>
          <w:sz w:val="32"/>
          <w:szCs w:val="32"/>
        </w:rPr>
        <w:t>2021</w:t>
      </w:r>
      <w:r>
        <w:rPr>
          <w:rFonts w:hint="eastAsia"/>
          <w:color w:val="000000"/>
          <w:sz w:val="32"/>
          <w:szCs w:val="32"/>
        </w:rPr>
        <w:t>年度财政拨款支出年初预算数为</w:t>
      </w:r>
      <w:r>
        <w:rPr>
          <w:color w:val="000000"/>
          <w:sz w:val="32"/>
          <w:szCs w:val="32"/>
        </w:rPr>
        <w:t>1091.42</w:t>
      </w:r>
      <w:r>
        <w:rPr>
          <w:rFonts w:hint="eastAsia"/>
          <w:color w:val="000000"/>
          <w:sz w:val="32"/>
          <w:szCs w:val="32"/>
        </w:rPr>
        <w:t>万元，支出决算数为</w:t>
      </w:r>
      <w:r>
        <w:rPr>
          <w:color w:val="000000"/>
          <w:sz w:val="32"/>
          <w:szCs w:val="32"/>
        </w:rPr>
        <w:t>1510.42</w:t>
      </w:r>
      <w:r>
        <w:rPr>
          <w:rFonts w:hint="eastAsia"/>
          <w:color w:val="000000"/>
          <w:sz w:val="32"/>
          <w:szCs w:val="32"/>
        </w:rPr>
        <w:t>万元，完成年初预算的</w:t>
      </w:r>
      <w:r>
        <w:rPr>
          <w:color w:val="000000"/>
          <w:sz w:val="32"/>
          <w:szCs w:val="32"/>
        </w:rPr>
        <w:t>138.39%</w:t>
      </w:r>
      <w:r>
        <w:rPr>
          <w:rFonts w:hint="eastAsia"/>
          <w:color w:val="000000"/>
          <w:sz w:val="32"/>
          <w:szCs w:val="32"/>
        </w:rPr>
        <w:t>，其中：</w:t>
      </w:r>
      <w:r>
        <w:rPr>
          <w:color w:val="000000"/>
          <w:sz w:val="32"/>
          <w:szCs w:val="32"/>
        </w:rPr>
        <w:t xml:space="preserve"> </w:t>
      </w:r>
    </w:p>
    <w:p>
      <w:pPr>
        <w:pStyle w:val="15"/>
        <w:widowControl/>
        <w:spacing w:beforeAutospacing="0" w:after="2" w:afterAutospacing="0"/>
        <w:ind w:firstLine="641"/>
        <w:rPr>
          <w:color w:val="000000"/>
          <w:sz w:val="32"/>
          <w:szCs w:val="32"/>
        </w:rPr>
      </w:pPr>
      <w:r>
        <w:rPr>
          <w:color w:val="000000"/>
          <w:sz w:val="32"/>
          <w:szCs w:val="32"/>
        </w:rPr>
        <w:t>1</w:t>
      </w:r>
      <w:r>
        <w:rPr>
          <w:rFonts w:hint="eastAsia"/>
          <w:color w:val="000000"/>
          <w:sz w:val="32"/>
          <w:szCs w:val="32"/>
        </w:rPr>
        <w:t>、住房保障支出（类）保障性安居工程支出（款）农村危房改造（项）</w:t>
      </w:r>
      <w:r>
        <w:rPr>
          <w:color w:val="000000"/>
          <w:sz w:val="32"/>
          <w:szCs w:val="32"/>
        </w:rPr>
        <w:t xml:space="preserve"> </w:t>
      </w:r>
    </w:p>
    <w:p>
      <w:pPr>
        <w:pStyle w:val="15"/>
        <w:widowControl/>
        <w:spacing w:beforeAutospacing="0" w:after="2" w:afterAutospacing="0"/>
        <w:ind w:firstLine="641"/>
        <w:rPr>
          <w:rFonts w:cs="Times New Roman"/>
          <w:color w:val="000000"/>
          <w:sz w:val="32"/>
          <w:szCs w:val="32"/>
        </w:rPr>
      </w:pPr>
      <w:r>
        <w:rPr>
          <w:rFonts w:hint="eastAsia"/>
          <w:color w:val="000000"/>
          <w:sz w:val="32"/>
          <w:szCs w:val="32"/>
        </w:rPr>
        <w:t>年初预算为</w:t>
      </w:r>
      <w:r>
        <w:rPr>
          <w:color w:val="000000"/>
          <w:sz w:val="32"/>
          <w:szCs w:val="32"/>
        </w:rPr>
        <w:t>0</w:t>
      </w:r>
      <w:r>
        <w:rPr>
          <w:rFonts w:hint="eastAsia"/>
          <w:color w:val="000000"/>
          <w:sz w:val="32"/>
          <w:szCs w:val="32"/>
        </w:rPr>
        <w:t>万元，支出决算为</w:t>
      </w:r>
      <w:r>
        <w:rPr>
          <w:color w:val="000000"/>
          <w:sz w:val="32"/>
          <w:szCs w:val="32"/>
        </w:rPr>
        <w:t>173</w:t>
      </w:r>
      <w:r>
        <w:rPr>
          <w:rFonts w:hint="eastAsia"/>
          <w:color w:val="000000"/>
          <w:sz w:val="32"/>
          <w:szCs w:val="32"/>
        </w:rPr>
        <w:t>万元，超出年初预算的</w:t>
      </w:r>
      <w:r>
        <w:rPr>
          <w:color w:val="000000"/>
          <w:sz w:val="32"/>
          <w:szCs w:val="32"/>
        </w:rPr>
        <w:t>100%</w:t>
      </w:r>
      <w:r>
        <w:rPr>
          <w:rFonts w:hint="eastAsia"/>
          <w:color w:val="000000"/>
          <w:sz w:val="32"/>
          <w:szCs w:val="32"/>
        </w:rPr>
        <w:t>。决算数大于年初预算数的主要原因是：上级指标文件资金。</w:t>
      </w:r>
    </w:p>
    <w:p>
      <w:pPr>
        <w:pStyle w:val="15"/>
        <w:widowControl/>
        <w:spacing w:beforeAutospacing="0" w:after="2" w:afterAutospacing="0"/>
        <w:ind w:firstLine="641"/>
        <w:rPr>
          <w:color w:val="000000"/>
          <w:sz w:val="32"/>
          <w:szCs w:val="32"/>
        </w:rPr>
      </w:pPr>
      <w:r>
        <w:rPr>
          <w:color w:val="000000"/>
          <w:sz w:val="32"/>
          <w:szCs w:val="32"/>
        </w:rPr>
        <w:t>2</w:t>
      </w:r>
      <w:r>
        <w:rPr>
          <w:rFonts w:hint="eastAsia"/>
          <w:color w:val="000000"/>
          <w:sz w:val="32"/>
          <w:szCs w:val="32"/>
        </w:rPr>
        <w:t>、灾害防治及应急管理支出（类）应急管理事务（款）行政运行（项）</w:t>
      </w:r>
      <w:r>
        <w:rPr>
          <w:color w:val="000000"/>
          <w:sz w:val="32"/>
          <w:szCs w:val="32"/>
        </w:rPr>
        <w:t xml:space="preserve"> </w:t>
      </w:r>
    </w:p>
    <w:p>
      <w:pPr>
        <w:pStyle w:val="15"/>
        <w:widowControl/>
        <w:spacing w:beforeAutospacing="0" w:after="2" w:afterAutospacing="0"/>
        <w:ind w:firstLine="641"/>
        <w:rPr>
          <w:rFonts w:cs="Times New Roman"/>
          <w:color w:val="000000"/>
          <w:sz w:val="32"/>
          <w:szCs w:val="32"/>
        </w:rPr>
      </w:pPr>
      <w:r>
        <w:rPr>
          <w:rFonts w:hint="eastAsia"/>
          <w:color w:val="000000"/>
          <w:sz w:val="32"/>
          <w:szCs w:val="32"/>
        </w:rPr>
        <w:t>年初预算为</w:t>
      </w:r>
      <w:r>
        <w:rPr>
          <w:color w:val="000000"/>
          <w:sz w:val="32"/>
          <w:szCs w:val="32"/>
        </w:rPr>
        <w:t>702</w:t>
      </w:r>
      <w:r>
        <w:rPr>
          <w:rFonts w:hint="eastAsia"/>
          <w:color w:val="000000"/>
          <w:sz w:val="32"/>
          <w:szCs w:val="32"/>
        </w:rPr>
        <w:t>万元，支出决算为</w:t>
      </w:r>
      <w:r>
        <w:rPr>
          <w:color w:val="000000"/>
          <w:sz w:val="32"/>
          <w:szCs w:val="32"/>
        </w:rPr>
        <w:t>702</w:t>
      </w:r>
      <w:r>
        <w:rPr>
          <w:rFonts w:hint="eastAsia"/>
          <w:color w:val="000000"/>
          <w:sz w:val="32"/>
          <w:szCs w:val="32"/>
        </w:rPr>
        <w:t>万元，完成年初预算的</w:t>
      </w:r>
      <w:r>
        <w:rPr>
          <w:color w:val="000000"/>
          <w:sz w:val="32"/>
          <w:szCs w:val="32"/>
        </w:rPr>
        <w:t>100%</w:t>
      </w:r>
      <w:r>
        <w:rPr>
          <w:rFonts w:hint="eastAsia"/>
          <w:color w:val="000000"/>
          <w:sz w:val="32"/>
          <w:szCs w:val="32"/>
        </w:rPr>
        <w:t>。</w:t>
      </w:r>
    </w:p>
    <w:p>
      <w:pPr>
        <w:pStyle w:val="15"/>
        <w:widowControl/>
        <w:spacing w:beforeAutospacing="0" w:after="2" w:afterAutospacing="0"/>
        <w:ind w:firstLine="641"/>
        <w:rPr>
          <w:color w:val="000000"/>
          <w:sz w:val="32"/>
          <w:szCs w:val="32"/>
        </w:rPr>
      </w:pPr>
      <w:r>
        <w:rPr>
          <w:color w:val="000000"/>
          <w:sz w:val="32"/>
          <w:szCs w:val="32"/>
        </w:rPr>
        <w:t>5</w:t>
      </w:r>
      <w:r>
        <w:rPr>
          <w:rFonts w:hint="eastAsia"/>
          <w:color w:val="000000"/>
          <w:sz w:val="32"/>
          <w:szCs w:val="32"/>
        </w:rPr>
        <w:t>、灾害防治及应急管理支出（类）应急管理事务（款）应急救援（项）</w:t>
      </w:r>
      <w:r>
        <w:rPr>
          <w:color w:val="000000"/>
          <w:sz w:val="32"/>
          <w:szCs w:val="32"/>
        </w:rPr>
        <w:t xml:space="preserve"> </w:t>
      </w:r>
    </w:p>
    <w:p>
      <w:pPr>
        <w:pStyle w:val="15"/>
        <w:widowControl/>
        <w:spacing w:beforeAutospacing="0" w:after="2" w:afterAutospacing="0"/>
        <w:ind w:firstLine="641"/>
        <w:rPr>
          <w:rFonts w:cs="Times New Roman"/>
          <w:color w:val="000000"/>
          <w:sz w:val="32"/>
          <w:szCs w:val="32"/>
        </w:rPr>
      </w:pPr>
      <w:r>
        <w:rPr>
          <w:rFonts w:hint="eastAsia"/>
          <w:color w:val="000000"/>
          <w:sz w:val="32"/>
          <w:szCs w:val="32"/>
        </w:rPr>
        <w:t>年初预算为</w:t>
      </w:r>
      <w:r>
        <w:rPr>
          <w:color w:val="000000"/>
          <w:sz w:val="32"/>
          <w:szCs w:val="32"/>
        </w:rPr>
        <w:t>40</w:t>
      </w:r>
      <w:r>
        <w:rPr>
          <w:rFonts w:hint="eastAsia"/>
          <w:color w:val="000000"/>
          <w:sz w:val="32"/>
          <w:szCs w:val="32"/>
        </w:rPr>
        <w:t>万元，支出决算为</w:t>
      </w:r>
      <w:r>
        <w:rPr>
          <w:color w:val="000000"/>
          <w:sz w:val="32"/>
          <w:szCs w:val="32"/>
        </w:rPr>
        <w:t>40</w:t>
      </w:r>
      <w:r>
        <w:rPr>
          <w:rFonts w:hint="eastAsia"/>
          <w:color w:val="000000"/>
          <w:sz w:val="32"/>
          <w:szCs w:val="32"/>
        </w:rPr>
        <w:t>万元，完成年初预算的</w:t>
      </w:r>
      <w:r>
        <w:rPr>
          <w:color w:val="000000"/>
          <w:sz w:val="32"/>
          <w:szCs w:val="32"/>
        </w:rPr>
        <w:t>100%</w:t>
      </w:r>
      <w:r>
        <w:rPr>
          <w:rFonts w:hint="eastAsia"/>
          <w:color w:val="000000"/>
          <w:sz w:val="32"/>
          <w:szCs w:val="32"/>
        </w:rPr>
        <w:t>。</w:t>
      </w:r>
    </w:p>
    <w:p>
      <w:pPr>
        <w:pStyle w:val="15"/>
        <w:widowControl/>
        <w:spacing w:beforeAutospacing="0" w:after="2" w:afterAutospacing="0"/>
        <w:ind w:firstLine="641"/>
        <w:rPr>
          <w:color w:val="000000"/>
          <w:sz w:val="32"/>
          <w:szCs w:val="32"/>
        </w:rPr>
      </w:pPr>
      <w:r>
        <w:rPr>
          <w:color w:val="000000"/>
          <w:sz w:val="32"/>
          <w:szCs w:val="32"/>
        </w:rPr>
        <w:t>6</w:t>
      </w:r>
      <w:r>
        <w:rPr>
          <w:rFonts w:hint="eastAsia"/>
          <w:color w:val="000000"/>
          <w:sz w:val="32"/>
          <w:szCs w:val="32"/>
        </w:rPr>
        <w:t>、灾害防治及应急管理支出（类）应急管理事务（款）其他应急管理支出（项）</w:t>
      </w:r>
      <w:r>
        <w:rPr>
          <w:color w:val="000000"/>
          <w:sz w:val="32"/>
          <w:szCs w:val="32"/>
        </w:rPr>
        <w:t xml:space="preserve"> </w:t>
      </w:r>
    </w:p>
    <w:p>
      <w:pPr>
        <w:pStyle w:val="15"/>
        <w:widowControl/>
        <w:spacing w:beforeAutospacing="0" w:after="2" w:afterAutospacing="0"/>
        <w:ind w:firstLine="641"/>
        <w:rPr>
          <w:rFonts w:cs="Times New Roman"/>
          <w:color w:val="000000"/>
          <w:sz w:val="32"/>
          <w:szCs w:val="32"/>
        </w:rPr>
      </w:pPr>
      <w:r>
        <w:rPr>
          <w:rFonts w:hint="eastAsia"/>
          <w:color w:val="000000"/>
          <w:sz w:val="32"/>
          <w:szCs w:val="32"/>
        </w:rPr>
        <w:t>年初预算为</w:t>
      </w:r>
      <w:r>
        <w:rPr>
          <w:color w:val="000000"/>
          <w:sz w:val="32"/>
          <w:szCs w:val="32"/>
        </w:rPr>
        <w:t>0</w:t>
      </w:r>
      <w:r>
        <w:rPr>
          <w:rFonts w:hint="eastAsia"/>
          <w:color w:val="000000"/>
          <w:sz w:val="32"/>
          <w:szCs w:val="32"/>
        </w:rPr>
        <w:t>万元，支出决算为</w:t>
      </w:r>
      <w:r>
        <w:rPr>
          <w:color w:val="000000"/>
          <w:sz w:val="32"/>
          <w:szCs w:val="32"/>
        </w:rPr>
        <w:t>26</w:t>
      </w:r>
      <w:r>
        <w:rPr>
          <w:rFonts w:hint="eastAsia"/>
          <w:color w:val="000000"/>
          <w:sz w:val="32"/>
          <w:szCs w:val="32"/>
        </w:rPr>
        <w:t>万元，超出年初预算的</w:t>
      </w:r>
      <w:r>
        <w:rPr>
          <w:color w:val="000000"/>
          <w:sz w:val="32"/>
          <w:szCs w:val="32"/>
        </w:rPr>
        <w:t>100%</w:t>
      </w:r>
      <w:r>
        <w:rPr>
          <w:rFonts w:hint="eastAsia"/>
          <w:color w:val="000000"/>
          <w:sz w:val="32"/>
          <w:szCs w:val="32"/>
        </w:rPr>
        <w:t>。决算数大于年初预算数的主要原因是：上级指标文件</w:t>
      </w:r>
      <w:r>
        <w:rPr>
          <w:color w:val="000000"/>
          <w:sz w:val="32"/>
          <w:szCs w:val="32"/>
        </w:rPr>
        <w:t>26</w:t>
      </w:r>
      <w:r>
        <w:rPr>
          <w:rFonts w:hint="eastAsia"/>
          <w:color w:val="000000"/>
          <w:sz w:val="32"/>
          <w:szCs w:val="32"/>
        </w:rPr>
        <w:t>万元。</w:t>
      </w:r>
    </w:p>
    <w:p>
      <w:pPr>
        <w:pStyle w:val="15"/>
        <w:widowControl/>
        <w:spacing w:beforeAutospacing="0" w:after="2" w:afterAutospacing="0"/>
        <w:ind w:firstLine="641"/>
        <w:rPr>
          <w:color w:val="000000"/>
          <w:sz w:val="32"/>
          <w:szCs w:val="32"/>
        </w:rPr>
      </w:pPr>
      <w:r>
        <w:rPr>
          <w:color w:val="000000"/>
          <w:sz w:val="32"/>
          <w:szCs w:val="32"/>
        </w:rPr>
        <w:t>7</w:t>
      </w:r>
      <w:r>
        <w:rPr>
          <w:rFonts w:hint="eastAsia"/>
          <w:color w:val="000000"/>
          <w:sz w:val="32"/>
          <w:szCs w:val="32"/>
        </w:rPr>
        <w:t>、灾害防治及应急管理支出（类）自然灾害及恢复重建支出（款）自然灾害救灾补助（项）</w:t>
      </w:r>
      <w:r>
        <w:rPr>
          <w:color w:val="000000"/>
          <w:sz w:val="32"/>
          <w:szCs w:val="32"/>
        </w:rPr>
        <w:t xml:space="preserve"> </w:t>
      </w:r>
    </w:p>
    <w:p>
      <w:pPr>
        <w:pStyle w:val="15"/>
        <w:widowControl/>
        <w:spacing w:beforeAutospacing="0" w:after="2" w:afterAutospacing="0"/>
        <w:ind w:firstLine="641"/>
        <w:rPr>
          <w:rFonts w:cs="Times New Roman"/>
          <w:color w:val="000000"/>
          <w:sz w:val="32"/>
          <w:szCs w:val="32"/>
        </w:rPr>
      </w:pPr>
      <w:r>
        <w:rPr>
          <w:rFonts w:hint="eastAsia"/>
          <w:color w:val="000000"/>
          <w:sz w:val="32"/>
          <w:szCs w:val="32"/>
        </w:rPr>
        <w:t>年初预算为</w:t>
      </w:r>
      <w:r>
        <w:rPr>
          <w:color w:val="000000"/>
          <w:sz w:val="32"/>
          <w:szCs w:val="32"/>
        </w:rPr>
        <w:t>0</w:t>
      </w:r>
      <w:r>
        <w:rPr>
          <w:rFonts w:hint="eastAsia"/>
          <w:color w:val="000000"/>
          <w:sz w:val="32"/>
          <w:szCs w:val="32"/>
        </w:rPr>
        <w:t>万元，支出决算为</w:t>
      </w:r>
      <w:r>
        <w:rPr>
          <w:color w:val="000000"/>
          <w:sz w:val="32"/>
          <w:szCs w:val="32"/>
        </w:rPr>
        <w:t>200</w:t>
      </w:r>
      <w:r>
        <w:rPr>
          <w:rFonts w:hint="eastAsia"/>
          <w:color w:val="000000"/>
          <w:sz w:val="32"/>
          <w:szCs w:val="32"/>
        </w:rPr>
        <w:t>万元，超出年初预算的</w:t>
      </w:r>
      <w:r>
        <w:rPr>
          <w:color w:val="000000"/>
          <w:sz w:val="32"/>
          <w:szCs w:val="32"/>
        </w:rPr>
        <w:t>100%</w:t>
      </w:r>
      <w:r>
        <w:rPr>
          <w:rFonts w:hint="eastAsia"/>
          <w:color w:val="000000"/>
          <w:sz w:val="32"/>
          <w:szCs w:val="32"/>
        </w:rPr>
        <w:t>。决算数大于年初预算数的主要原因是：上级指标文件</w:t>
      </w:r>
      <w:r>
        <w:rPr>
          <w:color w:val="000000"/>
          <w:sz w:val="32"/>
          <w:szCs w:val="32"/>
        </w:rPr>
        <w:t>200</w:t>
      </w:r>
      <w:r>
        <w:rPr>
          <w:rFonts w:hint="eastAsia"/>
          <w:color w:val="000000"/>
          <w:sz w:val="32"/>
          <w:szCs w:val="32"/>
        </w:rPr>
        <w:t>万元。</w:t>
      </w:r>
    </w:p>
    <w:p>
      <w:pPr>
        <w:pStyle w:val="15"/>
        <w:widowControl/>
        <w:spacing w:beforeAutospacing="0" w:after="2" w:afterAutospacing="0"/>
        <w:ind w:firstLine="641"/>
        <w:rPr>
          <w:color w:val="000000"/>
          <w:sz w:val="32"/>
          <w:szCs w:val="32"/>
        </w:rPr>
      </w:pPr>
      <w:r>
        <w:rPr>
          <w:color w:val="000000"/>
          <w:sz w:val="32"/>
          <w:szCs w:val="32"/>
        </w:rPr>
        <w:t>8</w:t>
      </w:r>
      <w:r>
        <w:rPr>
          <w:rFonts w:hint="eastAsia"/>
          <w:color w:val="000000"/>
          <w:sz w:val="32"/>
          <w:szCs w:val="32"/>
        </w:rPr>
        <w:t>、灾害防治及应急管理支出（类）其他灾害防治及应急管理支出（款）其他灾害防治及应急管理支出（项）</w:t>
      </w:r>
      <w:r>
        <w:rPr>
          <w:color w:val="000000"/>
          <w:sz w:val="32"/>
          <w:szCs w:val="32"/>
        </w:rPr>
        <w:t xml:space="preserve"> </w:t>
      </w:r>
    </w:p>
    <w:p>
      <w:pPr>
        <w:pStyle w:val="13"/>
        <w:ind w:firstLine="800" w:firstLineChars="25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272.94</w:t>
      </w:r>
      <w:r>
        <w:rPr>
          <w:rFonts w:hint="eastAsia" w:ascii="宋体" w:hAnsi="宋体" w:eastAsia="宋体" w:cs="宋体"/>
          <w:sz w:val="32"/>
          <w:szCs w:val="32"/>
        </w:rPr>
        <w:t>万元，支出决算为</w:t>
      </w:r>
      <w:r>
        <w:rPr>
          <w:rFonts w:ascii="宋体" w:hAnsi="宋体" w:eastAsia="宋体" w:cs="宋体"/>
          <w:sz w:val="32"/>
          <w:szCs w:val="32"/>
        </w:rPr>
        <w:t>369.42</w:t>
      </w:r>
      <w:r>
        <w:rPr>
          <w:rFonts w:hint="eastAsia" w:ascii="宋体" w:hAnsi="宋体" w:eastAsia="宋体" w:cs="宋体"/>
          <w:sz w:val="32"/>
          <w:szCs w:val="32"/>
        </w:rPr>
        <w:t>万元，超出年初预算的</w:t>
      </w:r>
      <w:r>
        <w:rPr>
          <w:rFonts w:ascii="宋体" w:hAnsi="宋体" w:eastAsia="宋体" w:cs="宋体"/>
          <w:sz w:val="32"/>
          <w:szCs w:val="32"/>
        </w:rPr>
        <w:t>135.34%</w:t>
      </w:r>
      <w:r>
        <w:rPr>
          <w:rFonts w:hint="eastAsia" w:ascii="宋体" w:hAnsi="宋体" w:eastAsia="宋体" w:cs="宋体"/>
          <w:sz w:val="32"/>
          <w:szCs w:val="32"/>
        </w:rPr>
        <w:t>。决算数大于年初预算数的主要原因是：职能增加，“六有”乡镇建设资金增加</w:t>
      </w:r>
      <w:r>
        <w:rPr>
          <w:rFonts w:ascii="宋体" w:hAnsi="宋体" w:eastAsia="宋体" w:cs="宋体"/>
          <w:sz w:val="32"/>
          <w:szCs w:val="32"/>
        </w:rPr>
        <w:t>78.48</w:t>
      </w:r>
      <w:r>
        <w:rPr>
          <w:rFonts w:hint="eastAsia" w:ascii="宋体" w:hAnsi="宋体" w:eastAsia="宋体" w:cs="宋体"/>
          <w:sz w:val="32"/>
          <w:szCs w:val="32"/>
        </w:rPr>
        <w:t>万元。</w:t>
      </w:r>
    </w:p>
    <w:p>
      <w:pPr>
        <w:pStyle w:val="13"/>
        <w:ind w:firstLine="640" w:firstLineChars="200"/>
        <w:rPr>
          <w:rFonts w:hAnsi="黑体" w:cs="Times New Roman"/>
          <w:b/>
          <w:bCs/>
          <w:sz w:val="32"/>
          <w:szCs w:val="32"/>
        </w:rPr>
      </w:pPr>
      <w:r>
        <w:rPr>
          <w:rFonts w:hint="eastAsia" w:hAnsi="黑体"/>
          <w:b/>
          <w:bCs/>
          <w:sz w:val="32"/>
          <w:szCs w:val="32"/>
        </w:rPr>
        <w:t>六、一般公共预算财政拨款基本支出决算情况说明</w:t>
      </w:r>
    </w:p>
    <w:p>
      <w:pPr>
        <w:pStyle w:val="13"/>
        <w:ind w:firstLine="800" w:firstLineChars="25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年度财政拨款基本支出</w:t>
      </w:r>
      <w:r>
        <w:rPr>
          <w:rFonts w:ascii="宋体" w:hAnsi="宋体" w:eastAsia="宋体" w:cs="宋体"/>
          <w:sz w:val="32"/>
          <w:szCs w:val="32"/>
        </w:rPr>
        <w:t>1091.42</w:t>
      </w:r>
      <w:r>
        <w:rPr>
          <w:rFonts w:hint="eastAsia" w:ascii="宋体" w:hAnsi="宋体" w:eastAsia="宋体" w:cs="宋体"/>
          <w:sz w:val="32"/>
          <w:szCs w:val="32"/>
        </w:rPr>
        <w:t>万元，其中：人员经费</w:t>
      </w:r>
      <w:r>
        <w:rPr>
          <w:rFonts w:ascii="宋体" w:hAnsi="宋体" w:eastAsia="宋体" w:cs="宋体"/>
          <w:sz w:val="32"/>
          <w:szCs w:val="32"/>
        </w:rPr>
        <w:t>607.42</w:t>
      </w:r>
      <w:r>
        <w:rPr>
          <w:rFonts w:hint="eastAsia" w:ascii="宋体" w:hAnsi="宋体" w:eastAsia="宋体" w:cs="宋体"/>
          <w:sz w:val="32"/>
          <w:szCs w:val="32"/>
        </w:rPr>
        <w:t>万元，占基本支出的</w:t>
      </w:r>
      <w:r>
        <w:rPr>
          <w:rFonts w:ascii="宋体" w:hAnsi="宋体" w:eastAsia="宋体" w:cs="宋体"/>
          <w:sz w:val="32"/>
          <w:szCs w:val="32"/>
        </w:rPr>
        <w:t>55.65%</w:t>
      </w:r>
      <w:r>
        <w:rPr>
          <w:rFonts w:hint="eastAsia" w:ascii="宋体" w:hAnsi="宋体" w:eastAsia="宋体" w:cs="宋体"/>
          <w:sz w:val="32"/>
          <w:szCs w:val="32"/>
        </w:rPr>
        <w:t>，主要包括：基本工资、津贴补贴、绩效工资、机关事业单位基本养老保险缴费、职工基本医疗保险缴费、公积金等。公用经费</w:t>
      </w:r>
      <w:r>
        <w:rPr>
          <w:rFonts w:ascii="宋体" w:hAnsi="宋体" w:eastAsia="宋体" w:cs="宋体"/>
          <w:sz w:val="32"/>
          <w:szCs w:val="32"/>
        </w:rPr>
        <w:t>483.8</w:t>
      </w:r>
      <w:r>
        <w:rPr>
          <w:rFonts w:hint="eastAsia" w:ascii="宋体" w:hAnsi="宋体" w:eastAsia="宋体" w:cs="宋体"/>
          <w:sz w:val="32"/>
          <w:szCs w:val="32"/>
        </w:rPr>
        <w:t>万元，占基本支出的</w:t>
      </w:r>
      <w:r>
        <w:rPr>
          <w:rFonts w:ascii="宋体" w:hAnsi="宋体" w:eastAsia="宋体" w:cs="宋体"/>
          <w:sz w:val="32"/>
          <w:szCs w:val="32"/>
        </w:rPr>
        <w:t>45.35%</w:t>
      </w:r>
      <w:r>
        <w:rPr>
          <w:rFonts w:hint="eastAsia" w:ascii="宋体" w:hAnsi="宋体" w:eastAsia="宋体" w:cs="宋体"/>
          <w:sz w:val="32"/>
          <w:szCs w:val="32"/>
        </w:rPr>
        <w:t>，主要包括：办公费、印刷费、水费、电费、差旅费、会议费、培训费、公务接待费、工会经费、公务用车维修与养护、其他交通费用、其他商品和服务支出。</w:t>
      </w:r>
    </w:p>
    <w:p>
      <w:pPr>
        <w:pStyle w:val="13"/>
        <w:ind w:firstLine="640" w:firstLineChars="200"/>
        <w:rPr>
          <w:rFonts w:hAnsi="黑体" w:cs="Times New Roman"/>
          <w:b/>
          <w:bCs/>
          <w:sz w:val="32"/>
          <w:szCs w:val="32"/>
        </w:rPr>
      </w:pPr>
      <w:r>
        <w:rPr>
          <w:rFonts w:hint="eastAsia" w:hAnsi="黑体"/>
          <w:b/>
          <w:bCs/>
          <w:sz w:val="32"/>
          <w:szCs w:val="32"/>
        </w:rPr>
        <w:t>七、一般公共预算财政拨款“三公”经费支出决算情况说明</w:t>
      </w:r>
    </w:p>
    <w:p>
      <w:pPr>
        <w:pStyle w:val="13"/>
        <w:ind w:firstLine="640" w:firstLineChars="200"/>
        <w:rPr>
          <w:rFonts w:ascii="宋体" w:hAnsi="宋体" w:eastAsia="宋体" w:cs="Times New Roman"/>
          <w:b/>
          <w:bCs/>
          <w:sz w:val="32"/>
          <w:szCs w:val="32"/>
        </w:rPr>
      </w:pPr>
      <w:r>
        <w:rPr>
          <w:rFonts w:hint="eastAsia" w:ascii="宋体" w:hAnsi="宋体" w:eastAsia="宋体" w:cs="宋体"/>
          <w:b/>
          <w:bCs/>
          <w:sz w:val="32"/>
          <w:szCs w:val="32"/>
        </w:rPr>
        <w:t>（一）“三公”经费财政拨款支出决算总体情况说明</w:t>
      </w:r>
    </w:p>
    <w:p>
      <w:pPr>
        <w:pStyle w:val="15"/>
        <w:widowControl/>
        <w:spacing w:beforeAutospacing="0" w:after="2" w:afterAutospacing="0"/>
        <w:ind w:firstLine="640"/>
        <w:rPr>
          <w:color w:val="000000"/>
          <w:sz w:val="32"/>
          <w:szCs w:val="32"/>
        </w:rPr>
      </w:pPr>
      <w:r>
        <w:rPr>
          <w:color w:val="000000"/>
          <w:sz w:val="32"/>
          <w:szCs w:val="32"/>
        </w:rPr>
        <w:t>2021</w:t>
      </w:r>
      <w:r>
        <w:rPr>
          <w:rFonts w:hint="eastAsia"/>
          <w:color w:val="000000"/>
          <w:sz w:val="32"/>
          <w:szCs w:val="32"/>
        </w:rPr>
        <w:t>年度“三公”经费财政拨款支出预算为</w:t>
      </w:r>
      <w:r>
        <w:rPr>
          <w:color w:val="000000"/>
          <w:sz w:val="32"/>
          <w:szCs w:val="32"/>
        </w:rPr>
        <w:t>35</w:t>
      </w:r>
      <w:r>
        <w:rPr>
          <w:rFonts w:hint="eastAsia"/>
          <w:color w:val="000000"/>
          <w:sz w:val="32"/>
          <w:szCs w:val="32"/>
        </w:rPr>
        <w:t>万元，支出决算为</w:t>
      </w:r>
      <w:r>
        <w:rPr>
          <w:color w:val="000000"/>
          <w:sz w:val="32"/>
          <w:szCs w:val="32"/>
        </w:rPr>
        <w:t>26</w:t>
      </w:r>
      <w:r>
        <w:rPr>
          <w:rFonts w:hint="eastAsia"/>
          <w:color w:val="000000"/>
          <w:sz w:val="32"/>
          <w:szCs w:val="32"/>
        </w:rPr>
        <w:t>万元，完成预算的</w:t>
      </w:r>
      <w:r>
        <w:rPr>
          <w:color w:val="000000"/>
          <w:sz w:val="32"/>
          <w:szCs w:val="32"/>
        </w:rPr>
        <w:t>74.28%</w:t>
      </w:r>
      <w:r>
        <w:rPr>
          <w:rFonts w:hint="eastAsia"/>
          <w:color w:val="000000"/>
          <w:sz w:val="32"/>
          <w:szCs w:val="32"/>
        </w:rPr>
        <w:t>，其中：</w:t>
      </w:r>
      <w:r>
        <w:rPr>
          <w:color w:val="000000"/>
          <w:sz w:val="32"/>
          <w:szCs w:val="32"/>
        </w:rPr>
        <w:t xml:space="preserve"> </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5"/>
        <w:widowControl/>
        <w:spacing w:beforeAutospacing="0" w:after="2" w:afterAutospacing="0"/>
        <w:ind w:firstLine="640"/>
        <w:rPr>
          <w:rFonts w:cs="Times New Roman"/>
          <w:color w:val="000000"/>
          <w:sz w:val="32"/>
          <w:szCs w:val="32"/>
        </w:rPr>
      </w:pPr>
      <w:r>
        <w:rPr>
          <w:rFonts w:hint="eastAsia"/>
          <w:color w:val="000000"/>
          <w:sz w:val="32"/>
          <w:szCs w:val="32"/>
        </w:rPr>
        <w:t>公务接待费支出预算为</w:t>
      </w:r>
      <w:r>
        <w:rPr>
          <w:color w:val="000000"/>
          <w:sz w:val="32"/>
          <w:szCs w:val="32"/>
        </w:rPr>
        <w:t>15</w:t>
      </w:r>
      <w:r>
        <w:rPr>
          <w:rFonts w:hint="eastAsia"/>
          <w:color w:val="000000"/>
          <w:sz w:val="32"/>
          <w:szCs w:val="32"/>
        </w:rPr>
        <w:t>万元，支出决算为</w:t>
      </w:r>
      <w:r>
        <w:rPr>
          <w:color w:val="000000"/>
          <w:sz w:val="32"/>
          <w:szCs w:val="32"/>
        </w:rPr>
        <w:t>14</w:t>
      </w:r>
      <w:r>
        <w:rPr>
          <w:rFonts w:hint="eastAsia"/>
          <w:color w:val="000000"/>
          <w:sz w:val="32"/>
          <w:szCs w:val="32"/>
        </w:rPr>
        <w:t>万元，完成预算的</w:t>
      </w:r>
      <w:r>
        <w:rPr>
          <w:color w:val="000000"/>
          <w:sz w:val="32"/>
          <w:szCs w:val="32"/>
        </w:rPr>
        <w:t>93.33%</w:t>
      </w:r>
      <w:r>
        <w:rPr>
          <w:rFonts w:hint="eastAsia"/>
          <w:color w:val="000000"/>
          <w:sz w:val="32"/>
          <w:szCs w:val="32"/>
        </w:rPr>
        <w:t>，决算数小于预算数的主要原因是节约开支，严格管控接待开支，节省了</w:t>
      </w:r>
      <w:r>
        <w:rPr>
          <w:color w:val="000000"/>
          <w:sz w:val="32"/>
          <w:szCs w:val="32"/>
        </w:rPr>
        <w:t>1</w:t>
      </w:r>
      <w:r>
        <w:rPr>
          <w:rFonts w:hint="eastAsia"/>
          <w:color w:val="000000"/>
          <w:sz w:val="32"/>
          <w:szCs w:val="32"/>
        </w:rPr>
        <w:t>万元</w:t>
      </w:r>
      <w:r>
        <w:rPr>
          <w:color w:val="000000"/>
          <w:sz w:val="32"/>
          <w:szCs w:val="32"/>
        </w:rPr>
        <w:t xml:space="preserve"> </w:t>
      </w:r>
      <w:r>
        <w:rPr>
          <w:rFonts w:hint="eastAsia"/>
          <w:color w:val="000000"/>
          <w:sz w:val="32"/>
          <w:szCs w:val="32"/>
        </w:rPr>
        <w:t>，与上年相比减少</w:t>
      </w:r>
      <w:r>
        <w:rPr>
          <w:color w:val="000000"/>
          <w:sz w:val="32"/>
          <w:szCs w:val="32"/>
        </w:rPr>
        <w:t>46</w:t>
      </w:r>
      <w:r>
        <w:rPr>
          <w:rFonts w:hint="eastAsia"/>
          <w:color w:val="000000"/>
          <w:sz w:val="32"/>
          <w:szCs w:val="32"/>
        </w:rPr>
        <w:t>万元，增长</w:t>
      </w:r>
      <w:r>
        <w:rPr>
          <w:color w:val="000000"/>
          <w:sz w:val="32"/>
          <w:szCs w:val="32"/>
        </w:rPr>
        <w:t>-328.57%</w:t>
      </w:r>
      <w:r>
        <w:rPr>
          <w:rFonts w:hint="eastAsia"/>
          <w:color w:val="000000"/>
          <w:sz w:val="32"/>
          <w:szCs w:val="32"/>
        </w:rPr>
        <w:t>，主要原因是严格执行规定，做好了内部控制，在内部食堂接待，节约了费用开支。</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3"/>
        <w:ind w:firstLine="640" w:firstLineChars="200"/>
        <w:rPr>
          <w:rFonts w:ascii="宋体" w:hAnsi="宋体" w:eastAsia="宋体" w:cs="Times New Roman"/>
          <w:sz w:val="32"/>
          <w:szCs w:val="32"/>
        </w:rPr>
      </w:pPr>
      <w:r>
        <w:rPr>
          <w:rFonts w:hint="eastAsia" w:ascii="宋体" w:hAnsi="宋体" w:eastAsia="宋体" w:cs="宋体"/>
          <w:sz w:val="32"/>
          <w:szCs w:val="32"/>
          <w:lang w:eastAsia="zh-CN"/>
        </w:rPr>
        <w:t>公务用车</w:t>
      </w:r>
      <w:bookmarkStart w:id="3" w:name="_GoBack"/>
      <w:bookmarkEnd w:id="3"/>
      <w:r>
        <w:rPr>
          <w:rFonts w:hint="eastAsia" w:ascii="宋体" w:hAnsi="宋体" w:eastAsia="宋体" w:cs="宋体"/>
          <w:sz w:val="32"/>
          <w:szCs w:val="32"/>
        </w:rPr>
        <w:t>运行维护费支出预算为</w:t>
      </w:r>
      <w:r>
        <w:rPr>
          <w:rFonts w:ascii="宋体" w:hAnsi="宋体" w:eastAsia="宋体" w:cs="宋体"/>
          <w:sz w:val="32"/>
          <w:szCs w:val="32"/>
        </w:rPr>
        <w:t>20</w:t>
      </w:r>
      <w:r>
        <w:rPr>
          <w:rFonts w:hint="eastAsia" w:ascii="宋体" w:hAnsi="宋体" w:eastAsia="宋体" w:cs="宋体"/>
          <w:sz w:val="32"/>
          <w:szCs w:val="32"/>
        </w:rPr>
        <w:t>万元，支出决算为</w:t>
      </w:r>
      <w:r>
        <w:rPr>
          <w:rFonts w:ascii="宋体" w:hAnsi="宋体" w:eastAsia="宋体" w:cs="宋体"/>
          <w:sz w:val="32"/>
          <w:szCs w:val="32"/>
        </w:rPr>
        <w:t>12</w:t>
      </w:r>
      <w:r>
        <w:rPr>
          <w:rFonts w:hint="eastAsia" w:ascii="宋体" w:hAnsi="宋体" w:eastAsia="宋体" w:cs="宋体"/>
          <w:sz w:val="32"/>
          <w:szCs w:val="32"/>
        </w:rPr>
        <w:t>万元，完成预算的</w:t>
      </w:r>
      <w:r>
        <w:rPr>
          <w:rFonts w:ascii="宋体" w:hAnsi="宋体" w:eastAsia="宋体" w:cs="宋体"/>
          <w:sz w:val="32"/>
          <w:szCs w:val="32"/>
        </w:rPr>
        <w:t>60%</w:t>
      </w:r>
      <w:r>
        <w:rPr>
          <w:rFonts w:hint="eastAsia" w:ascii="宋体" w:hAnsi="宋体" w:eastAsia="宋体" w:cs="宋体"/>
          <w:sz w:val="32"/>
          <w:szCs w:val="32"/>
        </w:rPr>
        <w:t>，决算数小于预算数的主要原因是严格控制公务用车，车辆维修支出大幅减少。</w:t>
      </w:r>
    </w:p>
    <w:p>
      <w:pPr>
        <w:pStyle w:val="13"/>
        <w:ind w:firstLine="640" w:firstLineChars="200"/>
        <w:rPr>
          <w:rFonts w:ascii="宋体" w:hAnsi="宋体" w:eastAsia="宋体" w:cs="Times New Roman"/>
          <w:b/>
          <w:bCs/>
          <w:sz w:val="32"/>
          <w:szCs w:val="32"/>
        </w:rPr>
      </w:pPr>
      <w:r>
        <w:rPr>
          <w:rFonts w:hint="eastAsia" w:ascii="宋体" w:hAnsi="宋体" w:eastAsia="宋体" w:cs="宋体"/>
          <w:b/>
          <w:bCs/>
          <w:sz w:val="32"/>
          <w:szCs w:val="32"/>
        </w:rPr>
        <w:t>（二）“三公”经费财政拨款支出决算具体情况说明</w:t>
      </w:r>
    </w:p>
    <w:p>
      <w:pPr>
        <w:pStyle w:val="15"/>
        <w:widowControl/>
        <w:spacing w:beforeAutospacing="0" w:after="2" w:afterAutospacing="0"/>
        <w:ind w:firstLine="640"/>
        <w:rPr>
          <w:color w:val="000000"/>
          <w:sz w:val="32"/>
          <w:szCs w:val="32"/>
        </w:rPr>
      </w:pPr>
      <w:r>
        <w:rPr>
          <w:color w:val="000000"/>
          <w:sz w:val="32"/>
          <w:szCs w:val="32"/>
        </w:rPr>
        <w:t>2021</w:t>
      </w:r>
      <w:r>
        <w:rPr>
          <w:rFonts w:hint="eastAsia"/>
          <w:color w:val="000000"/>
          <w:sz w:val="32"/>
          <w:szCs w:val="32"/>
        </w:rPr>
        <w:t>年度“三公”经费财政拨款支出决算中，公务接待费支出决算</w:t>
      </w:r>
      <w:r>
        <w:rPr>
          <w:color w:val="000000"/>
          <w:sz w:val="32"/>
          <w:szCs w:val="32"/>
        </w:rPr>
        <w:t>14</w:t>
      </w:r>
      <w:r>
        <w:rPr>
          <w:rFonts w:hint="eastAsia"/>
          <w:color w:val="000000"/>
          <w:sz w:val="32"/>
          <w:szCs w:val="32"/>
        </w:rPr>
        <w:t>万元，占</w:t>
      </w:r>
      <w:r>
        <w:rPr>
          <w:color w:val="000000"/>
          <w:sz w:val="32"/>
          <w:szCs w:val="32"/>
        </w:rPr>
        <w:t>53.84%</w:t>
      </w:r>
      <w:r>
        <w:rPr>
          <w:rFonts w:hint="eastAsia"/>
          <w:color w:val="000000"/>
          <w:sz w:val="32"/>
          <w:szCs w:val="32"/>
        </w:rPr>
        <w:t>，因公出国（境）费支出决算</w:t>
      </w:r>
      <w:r>
        <w:rPr>
          <w:color w:val="000000"/>
          <w:sz w:val="32"/>
          <w:szCs w:val="32"/>
        </w:rPr>
        <w:t>0</w:t>
      </w:r>
      <w:r>
        <w:rPr>
          <w:rFonts w:hint="eastAsia"/>
          <w:color w:val="000000"/>
          <w:sz w:val="32"/>
          <w:szCs w:val="32"/>
        </w:rPr>
        <w:t>万元，占</w:t>
      </w:r>
      <w:r>
        <w:rPr>
          <w:color w:val="000000"/>
          <w:sz w:val="32"/>
          <w:szCs w:val="32"/>
        </w:rPr>
        <w:t>0%</w:t>
      </w:r>
      <w:r>
        <w:rPr>
          <w:rFonts w:hint="eastAsia"/>
          <w:color w:val="000000"/>
          <w:sz w:val="32"/>
          <w:szCs w:val="32"/>
        </w:rPr>
        <w:t>，公务用车购置费及运行维护费支出决算</w:t>
      </w:r>
      <w:r>
        <w:rPr>
          <w:color w:val="000000"/>
          <w:sz w:val="32"/>
          <w:szCs w:val="32"/>
        </w:rPr>
        <w:t>12</w:t>
      </w:r>
      <w:r>
        <w:rPr>
          <w:rFonts w:hint="eastAsia"/>
          <w:color w:val="000000"/>
          <w:sz w:val="32"/>
          <w:szCs w:val="32"/>
        </w:rPr>
        <w:t>万元，占</w:t>
      </w:r>
      <w:r>
        <w:rPr>
          <w:color w:val="000000"/>
          <w:sz w:val="32"/>
          <w:szCs w:val="32"/>
        </w:rPr>
        <w:t>46.16%</w:t>
      </w:r>
      <w:r>
        <w:rPr>
          <w:rFonts w:hint="eastAsia"/>
          <w:color w:val="000000"/>
          <w:sz w:val="32"/>
          <w:szCs w:val="32"/>
        </w:rPr>
        <w:t>。其中：</w:t>
      </w:r>
      <w:r>
        <w:rPr>
          <w:color w:val="000000"/>
          <w:sz w:val="32"/>
          <w:szCs w:val="32"/>
        </w:rPr>
        <w:t xml:space="preserve"> </w:t>
      </w:r>
    </w:p>
    <w:p>
      <w:pPr>
        <w:pStyle w:val="15"/>
        <w:widowControl/>
        <w:spacing w:beforeAutospacing="0" w:after="2" w:afterAutospacing="0"/>
        <w:ind w:firstLine="640"/>
        <w:rPr>
          <w:color w:val="000000"/>
          <w:sz w:val="32"/>
          <w:szCs w:val="32"/>
        </w:rPr>
      </w:pPr>
      <w:r>
        <w:rPr>
          <w:color w:val="000000"/>
          <w:sz w:val="32"/>
          <w:szCs w:val="32"/>
        </w:rPr>
        <w:t>1</w:t>
      </w:r>
      <w:r>
        <w:rPr>
          <w:rFonts w:hint="eastAsia"/>
          <w:color w:val="000000"/>
          <w:sz w:val="32"/>
          <w:szCs w:val="32"/>
        </w:rPr>
        <w:t>、因公出国（境）费支出决算为</w:t>
      </w:r>
      <w:r>
        <w:rPr>
          <w:color w:val="000000"/>
          <w:sz w:val="32"/>
          <w:szCs w:val="32"/>
        </w:rPr>
        <w:t>0</w:t>
      </w:r>
      <w:r>
        <w:rPr>
          <w:rFonts w:hint="eastAsia"/>
          <w:color w:val="000000"/>
          <w:sz w:val="32"/>
          <w:szCs w:val="32"/>
        </w:rPr>
        <w:t>万元，全年安排因公出国（境）团组</w:t>
      </w:r>
      <w:r>
        <w:rPr>
          <w:color w:val="000000"/>
          <w:sz w:val="32"/>
          <w:szCs w:val="32"/>
        </w:rPr>
        <w:t>0</w:t>
      </w:r>
      <w:r>
        <w:rPr>
          <w:rFonts w:hint="eastAsia"/>
          <w:color w:val="000000"/>
          <w:sz w:val="32"/>
          <w:szCs w:val="32"/>
        </w:rPr>
        <w:t>个，累计</w:t>
      </w:r>
      <w:r>
        <w:rPr>
          <w:color w:val="000000"/>
          <w:sz w:val="32"/>
          <w:szCs w:val="32"/>
        </w:rPr>
        <w:t>0</w:t>
      </w:r>
      <w:r>
        <w:rPr>
          <w:rFonts w:hint="eastAsia"/>
          <w:color w:val="000000"/>
          <w:sz w:val="32"/>
          <w:szCs w:val="32"/>
        </w:rPr>
        <w:t>人次，我单位</w:t>
      </w:r>
      <w:r>
        <w:rPr>
          <w:color w:val="000000"/>
          <w:sz w:val="32"/>
          <w:szCs w:val="32"/>
        </w:rPr>
        <w:t>2020</w:t>
      </w:r>
      <w:r>
        <w:rPr>
          <w:rFonts w:hint="eastAsia"/>
          <w:color w:val="000000"/>
          <w:sz w:val="32"/>
          <w:szCs w:val="32"/>
        </w:rPr>
        <w:t>年度无因公出国（境）费支出。</w:t>
      </w:r>
      <w:r>
        <w:rPr>
          <w:color w:val="000000"/>
          <w:sz w:val="32"/>
          <w:szCs w:val="32"/>
        </w:rPr>
        <w:t xml:space="preserve"> </w:t>
      </w:r>
    </w:p>
    <w:p>
      <w:pPr>
        <w:pStyle w:val="15"/>
        <w:widowControl/>
        <w:spacing w:beforeAutospacing="0" w:after="2" w:afterAutospacing="0"/>
        <w:ind w:firstLine="640"/>
        <w:rPr>
          <w:color w:val="000000"/>
          <w:sz w:val="32"/>
          <w:szCs w:val="32"/>
        </w:rPr>
      </w:pPr>
      <w:r>
        <w:rPr>
          <w:color w:val="000000"/>
          <w:sz w:val="32"/>
          <w:szCs w:val="32"/>
        </w:rPr>
        <w:t>2</w:t>
      </w:r>
      <w:r>
        <w:rPr>
          <w:rFonts w:hint="eastAsia"/>
          <w:color w:val="000000"/>
          <w:sz w:val="32"/>
          <w:szCs w:val="32"/>
        </w:rPr>
        <w:t>、公务接待费支出决算为</w:t>
      </w:r>
      <w:r>
        <w:rPr>
          <w:color w:val="000000"/>
          <w:sz w:val="32"/>
          <w:szCs w:val="32"/>
        </w:rPr>
        <w:t>14</w:t>
      </w:r>
      <w:r>
        <w:rPr>
          <w:rFonts w:hint="eastAsia"/>
          <w:color w:val="000000"/>
          <w:sz w:val="32"/>
          <w:szCs w:val="32"/>
        </w:rPr>
        <w:t>万元，全年共接待来访团组</w:t>
      </w:r>
      <w:r>
        <w:rPr>
          <w:color w:val="000000"/>
          <w:sz w:val="32"/>
          <w:szCs w:val="32"/>
        </w:rPr>
        <w:t>298</w:t>
      </w:r>
      <w:r>
        <w:rPr>
          <w:rFonts w:hint="eastAsia"/>
          <w:color w:val="000000"/>
          <w:sz w:val="32"/>
          <w:szCs w:val="32"/>
        </w:rPr>
        <w:t>个、来宾</w:t>
      </w:r>
      <w:r>
        <w:rPr>
          <w:color w:val="000000"/>
          <w:sz w:val="32"/>
          <w:szCs w:val="32"/>
        </w:rPr>
        <w:t>1102</w:t>
      </w:r>
      <w:r>
        <w:rPr>
          <w:rFonts w:hint="eastAsia"/>
          <w:color w:val="000000"/>
          <w:sz w:val="32"/>
          <w:szCs w:val="32"/>
        </w:rPr>
        <w:t>人次，主要是上级督查检查安全生产工作、各县区交流督查安全生产工作和全县应急演练工作发生的接待支出。</w:t>
      </w:r>
      <w:r>
        <w:rPr>
          <w:color w:val="000000"/>
          <w:sz w:val="32"/>
          <w:szCs w:val="32"/>
        </w:rPr>
        <w:t xml:space="preserve"> </w:t>
      </w:r>
    </w:p>
    <w:p>
      <w:pPr>
        <w:pStyle w:val="13"/>
        <w:ind w:firstLine="640" w:firstLineChars="200"/>
        <w:rPr>
          <w:rFonts w:ascii="宋体" w:hAnsi="宋体" w:eastAsia="宋体" w:cs="Times New Roman"/>
          <w:sz w:val="32"/>
          <w:szCs w:val="32"/>
        </w:rPr>
      </w:pPr>
      <w:r>
        <w:rPr>
          <w:rFonts w:ascii="宋体" w:hAnsi="宋体" w:eastAsia="宋体" w:cs="宋体"/>
          <w:sz w:val="32"/>
          <w:szCs w:val="32"/>
        </w:rPr>
        <w:t>3</w:t>
      </w:r>
      <w:r>
        <w:rPr>
          <w:rFonts w:hint="eastAsia" w:ascii="宋体" w:hAnsi="宋体" w:eastAsia="宋体" w:cs="宋体"/>
          <w:sz w:val="32"/>
          <w:szCs w:val="32"/>
        </w:rPr>
        <w:t>、公务用车购置费及运行维护费支出决算为</w:t>
      </w:r>
      <w:r>
        <w:rPr>
          <w:rFonts w:ascii="宋体" w:hAnsi="宋体" w:eastAsia="宋体" w:cs="宋体"/>
          <w:sz w:val="32"/>
          <w:szCs w:val="32"/>
        </w:rPr>
        <w:t>12</w:t>
      </w:r>
      <w:r>
        <w:rPr>
          <w:rFonts w:hint="eastAsia" w:ascii="宋体" w:hAnsi="宋体" w:eastAsia="宋体" w:cs="宋体"/>
          <w:sz w:val="32"/>
          <w:szCs w:val="32"/>
        </w:rPr>
        <w:t>万元，其中：公务用车购置费</w:t>
      </w:r>
      <w:r>
        <w:rPr>
          <w:rFonts w:ascii="宋体" w:hAnsi="宋体" w:eastAsia="宋体" w:cs="宋体"/>
          <w:sz w:val="32"/>
          <w:szCs w:val="32"/>
        </w:rPr>
        <w:t>0</w:t>
      </w:r>
      <w:r>
        <w:rPr>
          <w:rFonts w:hint="eastAsia" w:ascii="宋体" w:hAnsi="宋体" w:eastAsia="宋体" w:cs="宋体"/>
          <w:sz w:val="32"/>
          <w:szCs w:val="32"/>
        </w:rPr>
        <w:t>万元、公务用车购置</w:t>
      </w:r>
      <w:r>
        <w:rPr>
          <w:rFonts w:ascii="宋体" w:hAnsi="宋体" w:eastAsia="宋体" w:cs="宋体"/>
          <w:sz w:val="32"/>
          <w:szCs w:val="32"/>
        </w:rPr>
        <w:t>0</w:t>
      </w:r>
      <w:r>
        <w:rPr>
          <w:rFonts w:hint="eastAsia" w:ascii="宋体" w:hAnsi="宋体" w:eastAsia="宋体" w:cs="宋体"/>
          <w:sz w:val="32"/>
          <w:szCs w:val="32"/>
        </w:rPr>
        <w:t>辆，公务用车购置</w:t>
      </w:r>
      <w:r>
        <w:rPr>
          <w:rFonts w:ascii="宋体" w:hAnsi="宋体" w:eastAsia="宋体" w:cs="宋体"/>
          <w:sz w:val="32"/>
          <w:szCs w:val="32"/>
        </w:rPr>
        <w:t>0</w:t>
      </w:r>
      <w:r>
        <w:rPr>
          <w:rFonts w:hint="eastAsia" w:ascii="宋体" w:hAnsi="宋体" w:eastAsia="宋体" w:cs="宋体"/>
          <w:sz w:val="32"/>
          <w:szCs w:val="32"/>
        </w:rPr>
        <w:t>辆。公务用车运行维护费</w:t>
      </w:r>
      <w:r>
        <w:rPr>
          <w:rFonts w:ascii="宋体" w:hAnsi="宋体" w:eastAsia="宋体" w:cs="宋体"/>
          <w:sz w:val="32"/>
          <w:szCs w:val="32"/>
        </w:rPr>
        <w:t>12</w:t>
      </w:r>
      <w:r>
        <w:rPr>
          <w:rFonts w:hint="eastAsia" w:ascii="宋体" w:hAnsi="宋体" w:eastAsia="宋体" w:cs="宋体"/>
          <w:sz w:val="32"/>
          <w:szCs w:val="32"/>
        </w:rPr>
        <w:t>万元，主要是油料和维修费用支出，截至</w:t>
      </w:r>
      <w:r>
        <w:rPr>
          <w:rFonts w:ascii="宋体" w:hAnsi="宋体" w:eastAsia="宋体" w:cs="宋体"/>
          <w:sz w:val="32"/>
          <w:szCs w:val="32"/>
        </w:rPr>
        <w:t>2021</w:t>
      </w:r>
      <w:r>
        <w:rPr>
          <w:rFonts w:hint="eastAsia" w:ascii="宋体" w:hAnsi="宋体" w:eastAsia="宋体" w:cs="宋体"/>
          <w:sz w:val="32"/>
          <w:szCs w:val="32"/>
        </w:rPr>
        <w:t>年</w:t>
      </w:r>
      <w:r>
        <w:rPr>
          <w:rFonts w:ascii="宋体" w:hAnsi="宋体" w:eastAsia="宋体" w:cs="宋体"/>
          <w:sz w:val="32"/>
          <w:szCs w:val="32"/>
        </w:rPr>
        <w:t>12</w:t>
      </w:r>
      <w:r>
        <w:rPr>
          <w:rFonts w:hint="eastAsia" w:ascii="宋体" w:hAnsi="宋体" w:eastAsia="宋体" w:cs="宋体"/>
          <w:sz w:val="32"/>
          <w:szCs w:val="32"/>
        </w:rPr>
        <w:t>月</w:t>
      </w:r>
      <w:r>
        <w:rPr>
          <w:rFonts w:ascii="宋体" w:hAnsi="宋体" w:eastAsia="宋体" w:cs="宋体"/>
          <w:sz w:val="32"/>
          <w:szCs w:val="32"/>
        </w:rPr>
        <w:t>31</w:t>
      </w:r>
      <w:r>
        <w:rPr>
          <w:rFonts w:hint="eastAsia" w:ascii="宋体" w:hAnsi="宋体" w:eastAsia="宋体" w:cs="宋体"/>
          <w:sz w:val="32"/>
          <w:szCs w:val="32"/>
        </w:rPr>
        <w:t>日，我单位开支财政拨款的公务用车保有量为</w:t>
      </w:r>
      <w:r>
        <w:rPr>
          <w:rFonts w:ascii="宋体" w:hAnsi="宋体" w:eastAsia="宋体" w:cs="宋体"/>
          <w:sz w:val="32"/>
          <w:szCs w:val="32"/>
        </w:rPr>
        <w:t>3</w:t>
      </w:r>
      <w:r>
        <w:rPr>
          <w:rFonts w:hint="eastAsia" w:ascii="宋体" w:hAnsi="宋体" w:eastAsia="宋体" w:cs="宋体"/>
          <w:sz w:val="32"/>
          <w:szCs w:val="32"/>
        </w:rPr>
        <w:t>辆。</w:t>
      </w:r>
    </w:p>
    <w:p>
      <w:pPr>
        <w:pStyle w:val="13"/>
        <w:ind w:firstLine="640" w:firstLineChars="200"/>
        <w:rPr>
          <w:rFonts w:hAnsi="黑体" w:cs="Times New Roman"/>
          <w:b/>
          <w:bCs/>
          <w:sz w:val="32"/>
          <w:szCs w:val="32"/>
        </w:rPr>
      </w:pPr>
      <w:r>
        <w:rPr>
          <w:rFonts w:hint="eastAsia" w:hAnsi="黑体"/>
          <w:b/>
          <w:bCs/>
          <w:sz w:val="32"/>
          <w:szCs w:val="32"/>
        </w:rPr>
        <w:t>八、政府性基金预算收入支出决算情况</w:t>
      </w:r>
    </w:p>
    <w:p>
      <w:pPr>
        <w:pStyle w:val="15"/>
        <w:widowControl/>
        <w:spacing w:beforeAutospacing="0" w:after="2" w:afterAutospacing="0"/>
        <w:ind w:firstLine="640"/>
        <w:rPr>
          <w:rFonts w:cs="Times New Roman"/>
          <w:color w:val="000000"/>
          <w:sz w:val="32"/>
          <w:szCs w:val="32"/>
        </w:rPr>
      </w:pPr>
      <w:r>
        <w:rPr>
          <w:rFonts w:hint="eastAsia"/>
          <w:color w:val="000000"/>
          <w:sz w:val="32"/>
          <w:szCs w:val="32"/>
        </w:rPr>
        <w:t>道县应急管理局</w:t>
      </w:r>
      <w:r>
        <w:rPr>
          <w:color w:val="000000"/>
          <w:sz w:val="32"/>
          <w:szCs w:val="32"/>
        </w:rPr>
        <w:t>2021</w:t>
      </w:r>
      <w:r>
        <w:rPr>
          <w:rFonts w:hint="eastAsia"/>
          <w:color w:val="000000"/>
          <w:sz w:val="32"/>
          <w:szCs w:val="32"/>
        </w:rPr>
        <w:t>年度没有政府性基金收入，也没有使用政府性基金安排的支出，并已公开空表。</w:t>
      </w:r>
    </w:p>
    <w:p>
      <w:pPr>
        <w:pStyle w:val="13"/>
        <w:ind w:firstLine="640" w:firstLineChars="200"/>
        <w:rPr>
          <w:rFonts w:hAnsi="黑体" w:cs="Times New Roman"/>
          <w:b/>
          <w:bCs/>
          <w:sz w:val="32"/>
          <w:szCs w:val="32"/>
        </w:rPr>
      </w:pPr>
      <w:r>
        <w:rPr>
          <w:rFonts w:hint="eastAsia" w:hAnsi="黑体"/>
          <w:b/>
          <w:bCs/>
          <w:sz w:val="32"/>
          <w:szCs w:val="32"/>
        </w:rPr>
        <w:t>九、机关运行经费支出说明</w:t>
      </w:r>
    </w:p>
    <w:p>
      <w:pPr>
        <w:pStyle w:val="13"/>
        <w:ind w:firstLine="640" w:firstLineChars="200"/>
        <w:rPr>
          <w:rFonts w:ascii="宋体" w:hAnsi="宋体" w:eastAsia="宋体" w:cs="Times New Roman"/>
          <w:sz w:val="32"/>
          <w:szCs w:val="32"/>
        </w:rPr>
      </w:pPr>
      <w:r>
        <w:rPr>
          <w:rFonts w:hint="eastAsia" w:ascii="宋体" w:hAnsi="宋体" w:eastAsia="宋体" w:cs="宋体"/>
          <w:sz w:val="32"/>
          <w:szCs w:val="32"/>
        </w:rPr>
        <w:t>道县应急管理局</w:t>
      </w:r>
      <w:r>
        <w:rPr>
          <w:rFonts w:ascii="宋体" w:hAnsi="宋体" w:eastAsia="宋体" w:cs="宋体"/>
          <w:sz w:val="32"/>
          <w:szCs w:val="32"/>
        </w:rPr>
        <w:t>2021</w:t>
      </w:r>
      <w:r>
        <w:rPr>
          <w:rFonts w:hint="eastAsia" w:ascii="宋体" w:hAnsi="宋体" w:eastAsia="宋体" w:cs="宋体"/>
          <w:sz w:val="32"/>
          <w:szCs w:val="32"/>
        </w:rPr>
        <w:t>年度机关运行经费支出</w:t>
      </w:r>
      <w:r>
        <w:rPr>
          <w:rFonts w:ascii="宋体" w:hAnsi="宋体" w:eastAsia="宋体" w:cs="宋体"/>
          <w:sz w:val="32"/>
          <w:szCs w:val="32"/>
        </w:rPr>
        <w:t>483.8</w:t>
      </w:r>
      <w:r>
        <w:rPr>
          <w:rFonts w:hint="eastAsia" w:ascii="宋体" w:hAnsi="宋体" w:eastAsia="宋体" w:cs="宋体"/>
          <w:sz w:val="32"/>
          <w:szCs w:val="32"/>
        </w:rPr>
        <w:t>万元，比年初预算数增加</w:t>
      </w:r>
      <w:r>
        <w:rPr>
          <w:rFonts w:ascii="宋体" w:hAnsi="宋体" w:eastAsia="宋体" w:cs="宋体"/>
          <w:sz w:val="32"/>
          <w:szCs w:val="32"/>
        </w:rPr>
        <w:t>0</w:t>
      </w:r>
      <w:r>
        <w:rPr>
          <w:rFonts w:hint="eastAsia" w:ascii="宋体" w:hAnsi="宋体" w:eastAsia="宋体" w:cs="宋体"/>
          <w:sz w:val="32"/>
          <w:szCs w:val="32"/>
        </w:rPr>
        <w:t>万元，</w:t>
      </w:r>
      <w:r>
        <w:rPr>
          <w:rFonts w:ascii="宋体" w:hAnsi="宋体" w:eastAsia="宋体" w:cs="宋体"/>
          <w:sz w:val="32"/>
          <w:szCs w:val="32"/>
        </w:rPr>
        <w:t>100%</w:t>
      </w:r>
      <w:r>
        <w:rPr>
          <w:rFonts w:hint="eastAsia" w:ascii="宋体" w:hAnsi="宋体" w:eastAsia="宋体" w:cs="宋体"/>
          <w:sz w:val="32"/>
          <w:szCs w:val="32"/>
        </w:rPr>
        <w:t>完成预算支出。主要原因是：严格控制公用经费开支，减少不必要的开支。</w:t>
      </w:r>
    </w:p>
    <w:p>
      <w:pPr>
        <w:pStyle w:val="13"/>
        <w:ind w:firstLine="640" w:firstLineChars="200"/>
        <w:rPr>
          <w:rFonts w:hAnsi="黑体" w:cs="Times New Roman"/>
          <w:b/>
          <w:bCs/>
          <w:sz w:val="32"/>
          <w:szCs w:val="32"/>
        </w:rPr>
      </w:pPr>
      <w:r>
        <w:rPr>
          <w:rFonts w:hint="eastAsia" w:hAnsi="黑体"/>
          <w:b/>
          <w:bCs/>
          <w:sz w:val="32"/>
          <w:szCs w:val="32"/>
        </w:rPr>
        <w:t>十、一般性支出情况说明</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年度道县应急管理局一般性支出</w:t>
      </w:r>
      <w:r>
        <w:rPr>
          <w:rFonts w:ascii="宋体" w:hAnsi="宋体" w:eastAsia="宋体" w:cs="宋体"/>
          <w:sz w:val="32"/>
          <w:szCs w:val="32"/>
        </w:rPr>
        <w:t>483.8</w:t>
      </w:r>
      <w:r>
        <w:rPr>
          <w:rFonts w:hint="eastAsia" w:ascii="宋体" w:hAnsi="宋体" w:eastAsia="宋体" w:cs="宋体"/>
          <w:sz w:val="32"/>
          <w:szCs w:val="32"/>
        </w:rPr>
        <w:t>万元，其中：办公费</w:t>
      </w:r>
      <w:r>
        <w:rPr>
          <w:rFonts w:ascii="宋体" w:hAnsi="宋体" w:eastAsia="宋体" w:cs="宋体"/>
          <w:sz w:val="32"/>
          <w:szCs w:val="32"/>
        </w:rPr>
        <w:t>56</w:t>
      </w:r>
      <w:r>
        <w:rPr>
          <w:rFonts w:hint="eastAsia" w:ascii="宋体" w:hAnsi="宋体" w:eastAsia="宋体" w:cs="宋体"/>
          <w:sz w:val="32"/>
          <w:szCs w:val="32"/>
        </w:rPr>
        <w:t>万元；印刷费</w:t>
      </w:r>
      <w:r>
        <w:rPr>
          <w:rFonts w:ascii="宋体" w:hAnsi="宋体" w:eastAsia="宋体" w:cs="宋体"/>
          <w:sz w:val="32"/>
          <w:szCs w:val="32"/>
        </w:rPr>
        <w:t>70</w:t>
      </w:r>
      <w:r>
        <w:rPr>
          <w:rFonts w:hint="eastAsia" w:ascii="宋体" w:hAnsi="宋体" w:eastAsia="宋体" w:cs="宋体"/>
          <w:sz w:val="32"/>
          <w:szCs w:val="32"/>
        </w:rPr>
        <w:t>万元；咨询费</w:t>
      </w:r>
      <w:r>
        <w:rPr>
          <w:rFonts w:ascii="宋体" w:hAnsi="宋体" w:eastAsia="宋体" w:cs="宋体"/>
          <w:sz w:val="32"/>
          <w:szCs w:val="32"/>
        </w:rPr>
        <w:t>0</w:t>
      </w:r>
      <w:r>
        <w:rPr>
          <w:rFonts w:hint="eastAsia" w:ascii="宋体" w:hAnsi="宋体" w:eastAsia="宋体" w:cs="宋体"/>
          <w:sz w:val="32"/>
          <w:szCs w:val="32"/>
        </w:rPr>
        <w:t>万元；水费</w:t>
      </w:r>
      <w:r>
        <w:rPr>
          <w:rFonts w:ascii="宋体" w:hAnsi="宋体" w:eastAsia="宋体" w:cs="宋体"/>
          <w:sz w:val="32"/>
          <w:szCs w:val="32"/>
        </w:rPr>
        <w:t>20</w:t>
      </w:r>
      <w:r>
        <w:rPr>
          <w:rFonts w:hint="eastAsia" w:ascii="宋体" w:hAnsi="宋体" w:eastAsia="宋体" w:cs="宋体"/>
          <w:sz w:val="32"/>
          <w:szCs w:val="32"/>
        </w:rPr>
        <w:t>万元；电费</w:t>
      </w:r>
      <w:r>
        <w:rPr>
          <w:rFonts w:ascii="宋体" w:hAnsi="宋体" w:eastAsia="宋体" w:cs="宋体"/>
          <w:sz w:val="32"/>
          <w:szCs w:val="32"/>
        </w:rPr>
        <w:t>12</w:t>
      </w:r>
      <w:r>
        <w:rPr>
          <w:rFonts w:hint="eastAsia" w:ascii="宋体" w:hAnsi="宋体" w:eastAsia="宋体" w:cs="宋体"/>
          <w:sz w:val="32"/>
          <w:szCs w:val="32"/>
        </w:rPr>
        <w:t>万元；邮电费</w:t>
      </w:r>
      <w:r>
        <w:rPr>
          <w:rFonts w:ascii="宋体" w:hAnsi="宋体" w:eastAsia="宋体" w:cs="宋体"/>
          <w:sz w:val="32"/>
          <w:szCs w:val="32"/>
        </w:rPr>
        <w:t>0</w:t>
      </w:r>
      <w:r>
        <w:rPr>
          <w:rFonts w:hint="eastAsia" w:ascii="宋体" w:hAnsi="宋体" w:eastAsia="宋体" w:cs="宋体"/>
          <w:sz w:val="32"/>
          <w:szCs w:val="32"/>
        </w:rPr>
        <w:t>万元；取暖费</w:t>
      </w:r>
      <w:r>
        <w:rPr>
          <w:rFonts w:ascii="宋体" w:hAnsi="宋体" w:eastAsia="宋体" w:cs="宋体"/>
          <w:sz w:val="32"/>
          <w:szCs w:val="32"/>
        </w:rPr>
        <w:t>0</w:t>
      </w:r>
      <w:r>
        <w:rPr>
          <w:rFonts w:hint="eastAsia" w:ascii="宋体" w:hAnsi="宋体" w:eastAsia="宋体" w:cs="宋体"/>
          <w:sz w:val="32"/>
          <w:szCs w:val="32"/>
        </w:rPr>
        <w:t>万元；物业管理费</w:t>
      </w:r>
      <w:r>
        <w:rPr>
          <w:rFonts w:ascii="宋体" w:hAnsi="宋体" w:eastAsia="宋体" w:cs="宋体"/>
          <w:sz w:val="32"/>
          <w:szCs w:val="32"/>
        </w:rPr>
        <w:t>0</w:t>
      </w:r>
      <w:r>
        <w:rPr>
          <w:rFonts w:hint="eastAsia" w:ascii="宋体" w:hAnsi="宋体" w:eastAsia="宋体" w:cs="宋体"/>
          <w:sz w:val="32"/>
          <w:szCs w:val="32"/>
        </w:rPr>
        <w:t>万元；差旅费</w:t>
      </w:r>
      <w:r>
        <w:rPr>
          <w:rFonts w:ascii="宋体" w:hAnsi="宋体" w:eastAsia="宋体" w:cs="宋体"/>
          <w:sz w:val="32"/>
          <w:szCs w:val="32"/>
        </w:rPr>
        <w:t>10</w:t>
      </w:r>
      <w:r>
        <w:rPr>
          <w:rFonts w:hint="eastAsia" w:ascii="宋体" w:hAnsi="宋体" w:eastAsia="宋体" w:cs="宋体"/>
          <w:sz w:val="32"/>
          <w:szCs w:val="32"/>
        </w:rPr>
        <w:t>万元；因公出国（境）费用</w:t>
      </w:r>
      <w:r>
        <w:rPr>
          <w:rFonts w:ascii="宋体" w:hAnsi="宋体" w:eastAsia="宋体" w:cs="宋体"/>
          <w:sz w:val="32"/>
          <w:szCs w:val="32"/>
        </w:rPr>
        <w:t>0</w:t>
      </w:r>
      <w:r>
        <w:rPr>
          <w:rFonts w:hint="eastAsia" w:ascii="宋体" w:hAnsi="宋体" w:eastAsia="宋体" w:cs="宋体"/>
          <w:sz w:val="32"/>
          <w:szCs w:val="32"/>
        </w:rPr>
        <w:t>万元；维修（护）费</w:t>
      </w:r>
      <w:r>
        <w:rPr>
          <w:rFonts w:ascii="宋体" w:hAnsi="宋体" w:eastAsia="宋体" w:cs="宋体"/>
          <w:sz w:val="32"/>
          <w:szCs w:val="32"/>
        </w:rPr>
        <w:t>39.8</w:t>
      </w:r>
      <w:r>
        <w:rPr>
          <w:rFonts w:hint="eastAsia" w:ascii="宋体" w:hAnsi="宋体" w:eastAsia="宋体" w:cs="宋体"/>
          <w:sz w:val="32"/>
          <w:szCs w:val="32"/>
        </w:rPr>
        <w:t>万元；租赁费</w:t>
      </w:r>
      <w:r>
        <w:rPr>
          <w:rFonts w:ascii="宋体" w:hAnsi="宋体" w:eastAsia="宋体" w:cs="宋体"/>
          <w:sz w:val="32"/>
          <w:szCs w:val="32"/>
        </w:rPr>
        <w:t>10</w:t>
      </w:r>
      <w:r>
        <w:rPr>
          <w:rFonts w:hint="eastAsia" w:ascii="宋体" w:hAnsi="宋体" w:eastAsia="宋体" w:cs="宋体"/>
          <w:sz w:val="32"/>
          <w:szCs w:val="32"/>
        </w:rPr>
        <w:t>万元；会议费</w:t>
      </w:r>
      <w:r>
        <w:rPr>
          <w:rFonts w:ascii="宋体" w:hAnsi="宋体" w:eastAsia="宋体" w:cs="宋体"/>
          <w:sz w:val="32"/>
          <w:szCs w:val="32"/>
        </w:rPr>
        <w:t>10</w:t>
      </w:r>
      <w:r>
        <w:rPr>
          <w:rFonts w:hint="eastAsia" w:ascii="宋体" w:hAnsi="宋体" w:eastAsia="宋体" w:cs="宋体"/>
          <w:sz w:val="32"/>
          <w:szCs w:val="32"/>
        </w:rPr>
        <w:t>万元；培训费</w:t>
      </w:r>
      <w:r>
        <w:rPr>
          <w:rFonts w:ascii="宋体" w:hAnsi="宋体" w:eastAsia="宋体" w:cs="宋体"/>
          <w:sz w:val="32"/>
          <w:szCs w:val="32"/>
        </w:rPr>
        <w:t>11</w:t>
      </w:r>
      <w:r>
        <w:rPr>
          <w:rFonts w:hint="eastAsia" w:ascii="宋体" w:hAnsi="宋体" w:eastAsia="宋体" w:cs="宋体"/>
          <w:sz w:val="32"/>
          <w:szCs w:val="32"/>
        </w:rPr>
        <w:t>万元；公务接待费</w:t>
      </w:r>
      <w:r>
        <w:rPr>
          <w:rFonts w:ascii="宋体" w:hAnsi="宋体" w:eastAsia="宋体" w:cs="宋体"/>
          <w:sz w:val="32"/>
          <w:szCs w:val="32"/>
        </w:rPr>
        <w:t>14</w:t>
      </w:r>
      <w:r>
        <w:rPr>
          <w:rFonts w:hint="eastAsia" w:ascii="宋体" w:hAnsi="宋体" w:eastAsia="宋体" w:cs="宋体"/>
          <w:sz w:val="32"/>
          <w:szCs w:val="32"/>
        </w:rPr>
        <w:t>万元；被装购置费</w:t>
      </w:r>
      <w:r>
        <w:rPr>
          <w:rFonts w:ascii="宋体" w:hAnsi="宋体" w:eastAsia="宋体" w:cs="宋体"/>
          <w:sz w:val="32"/>
          <w:szCs w:val="32"/>
        </w:rPr>
        <w:t>0</w:t>
      </w:r>
      <w:r>
        <w:rPr>
          <w:rFonts w:hint="eastAsia" w:ascii="宋体" w:hAnsi="宋体" w:eastAsia="宋体" w:cs="宋体"/>
          <w:sz w:val="32"/>
          <w:szCs w:val="32"/>
        </w:rPr>
        <w:t>万元；专用材料费</w:t>
      </w:r>
      <w:r>
        <w:rPr>
          <w:rFonts w:ascii="宋体" w:hAnsi="宋体" w:eastAsia="宋体" w:cs="宋体"/>
          <w:sz w:val="32"/>
          <w:szCs w:val="32"/>
        </w:rPr>
        <w:t>100</w:t>
      </w:r>
      <w:r>
        <w:rPr>
          <w:rFonts w:hint="eastAsia" w:ascii="宋体" w:hAnsi="宋体" w:eastAsia="宋体" w:cs="宋体"/>
          <w:sz w:val="32"/>
          <w:szCs w:val="32"/>
        </w:rPr>
        <w:t>万元；劳务费</w:t>
      </w:r>
      <w:r>
        <w:rPr>
          <w:rFonts w:ascii="宋体" w:hAnsi="宋体" w:eastAsia="宋体" w:cs="宋体"/>
          <w:sz w:val="32"/>
          <w:szCs w:val="32"/>
        </w:rPr>
        <w:t>10</w:t>
      </w:r>
      <w:r>
        <w:rPr>
          <w:rFonts w:hint="eastAsia" w:ascii="宋体" w:hAnsi="宋体" w:eastAsia="宋体" w:cs="宋体"/>
          <w:sz w:val="32"/>
          <w:szCs w:val="32"/>
        </w:rPr>
        <w:t>万元；委托业务费</w:t>
      </w:r>
      <w:r>
        <w:rPr>
          <w:rFonts w:ascii="宋体" w:hAnsi="宋体" w:eastAsia="宋体" w:cs="宋体"/>
          <w:sz w:val="32"/>
          <w:szCs w:val="32"/>
        </w:rPr>
        <w:t>0</w:t>
      </w:r>
      <w:r>
        <w:rPr>
          <w:rFonts w:hint="eastAsia" w:ascii="宋体" w:hAnsi="宋体" w:eastAsia="宋体" w:cs="宋体"/>
          <w:sz w:val="32"/>
          <w:szCs w:val="32"/>
        </w:rPr>
        <w:t>万元；工会经费</w:t>
      </w:r>
      <w:r>
        <w:rPr>
          <w:rFonts w:ascii="宋体" w:hAnsi="宋体" w:eastAsia="宋体" w:cs="宋体"/>
          <w:sz w:val="32"/>
          <w:szCs w:val="32"/>
        </w:rPr>
        <w:t>30</w:t>
      </w:r>
      <w:r>
        <w:rPr>
          <w:rFonts w:hint="eastAsia" w:ascii="宋体" w:hAnsi="宋体" w:eastAsia="宋体" w:cs="宋体"/>
          <w:sz w:val="32"/>
          <w:szCs w:val="32"/>
        </w:rPr>
        <w:t>万元；公务用车运行维护费</w:t>
      </w:r>
      <w:r>
        <w:rPr>
          <w:rFonts w:ascii="宋体" w:hAnsi="宋体" w:eastAsia="宋体" w:cs="宋体"/>
          <w:sz w:val="32"/>
          <w:szCs w:val="32"/>
        </w:rPr>
        <w:t>12</w:t>
      </w:r>
      <w:r>
        <w:rPr>
          <w:rFonts w:hint="eastAsia" w:ascii="宋体" w:hAnsi="宋体" w:eastAsia="宋体" w:cs="宋体"/>
          <w:sz w:val="32"/>
          <w:szCs w:val="32"/>
        </w:rPr>
        <w:t>万元；其他交通费用</w:t>
      </w:r>
      <w:r>
        <w:rPr>
          <w:rFonts w:ascii="宋体" w:hAnsi="宋体" w:eastAsia="宋体" w:cs="宋体"/>
          <w:sz w:val="32"/>
          <w:szCs w:val="32"/>
        </w:rPr>
        <w:t>30</w:t>
      </w:r>
      <w:r>
        <w:rPr>
          <w:rFonts w:hint="eastAsia" w:ascii="宋体" w:hAnsi="宋体" w:eastAsia="宋体" w:cs="宋体"/>
          <w:sz w:val="32"/>
          <w:szCs w:val="32"/>
        </w:rPr>
        <w:t>万元；其他商品和服务支出</w:t>
      </w:r>
      <w:r>
        <w:rPr>
          <w:rFonts w:ascii="宋体" w:hAnsi="宋体" w:eastAsia="宋体" w:cs="宋体"/>
          <w:sz w:val="32"/>
          <w:szCs w:val="32"/>
        </w:rPr>
        <w:t>73</w:t>
      </w:r>
      <w:r>
        <w:rPr>
          <w:rFonts w:hint="eastAsia" w:ascii="宋体" w:hAnsi="宋体" w:eastAsia="宋体" w:cs="宋体"/>
          <w:sz w:val="32"/>
          <w:szCs w:val="32"/>
        </w:rPr>
        <w:t>万元；房屋建筑物购建</w:t>
      </w:r>
      <w:r>
        <w:rPr>
          <w:rFonts w:ascii="宋体" w:hAnsi="宋体" w:eastAsia="宋体" w:cs="宋体"/>
          <w:sz w:val="32"/>
          <w:szCs w:val="32"/>
        </w:rPr>
        <w:t>0</w:t>
      </w:r>
      <w:r>
        <w:rPr>
          <w:rFonts w:hint="eastAsia" w:ascii="宋体" w:hAnsi="宋体" w:eastAsia="宋体" w:cs="宋体"/>
          <w:sz w:val="32"/>
          <w:szCs w:val="32"/>
        </w:rPr>
        <w:t>万元；办公设备购置</w:t>
      </w:r>
      <w:r>
        <w:rPr>
          <w:rFonts w:ascii="宋体" w:hAnsi="宋体" w:eastAsia="宋体" w:cs="宋体"/>
          <w:sz w:val="32"/>
          <w:szCs w:val="32"/>
        </w:rPr>
        <w:t>0</w:t>
      </w:r>
      <w:r>
        <w:rPr>
          <w:rFonts w:hint="eastAsia" w:ascii="宋体" w:hAnsi="宋体" w:eastAsia="宋体" w:cs="宋体"/>
          <w:sz w:val="32"/>
          <w:szCs w:val="32"/>
        </w:rPr>
        <w:t>万元；公务用车购置</w:t>
      </w:r>
      <w:r>
        <w:rPr>
          <w:rFonts w:ascii="宋体" w:hAnsi="宋体" w:eastAsia="宋体" w:cs="宋体"/>
          <w:sz w:val="32"/>
          <w:szCs w:val="32"/>
        </w:rPr>
        <w:t>0</w:t>
      </w:r>
      <w:r>
        <w:rPr>
          <w:rFonts w:hint="eastAsia" w:ascii="宋体" w:hAnsi="宋体" w:eastAsia="宋体" w:cs="宋体"/>
          <w:sz w:val="32"/>
          <w:szCs w:val="32"/>
        </w:rPr>
        <w:t>万元；其他交通工具购置</w:t>
      </w:r>
      <w:r>
        <w:rPr>
          <w:rFonts w:ascii="宋体" w:hAnsi="宋体" w:eastAsia="宋体" w:cs="宋体"/>
          <w:sz w:val="32"/>
          <w:szCs w:val="32"/>
        </w:rPr>
        <w:t>0</w:t>
      </w:r>
      <w:r>
        <w:rPr>
          <w:rFonts w:hint="eastAsia" w:ascii="宋体" w:hAnsi="宋体" w:eastAsia="宋体" w:cs="宋体"/>
          <w:sz w:val="32"/>
          <w:szCs w:val="32"/>
        </w:rPr>
        <w:t>万元。</w:t>
      </w:r>
    </w:p>
    <w:p>
      <w:pPr>
        <w:pStyle w:val="13"/>
        <w:ind w:firstLine="640" w:firstLineChars="200"/>
        <w:rPr>
          <w:rFonts w:hAnsi="黑体" w:cs="Times New Roman"/>
          <w:b/>
          <w:bCs/>
          <w:sz w:val="32"/>
          <w:szCs w:val="32"/>
        </w:rPr>
      </w:pPr>
      <w:r>
        <w:rPr>
          <w:rFonts w:hint="eastAsia" w:hAnsi="黑体"/>
          <w:b/>
          <w:bCs/>
          <w:sz w:val="32"/>
          <w:szCs w:val="32"/>
        </w:rPr>
        <w:t>十一、政府采购支出说明</w:t>
      </w:r>
    </w:p>
    <w:p>
      <w:pPr>
        <w:pStyle w:val="13"/>
        <w:ind w:firstLine="640" w:firstLineChars="200"/>
        <w:rPr>
          <w:rFonts w:ascii="仿宋" w:hAnsi="仿宋" w:eastAsia="仿宋" w:cs="Times New Roman"/>
          <w:sz w:val="32"/>
          <w:szCs w:val="32"/>
        </w:rPr>
      </w:pPr>
      <w:r>
        <w:rPr>
          <w:rFonts w:hint="eastAsia" w:ascii="宋体" w:hAnsi="宋体" w:eastAsia="宋体" w:cs="宋体"/>
          <w:sz w:val="32"/>
          <w:szCs w:val="32"/>
        </w:rPr>
        <w:t>道县应急管理局</w:t>
      </w:r>
      <w:r>
        <w:rPr>
          <w:rFonts w:ascii="宋体" w:hAnsi="宋体" w:eastAsia="宋体" w:cs="宋体"/>
          <w:sz w:val="32"/>
          <w:szCs w:val="32"/>
        </w:rPr>
        <w:t>2021</w:t>
      </w:r>
      <w:r>
        <w:rPr>
          <w:rFonts w:hint="eastAsia" w:ascii="宋体" w:hAnsi="宋体" w:eastAsia="宋体" w:cs="宋体"/>
          <w:sz w:val="32"/>
          <w:szCs w:val="32"/>
        </w:rPr>
        <w:t>年度政府采购支出总额</w:t>
      </w:r>
      <w:r>
        <w:rPr>
          <w:rFonts w:ascii="宋体" w:hAnsi="宋体" w:eastAsia="宋体" w:cs="宋体"/>
          <w:sz w:val="32"/>
          <w:szCs w:val="32"/>
        </w:rPr>
        <w:t>100</w:t>
      </w:r>
      <w:r>
        <w:rPr>
          <w:rFonts w:hint="eastAsia" w:ascii="宋体" w:hAnsi="宋体" w:eastAsia="宋体" w:cs="宋体"/>
          <w:sz w:val="32"/>
          <w:szCs w:val="32"/>
        </w:rPr>
        <w:t>万元，其中：政府采购货物支出</w:t>
      </w:r>
      <w:r>
        <w:rPr>
          <w:rFonts w:ascii="宋体" w:hAnsi="宋体" w:eastAsia="宋体" w:cs="宋体"/>
          <w:sz w:val="32"/>
          <w:szCs w:val="32"/>
        </w:rPr>
        <w:t>100</w:t>
      </w:r>
      <w:r>
        <w:rPr>
          <w:rFonts w:hint="eastAsia" w:ascii="宋体" w:hAnsi="宋体" w:eastAsia="宋体" w:cs="宋体"/>
          <w:sz w:val="32"/>
          <w:szCs w:val="32"/>
        </w:rPr>
        <w:t>万元、政府采购工程支出</w:t>
      </w:r>
      <w:r>
        <w:rPr>
          <w:rFonts w:ascii="宋体" w:hAnsi="宋体" w:eastAsia="宋体" w:cs="宋体"/>
          <w:sz w:val="32"/>
          <w:szCs w:val="32"/>
        </w:rPr>
        <w:t>0</w:t>
      </w:r>
      <w:r>
        <w:rPr>
          <w:rFonts w:hint="eastAsia" w:ascii="宋体" w:hAnsi="宋体" w:eastAsia="宋体" w:cs="宋体"/>
          <w:sz w:val="32"/>
          <w:szCs w:val="32"/>
        </w:rPr>
        <w:t>万元、政府采购服务支出</w:t>
      </w:r>
      <w:r>
        <w:rPr>
          <w:rFonts w:ascii="宋体" w:hAnsi="宋体" w:eastAsia="宋体" w:cs="宋体"/>
          <w:sz w:val="32"/>
          <w:szCs w:val="32"/>
        </w:rPr>
        <w:t>0</w:t>
      </w:r>
      <w:r>
        <w:rPr>
          <w:rFonts w:hint="eastAsia" w:ascii="宋体" w:hAnsi="宋体" w:eastAsia="宋体" w:cs="宋体"/>
          <w:sz w:val="32"/>
          <w:szCs w:val="32"/>
        </w:rPr>
        <w:t>万元。授予中小企业合同金额</w:t>
      </w:r>
      <w:r>
        <w:rPr>
          <w:rFonts w:ascii="宋体" w:hAnsi="宋体" w:eastAsia="宋体" w:cs="宋体"/>
          <w:sz w:val="32"/>
          <w:szCs w:val="32"/>
        </w:rPr>
        <w:t>0</w:t>
      </w:r>
      <w:r>
        <w:rPr>
          <w:rFonts w:hint="eastAsia" w:ascii="宋体" w:hAnsi="宋体" w:eastAsia="宋体" w:cs="宋体"/>
          <w:sz w:val="32"/>
          <w:szCs w:val="32"/>
        </w:rPr>
        <w:t>万元，占政府采购支出总额的</w:t>
      </w:r>
      <w:r>
        <w:rPr>
          <w:rFonts w:ascii="宋体" w:hAnsi="宋体" w:eastAsia="宋体" w:cs="宋体"/>
          <w:sz w:val="32"/>
          <w:szCs w:val="32"/>
        </w:rPr>
        <w:t>0%</w:t>
      </w:r>
      <w:r>
        <w:rPr>
          <w:rFonts w:hint="eastAsia" w:ascii="宋体" w:hAnsi="宋体" w:eastAsia="宋体" w:cs="宋体"/>
          <w:sz w:val="32"/>
          <w:szCs w:val="32"/>
        </w:rPr>
        <w:t>，其中：授予小微企业合同金额</w:t>
      </w:r>
      <w:r>
        <w:rPr>
          <w:rFonts w:ascii="宋体" w:hAnsi="宋体" w:eastAsia="宋体" w:cs="宋体"/>
          <w:sz w:val="32"/>
          <w:szCs w:val="32"/>
        </w:rPr>
        <w:t>0</w:t>
      </w:r>
      <w:r>
        <w:rPr>
          <w:rFonts w:hint="eastAsia" w:ascii="宋体" w:hAnsi="宋体" w:eastAsia="宋体" w:cs="宋体"/>
          <w:sz w:val="32"/>
          <w:szCs w:val="32"/>
        </w:rPr>
        <w:t>万元，占政府采购支出总额的</w:t>
      </w:r>
      <w:r>
        <w:rPr>
          <w:rFonts w:ascii="宋体" w:hAnsi="宋体" w:eastAsia="宋体" w:cs="宋体"/>
          <w:sz w:val="32"/>
          <w:szCs w:val="32"/>
        </w:rPr>
        <w:t>0%</w:t>
      </w:r>
      <w:r>
        <w:rPr>
          <w:rFonts w:hint="eastAsia" w:ascii="宋体" w:hAnsi="宋体" w:eastAsia="宋体" w:cs="宋体"/>
          <w:sz w:val="32"/>
          <w:szCs w:val="32"/>
        </w:rPr>
        <w:t>。</w:t>
      </w:r>
    </w:p>
    <w:p>
      <w:pPr>
        <w:pStyle w:val="13"/>
        <w:ind w:firstLine="640" w:firstLineChars="200"/>
        <w:rPr>
          <w:rFonts w:hAnsi="黑体" w:cs="Times New Roman"/>
          <w:b/>
          <w:bCs/>
          <w:sz w:val="32"/>
          <w:szCs w:val="32"/>
        </w:rPr>
      </w:pPr>
      <w:r>
        <w:rPr>
          <w:rFonts w:hint="eastAsia" w:hAnsi="黑体"/>
          <w:b/>
          <w:bCs/>
          <w:sz w:val="32"/>
          <w:szCs w:val="32"/>
        </w:rPr>
        <w:t>十二、国有资产占用情况说明</w:t>
      </w:r>
    </w:p>
    <w:p>
      <w:pPr>
        <w:pStyle w:val="13"/>
        <w:ind w:firstLine="640" w:firstLineChars="200"/>
        <w:rPr>
          <w:rFonts w:ascii="宋体" w:hAnsi="宋体" w:eastAsia="宋体" w:cs="Times New Roman"/>
          <w:sz w:val="32"/>
          <w:szCs w:val="32"/>
        </w:rPr>
      </w:pPr>
      <w:r>
        <w:rPr>
          <w:rFonts w:hint="eastAsia" w:ascii="宋体" w:hAnsi="宋体" w:eastAsia="宋体" w:cs="宋体"/>
          <w:sz w:val="32"/>
          <w:szCs w:val="32"/>
        </w:rPr>
        <w:t>截至</w:t>
      </w:r>
      <w:r>
        <w:rPr>
          <w:rFonts w:ascii="宋体" w:hAnsi="宋体" w:eastAsia="宋体" w:cs="宋体"/>
          <w:sz w:val="32"/>
          <w:szCs w:val="32"/>
        </w:rPr>
        <w:t>2021</w:t>
      </w:r>
      <w:r>
        <w:rPr>
          <w:rFonts w:hint="eastAsia" w:ascii="宋体" w:hAnsi="宋体" w:eastAsia="宋体" w:cs="宋体"/>
          <w:sz w:val="32"/>
          <w:szCs w:val="32"/>
        </w:rPr>
        <w:t>年</w:t>
      </w:r>
      <w:r>
        <w:rPr>
          <w:rFonts w:ascii="宋体" w:hAnsi="宋体" w:eastAsia="宋体" w:cs="宋体"/>
          <w:sz w:val="32"/>
          <w:szCs w:val="32"/>
        </w:rPr>
        <w:t>12</w:t>
      </w:r>
      <w:r>
        <w:rPr>
          <w:rFonts w:hint="eastAsia" w:ascii="宋体" w:hAnsi="宋体" w:eastAsia="宋体" w:cs="宋体"/>
          <w:sz w:val="32"/>
          <w:szCs w:val="32"/>
        </w:rPr>
        <w:t>月</w:t>
      </w:r>
      <w:r>
        <w:rPr>
          <w:rFonts w:ascii="宋体" w:hAnsi="宋体" w:eastAsia="宋体" w:cs="宋体"/>
          <w:sz w:val="32"/>
          <w:szCs w:val="32"/>
        </w:rPr>
        <w:t>31</w:t>
      </w:r>
      <w:r>
        <w:rPr>
          <w:rFonts w:hint="eastAsia" w:ascii="宋体" w:hAnsi="宋体" w:eastAsia="宋体" w:cs="宋体"/>
          <w:sz w:val="32"/>
          <w:szCs w:val="32"/>
        </w:rPr>
        <w:t>日，道县应急管理局共有车辆</w:t>
      </w:r>
      <w:r>
        <w:rPr>
          <w:rFonts w:ascii="宋体" w:hAnsi="宋体" w:eastAsia="宋体" w:cs="宋体"/>
          <w:sz w:val="32"/>
          <w:szCs w:val="32"/>
        </w:rPr>
        <w:t>3</w:t>
      </w:r>
      <w:r>
        <w:rPr>
          <w:rFonts w:hint="eastAsia" w:ascii="宋体" w:hAnsi="宋体" w:eastAsia="宋体" w:cs="宋体"/>
          <w:sz w:val="32"/>
          <w:szCs w:val="32"/>
        </w:rPr>
        <w:t>辆（台），其中：副部（省）级及以上领导用车</w:t>
      </w:r>
      <w:r>
        <w:rPr>
          <w:rFonts w:ascii="宋体" w:hAnsi="宋体" w:eastAsia="宋体" w:cs="宋体"/>
          <w:sz w:val="32"/>
          <w:szCs w:val="32"/>
        </w:rPr>
        <w:t>0</w:t>
      </w:r>
      <w:r>
        <w:rPr>
          <w:rFonts w:hint="eastAsia" w:ascii="宋体" w:hAnsi="宋体" w:eastAsia="宋体" w:cs="宋体"/>
          <w:sz w:val="32"/>
          <w:szCs w:val="32"/>
        </w:rPr>
        <w:t>辆、主要领导干部用车</w:t>
      </w:r>
      <w:r>
        <w:rPr>
          <w:rFonts w:ascii="宋体" w:hAnsi="宋体" w:eastAsia="宋体" w:cs="宋体"/>
          <w:sz w:val="32"/>
          <w:szCs w:val="32"/>
        </w:rPr>
        <w:t>0</w:t>
      </w:r>
      <w:r>
        <w:rPr>
          <w:rFonts w:hint="eastAsia" w:ascii="宋体" w:hAnsi="宋体" w:eastAsia="宋体" w:cs="宋体"/>
          <w:sz w:val="32"/>
          <w:szCs w:val="32"/>
        </w:rPr>
        <w:t>辆、机要通信用车</w:t>
      </w:r>
      <w:r>
        <w:rPr>
          <w:rFonts w:ascii="宋体" w:hAnsi="宋体" w:eastAsia="宋体" w:cs="宋体"/>
          <w:sz w:val="32"/>
          <w:szCs w:val="32"/>
        </w:rPr>
        <w:t>0</w:t>
      </w:r>
      <w:r>
        <w:rPr>
          <w:rFonts w:hint="eastAsia" w:ascii="宋体" w:hAnsi="宋体" w:eastAsia="宋体" w:cs="宋体"/>
          <w:sz w:val="32"/>
          <w:szCs w:val="32"/>
        </w:rPr>
        <w:t>辆、应急保障用车</w:t>
      </w:r>
      <w:r>
        <w:rPr>
          <w:rFonts w:ascii="宋体" w:hAnsi="宋体" w:eastAsia="宋体" w:cs="宋体"/>
          <w:sz w:val="32"/>
          <w:szCs w:val="32"/>
        </w:rPr>
        <w:t>1</w:t>
      </w:r>
      <w:r>
        <w:rPr>
          <w:rFonts w:hint="eastAsia" w:ascii="宋体" w:hAnsi="宋体" w:eastAsia="宋体" w:cs="宋体"/>
          <w:sz w:val="32"/>
          <w:szCs w:val="32"/>
        </w:rPr>
        <w:t>辆、执法执勤用车</w:t>
      </w:r>
      <w:r>
        <w:rPr>
          <w:rFonts w:ascii="宋体" w:hAnsi="宋体" w:eastAsia="宋体" w:cs="宋体"/>
          <w:sz w:val="32"/>
          <w:szCs w:val="32"/>
        </w:rPr>
        <w:t>2</w:t>
      </w:r>
      <w:r>
        <w:rPr>
          <w:rFonts w:hint="eastAsia" w:ascii="宋体" w:hAnsi="宋体" w:eastAsia="宋体" w:cs="宋体"/>
          <w:sz w:val="32"/>
          <w:szCs w:val="32"/>
        </w:rPr>
        <w:t>辆、特种专业技术用车</w:t>
      </w:r>
      <w:r>
        <w:rPr>
          <w:rFonts w:ascii="宋体" w:hAnsi="宋体" w:eastAsia="宋体" w:cs="宋体"/>
          <w:sz w:val="32"/>
          <w:szCs w:val="32"/>
        </w:rPr>
        <w:t>0</w:t>
      </w:r>
      <w:r>
        <w:rPr>
          <w:rFonts w:hint="eastAsia" w:ascii="宋体" w:hAnsi="宋体" w:eastAsia="宋体" w:cs="宋体"/>
          <w:sz w:val="32"/>
          <w:szCs w:val="32"/>
        </w:rPr>
        <w:t>辆、其他用车</w:t>
      </w:r>
      <w:r>
        <w:rPr>
          <w:rFonts w:ascii="宋体" w:hAnsi="宋体" w:eastAsia="宋体" w:cs="宋体"/>
          <w:sz w:val="32"/>
          <w:szCs w:val="32"/>
        </w:rPr>
        <w:t>0</w:t>
      </w:r>
      <w:r>
        <w:rPr>
          <w:rFonts w:hint="eastAsia" w:ascii="宋体" w:hAnsi="宋体" w:eastAsia="宋体" w:cs="宋体"/>
          <w:sz w:val="32"/>
          <w:szCs w:val="32"/>
        </w:rPr>
        <w:t>辆；单价</w:t>
      </w:r>
      <w:r>
        <w:rPr>
          <w:rFonts w:ascii="宋体" w:hAnsi="宋体" w:eastAsia="宋体" w:cs="宋体"/>
          <w:sz w:val="32"/>
          <w:szCs w:val="32"/>
        </w:rPr>
        <w:t>50</w:t>
      </w:r>
      <w:r>
        <w:rPr>
          <w:rFonts w:hint="eastAsia" w:ascii="宋体" w:hAnsi="宋体" w:eastAsia="宋体" w:cs="宋体"/>
          <w:sz w:val="32"/>
          <w:szCs w:val="32"/>
        </w:rPr>
        <w:t>万元（含）以上通用设备</w:t>
      </w:r>
      <w:r>
        <w:rPr>
          <w:rFonts w:ascii="宋体" w:hAnsi="宋体" w:eastAsia="宋体" w:cs="宋体"/>
          <w:sz w:val="32"/>
          <w:szCs w:val="32"/>
        </w:rPr>
        <w:t>0</w:t>
      </w:r>
      <w:r>
        <w:rPr>
          <w:rFonts w:hint="eastAsia" w:ascii="宋体" w:hAnsi="宋体" w:eastAsia="宋体" w:cs="宋体"/>
          <w:sz w:val="32"/>
          <w:szCs w:val="32"/>
        </w:rPr>
        <w:t>台（套），单价</w:t>
      </w:r>
      <w:r>
        <w:rPr>
          <w:rFonts w:ascii="宋体" w:hAnsi="宋体" w:eastAsia="宋体" w:cs="宋体"/>
          <w:sz w:val="32"/>
          <w:szCs w:val="32"/>
        </w:rPr>
        <w:t>100</w:t>
      </w:r>
      <w:r>
        <w:rPr>
          <w:rFonts w:hint="eastAsia" w:ascii="宋体" w:hAnsi="宋体" w:eastAsia="宋体" w:cs="宋体"/>
          <w:sz w:val="32"/>
          <w:szCs w:val="32"/>
        </w:rPr>
        <w:t>万元（含）以上专用设备</w:t>
      </w:r>
      <w:r>
        <w:rPr>
          <w:rFonts w:ascii="宋体" w:hAnsi="宋体" w:eastAsia="宋体" w:cs="宋体"/>
          <w:sz w:val="32"/>
          <w:szCs w:val="32"/>
        </w:rPr>
        <w:t>0</w:t>
      </w:r>
      <w:r>
        <w:rPr>
          <w:rFonts w:hint="eastAsia" w:ascii="宋体" w:hAnsi="宋体" w:eastAsia="宋体" w:cs="宋体"/>
          <w:sz w:val="32"/>
          <w:szCs w:val="32"/>
        </w:rPr>
        <w:t>台（套）。</w:t>
      </w:r>
    </w:p>
    <w:p>
      <w:pPr>
        <w:pStyle w:val="13"/>
        <w:ind w:firstLine="640" w:firstLineChars="200"/>
        <w:rPr>
          <w:rFonts w:hAnsi="黑体" w:cs="Times New Roman"/>
          <w:b/>
          <w:bCs/>
          <w:sz w:val="32"/>
          <w:szCs w:val="32"/>
        </w:rPr>
      </w:pPr>
      <w:r>
        <w:rPr>
          <w:rFonts w:hint="eastAsia" w:hAnsi="黑体"/>
          <w:b/>
          <w:bCs/>
          <w:sz w:val="32"/>
          <w:szCs w:val="32"/>
        </w:rPr>
        <w:t>十三、</w:t>
      </w:r>
      <w:r>
        <w:rPr>
          <w:rFonts w:hAnsi="黑体"/>
          <w:b/>
          <w:bCs/>
          <w:sz w:val="32"/>
          <w:szCs w:val="32"/>
        </w:rPr>
        <w:t>2021</w:t>
      </w:r>
      <w:r>
        <w:rPr>
          <w:rFonts w:hint="eastAsia" w:hAnsi="黑体"/>
          <w:b/>
          <w:bCs/>
          <w:sz w:val="32"/>
          <w:szCs w:val="32"/>
        </w:rPr>
        <w:t>年度预算绩效情况说明</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b/>
          <w:bCs/>
          <w:color w:val="000000"/>
          <w:kern w:val="0"/>
          <w:sz w:val="32"/>
          <w:szCs w:val="32"/>
        </w:rPr>
        <w:t>（</w:t>
      </w:r>
      <w:r>
        <w:rPr>
          <w:rFonts w:ascii="宋体" w:hAnsi="宋体" w:cs="宋体"/>
          <w:b/>
          <w:bCs/>
          <w:color w:val="000000"/>
          <w:kern w:val="0"/>
          <w:sz w:val="32"/>
          <w:szCs w:val="32"/>
        </w:rPr>
        <w:t>1</w:t>
      </w:r>
      <w:r>
        <w:rPr>
          <w:rFonts w:hint="eastAsia" w:ascii="宋体" w:hAnsi="宋体" w:cs="宋体"/>
          <w:b/>
          <w:bCs/>
          <w:color w:val="000000"/>
          <w:kern w:val="0"/>
          <w:sz w:val="32"/>
          <w:szCs w:val="32"/>
        </w:rPr>
        <w:t>）绩效管理评价工作开展情况</w:t>
      </w:r>
      <w:r>
        <w:rPr>
          <w:rFonts w:hint="eastAsia" w:ascii="宋体" w:hAnsi="宋体" w:cs="宋体"/>
          <w:color w:val="000000"/>
          <w:kern w:val="0"/>
          <w:sz w:val="32"/>
          <w:szCs w:val="32"/>
        </w:rPr>
        <w:t>。</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根据预算绩效管理要求，我部门组织对</w:t>
      </w:r>
      <w:r>
        <w:rPr>
          <w:rFonts w:ascii="宋体" w:hAnsi="宋体" w:cs="宋体"/>
          <w:color w:val="000000"/>
          <w:kern w:val="0"/>
          <w:sz w:val="32"/>
          <w:szCs w:val="32"/>
        </w:rPr>
        <w:t xml:space="preserve">2021 </w:t>
      </w:r>
      <w:r>
        <w:rPr>
          <w:rFonts w:hint="eastAsia" w:ascii="宋体" w:hAnsi="宋体" w:cs="宋体"/>
          <w:color w:val="000000"/>
          <w:kern w:val="0"/>
          <w:sz w:val="32"/>
          <w:szCs w:val="32"/>
        </w:rPr>
        <w:t>年度一般公共预算项目支出全面开展绩效自评，其中，二级项目</w:t>
      </w:r>
      <w:r>
        <w:rPr>
          <w:rFonts w:ascii="宋体" w:hAnsi="宋体" w:cs="宋体"/>
          <w:color w:val="000000"/>
          <w:kern w:val="0"/>
          <w:sz w:val="32"/>
          <w:szCs w:val="32"/>
        </w:rPr>
        <w:t>3</w:t>
      </w:r>
      <w:r>
        <w:rPr>
          <w:rFonts w:hint="eastAsia" w:ascii="宋体" w:hAnsi="宋体" w:cs="宋体"/>
          <w:color w:val="000000"/>
          <w:kern w:val="0"/>
          <w:sz w:val="32"/>
          <w:szCs w:val="32"/>
        </w:rPr>
        <w:t>个，共涉及资金</w:t>
      </w:r>
      <w:r>
        <w:rPr>
          <w:rFonts w:ascii="宋体" w:hAnsi="宋体" w:cs="宋体"/>
          <w:color w:val="000000"/>
          <w:kern w:val="0"/>
          <w:sz w:val="32"/>
          <w:szCs w:val="32"/>
        </w:rPr>
        <w:t>373</w:t>
      </w:r>
      <w:r>
        <w:rPr>
          <w:rFonts w:hint="eastAsia" w:ascii="宋体" w:hAnsi="宋体" w:cs="宋体"/>
          <w:color w:val="000000"/>
          <w:kern w:val="0"/>
          <w:sz w:val="32"/>
          <w:szCs w:val="32"/>
        </w:rPr>
        <w:t>万元，占一般公共预算项目支出总额的</w:t>
      </w:r>
      <w:r>
        <w:rPr>
          <w:rFonts w:ascii="宋体" w:hAnsi="宋体" w:cs="宋体"/>
          <w:color w:val="000000"/>
          <w:kern w:val="0"/>
          <w:sz w:val="32"/>
          <w:szCs w:val="32"/>
        </w:rPr>
        <w:t>24.7%</w:t>
      </w:r>
      <w:r>
        <w:rPr>
          <w:rFonts w:hint="eastAsia" w:ascii="宋体" w:hAnsi="宋体" w:cs="宋体"/>
          <w:color w:val="000000"/>
          <w:kern w:val="0"/>
          <w:sz w:val="32"/>
          <w:szCs w:val="32"/>
        </w:rPr>
        <w:t>。本部门</w:t>
      </w:r>
      <w:r>
        <w:rPr>
          <w:rFonts w:ascii="宋体" w:hAnsi="宋体" w:cs="宋体"/>
          <w:color w:val="000000"/>
          <w:kern w:val="0"/>
          <w:sz w:val="32"/>
          <w:szCs w:val="32"/>
        </w:rPr>
        <w:t>2021</w:t>
      </w:r>
      <w:r>
        <w:rPr>
          <w:rFonts w:hint="eastAsia" w:ascii="宋体" w:hAnsi="宋体" w:cs="宋体"/>
          <w:color w:val="000000"/>
          <w:kern w:val="0"/>
          <w:sz w:val="32"/>
          <w:szCs w:val="32"/>
        </w:rPr>
        <w:t>年度没有政府性基金预算项目支出。本部门</w:t>
      </w:r>
      <w:r>
        <w:rPr>
          <w:rFonts w:ascii="宋体" w:hAnsi="宋体" w:cs="宋体"/>
          <w:color w:val="000000"/>
          <w:kern w:val="0"/>
          <w:sz w:val="32"/>
          <w:szCs w:val="32"/>
        </w:rPr>
        <w:t xml:space="preserve">2021 </w:t>
      </w:r>
      <w:r>
        <w:rPr>
          <w:rFonts w:hint="eastAsia" w:ascii="宋体" w:hAnsi="宋体" w:cs="宋体"/>
          <w:color w:val="000000"/>
          <w:kern w:val="0"/>
          <w:sz w:val="32"/>
          <w:szCs w:val="32"/>
        </w:rPr>
        <w:t>年度没有国有资本经营预算项目支出。</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组织对“自然灾害救灾（冬春救助资金）”“中央救灾资金（地质灾害）”“全国自然灾害风险综合普查资金”等</w:t>
      </w:r>
      <w:r>
        <w:rPr>
          <w:rFonts w:ascii="宋体" w:hAnsi="宋体" w:cs="宋体"/>
          <w:color w:val="000000"/>
          <w:kern w:val="0"/>
          <w:sz w:val="32"/>
          <w:szCs w:val="32"/>
        </w:rPr>
        <w:t>3</w:t>
      </w:r>
      <w:r>
        <w:rPr>
          <w:rFonts w:hint="eastAsia" w:ascii="宋体" w:hAnsi="宋体" w:cs="宋体"/>
          <w:color w:val="000000"/>
          <w:kern w:val="0"/>
          <w:sz w:val="32"/>
          <w:szCs w:val="32"/>
        </w:rPr>
        <w:t>个项目开展了部门评价，涉及一般公共预算支出</w:t>
      </w:r>
      <w:r>
        <w:rPr>
          <w:rFonts w:ascii="宋体" w:hAnsi="宋体" w:cs="宋体"/>
          <w:color w:val="000000"/>
          <w:kern w:val="0"/>
          <w:sz w:val="32"/>
          <w:szCs w:val="32"/>
        </w:rPr>
        <w:t>373</w:t>
      </w:r>
      <w:r>
        <w:rPr>
          <w:rFonts w:hint="eastAsia" w:ascii="宋体" w:hAnsi="宋体" w:cs="宋体"/>
          <w:color w:val="000000"/>
          <w:kern w:val="0"/>
          <w:sz w:val="32"/>
          <w:szCs w:val="32"/>
        </w:rPr>
        <w:t>万元，政府性基金预算支出</w:t>
      </w:r>
      <w:r>
        <w:rPr>
          <w:rFonts w:ascii="宋体" w:cs="宋体"/>
          <w:color w:val="000000"/>
          <w:kern w:val="0"/>
          <w:sz w:val="32"/>
          <w:szCs w:val="32"/>
        </w:rPr>
        <w:t>0</w:t>
      </w:r>
      <w:r>
        <w:rPr>
          <w:rFonts w:hint="eastAsia" w:ascii="宋体" w:hAnsi="宋体" w:cs="宋体"/>
          <w:color w:val="000000"/>
          <w:kern w:val="0"/>
          <w:sz w:val="32"/>
          <w:szCs w:val="32"/>
        </w:rPr>
        <w:t>万元，国有资本经营预算支出</w:t>
      </w:r>
      <w:r>
        <w:rPr>
          <w:rFonts w:ascii="宋体" w:cs="宋体"/>
          <w:color w:val="000000"/>
          <w:kern w:val="0"/>
          <w:sz w:val="32"/>
          <w:szCs w:val="32"/>
        </w:rPr>
        <w:t>0</w:t>
      </w:r>
      <w:r>
        <w:rPr>
          <w:rFonts w:hint="eastAsia" w:ascii="宋体" w:hAnsi="宋体" w:cs="宋体"/>
          <w:color w:val="000000"/>
          <w:kern w:val="0"/>
          <w:sz w:val="32"/>
          <w:szCs w:val="32"/>
        </w:rPr>
        <w:t>万元。从评价情况来看，通过有关项目的实施，一是进一步减少了安全生产隐患，夯实了安全生产基层基础，提高了安全监管工作的科学化、精细化、标准化和信息化水平；二是通过冬春救助资金打卡发放，使灾的人民群众得到及时的生活救助，帮助他们渡过了难关，有利于社会稳定，健康发展；三是每年对专项资金使用情况进行绩效考评，不断改善、强化项目管理，促进道县安全生产工作和应急救灾工作的开展。。</w:t>
      </w:r>
    </w:p>
    <w:p>
      <w:pPr>
        <w:pStyle w:val="6"/>
        <w:widowControl/>
        <w:shd w:val="clear" w:color="auto" w:fill="FFFFFF"/>
        <w:spacing w:beforeAutospacing="0" w:afterAutospacing="0" w:line="33" w:lineRule="atLeast"/>
        <w:ind w:firstLine="420"/>
        <w:jc w:val="both"/>
        <w:rPr>
          <w:rFonts w:ascii="宋体" w:cs="Times New Roman"/>
          <w:color w:val="000000"/>
          <w:sz w:val="32"/>
          <w:szCs w:val="32"/>
        </w:rPr>
      </w:pPr>
      <w:r>
        <w:rPr>
          <w:rFonts w:hint="eastAsia" w:ascii="宋体" w:hAnsi="宋体" w:cs="宋体"/>
          <w:color w:val="000000"/>
          <w:sz w:val="32"/>
          <w:szCs w:val="32"/>
        </w:rPr>
        <w:t>组织对道县应急管理局本级开展整体支出绩效评价，涉及一般公共预算支出</w:t>
      </w:r>
      <w:r>
        <w:rPr>
          <w:rFonts w:ascii="宋体" w:hAnsi="宋体" w:cs="宋体"/>
          <w:color w:val="000000"/>
          <w:sz w:val="32"/>
          <w:szCs w:val="32"/>
        </w:rPr>
        <w:t>1510.42</w:t>
      </w:r>
      <w:r>
        <w:rPr>
          <w:rFonts w:hint="eastAsia" w:ascii="宋体" w:hAnsi="宋体" w:cs="宋体"/>
          <w:color w:val="000000"/>
          <w:sz w:val="32"/>
          <w:szCs w:val="32"/>
        </w:rPr>
        <w:t>万元，政府性基金预算支出</w:t>
      </w:r>
      <w:r>
        <w:rPr>
          <w:rFonts w:ascii="宋体" w:cs="宋体"/>
          <w:color w:val="000000"/>
          <w:sz w:val="32"/>
          <w:szCs w:val="32"/>
        </w:rPr>
        <w:t>0</w:t>
      </w:r>
      <w:r>
        <w:rPr>
          <w:rFonts w:hint="eastAsia" w:ascii="宋体" w:hAnsi="宋体" w:cs="宋体"/>
          <w:color w:val="000000"/>
          <w:sz w:val="32"/>
          <w:szCs w:val="32"/>
        </w:rPr>
        <w:t>万元。从评价情况来看，严格落实了《预算法》及省、市、县绩效管理工作的有关规定，进一步规落财政资金的管理，强化了财政支出绩效理念，提升部门责任意识，确保国有资产的安全有效地使用，资金合法合规的安全运行，提高资金的使用效益，促进了应急管理事业的发展。</w:t>
      </w:r>
    </w:p>
    <w:p>
      <w:pPr>
        <w:autoSpaceDE w:val="0"/>
        <w:autoSpaceDN w:val="0"/>
        <w:adjustRightInd w:val="0"/>
        <w:ind w:firstLine="640" w:firstLineChars="200"/>
        <w:jc w:val="left"/>
        <w:rPr>
          <w:rFonts w:ascii="宋体" w:cs="Times New Roman"/>
          <w:b/>
          <w:bCs/>
          <w:color w:val="000000"/>
          <w:kern w:val="0"/>
          <w:sz w:val="32"/>
          <w:szCs w:val="32"/>
        </w:rPr>
      </w:pPr>
      <w:r>
        <w:rPr>
          <w:rFonts w:hint="eastAsia" w:ascii="宋体" w:hAnsi="宋体" w:cs="宋体"/>
          <w:b/>
          <w:bCs/>
          <w:color w:val="000000"/>
          <w:kern w:val="0"/>
          <w:sz w:val="32"/>
          <w:szCs w:val="32"/>
        </w:rPr>
        <w:t>（</w:t>
      </w:r>
      <w:r>
        <w:rPr>
          <w:rFonts w:ascii="宋体" w:hAnsi="宋体" w:cs="宋体"/>
          <w:b/>
          <w:bCs/>
          <w:color w:val="000000"/>
          <w:kern w:val="0"/>
          <w:sz w:val="32"/>
          <w:szCs w:val="32"/>
        </w:rPr>
        <w:t>2</w:t>
      </w:r>
      <w:r>
        <w:rPr>
          <w:rFonts w:hint="eastAsia" w:ascii="宋体" w:hAnsi="宋体" w:cs="宋体"/>
          <w:b/>
          <w:bCs/>
          <w:color w:val="000000"/>
          <w:kern w:val="0"/>
          <w:sz w:val="32"/>
          <w:szCs w:val="32"/>
        </w:rPr>
        <w:t>）部门决算中项目绩效自评结果。</w:t>
      </w:r>
    </w:p>
    <w:p>
      <w:pPr>
        <w:ind w:firstLine="640" w:firstLineChars="200"/>
        <w:rPr>
          <w:rFonts w:ascii="宋体" w:cs="Times New Roman"/>
          <w:color w:val="000000"/>
          <w:kern w:val="0"/>
          <w:sz w:val="32"/>
          <w:szCs w:val="32"/>
        </w:rPr>
      </w:pPr>
      <w:r>
        <w:rPr>
          <w:rFonts w:hint="eastAsia" w:ascii="宋体" w:hAnsi="宋体" w:cs="宋体"/>
          <w:color w:val="000000"/>
          <w:kern w:val="0"/>
          <w:sz w:val="32"/>
          <w:szCs w:val="32"/>
        </w:rPr>
        <w:t>自然灾害救灾（冬春救助资金）项目绩效自评综述：根据年初设定的绩效目标，项目绩效自评得分为</w:t>
      </w:r>
      <w:r>
        <w:rPr>
          <w:rFonts w:ascii="宋体" w:hAnsi="宋体" w:cs="宋体"/>
          <w:color w:val="000000"/>
          <w:kern w:val="0"/>
          <w:sz w:val="32"/>
          <w:szCs w:val="32"/>
        </w:rPr>
        <w:t>98</w:t>
      </w:r>
      <w:r>
        <w:rPr>
          <w:rFonts w:hint="eastAsia" w:ascii="宋体" w:hAnsi="宋体" w:cs="宋体"/>
          <w:color w:val="000000"/>
          <w:kern w:val="0"/>
          <w:sz w:val="32"/>
          <w:szCs w:val="32"/>
        </w:rPr>
        <w:t>分。项目全年预算数为</w:t>
      </w:r>
      <w:r>
        <w:rPr>
          <w:rFonts w:ascii="宋体" w:hAnsi="宋体" w:cs="宋体"/>
          <w:color w:val="000000"/>
          <w:kern w:val="0"/>
          <w:sz w:val="32"/>
          <w:szCs w:val="32"/>
        </w:rPr>
        <w:t>220</w:t>
      </w:r>
      <w:r>
        <w:rPr>
          <w:rFonts w:hint="eastAsia" w:ascii="宋体" w:hAnsi="宋体" w:cs="宋体"/>
          <w:color w:val="000000"/>
          <w:kern w:val="0"/>
          <w:sz w:val="32"/>
          <w:szCs w:val="32"/>
        </w:rPr>
        <w:t>万元，执行数为</w:t>
      </w:r>
      <w:r>
        <w:rPr>
          <w:rFonts w:ascii="宋体" w:hAnsi="宋体" w:cs="宋体"/>
          <w:color w:val="000000"/>
          <w:kern w:val="0"/>
          <w:sz w:val="32"/>
          <w:szCs w:val="32"/>
        </w:rPr>
        <w:t>220</w:t>
      </w:r>
      <w:r>
        <w:rPr>
          <w:rFonts w:hint="eastAsia" w:ascii="宋体" w:hAnsi="宋体" w:cs="宋体"/>
          <w:color w:val="000000"/>
          <w:kern w:val="0"/>
          <w:sz w:val="32"/>
          <w:szCs w:val="32"/>
        </w:rPr>
        <w:t>万元，完成预算的</w:t>
      </w:r>
      <w:r>
        <w:rPr>
          <w:rFonts w:ascii="宋体" w:hAnsi="宋体" w:cs="宋体"/>
          <w:color w:val="000000"/>
          <w:kern w:val="0"/>
          <w:sz w:val="32"/>
          <w:szCs w:val="32"/>
        </w:rPr>
        <w:t>100%</w:t>
      </w:r>
      <w:r>
        <w:rPr>
          <w:rFonts w:hint="eastAsia" w:ascii="宋体" w:hAnsi="宋体" w:cs="宋体"/>
          <w:color w:val="000000"/>
          <w:kern w:val="0"/>
          <w:sz w:val="32"/>
          <w:szCs w:val="32"/>
        </w:rPr>
        <w:t>。项目绩效目标完成情况：一是完成冬春期间受灾困难群众救助数量；二是帮助受灾群众克服冬春生活困难，有效保障了群众基本生活。发现的主要问题及原因：项目绩效考核指标设计的不合理。同样的一个项目，省、市、县的考核指标表都存在不同，这就造成了同一个项目，要做几份不一样的表，还在报几个部门，无形中加大工作量，建议省级资金项目只报省级，市和县不要再上报了，减轻负担。下一步改进措施：认真落实项目绩效自评。</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自然灾害救灾（冬春救助资金）项目绩效自评综述：妥善安排受灾群众冬春期间的基本生活，解决了因灾致困人员的生活救助。</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b/>
          <w:bCs/>
          <w:color w:val="000000"/>
          <w:kern w:val="0"/>
          <w:sz w:val="32"/>
          <w:szCs w:val="32"/>
        </w:rPr>
        <w:t>（</w:t>
      </w:r>
      <w:r>
        <w:rPr>
          <w:rFonts w:ascii="宋体" w:hAnsi="宋体" w:cs="宋体"/>
          <w:b/>
          <w:bCs/>
          <w:color w:val="000000"/>
          <w:kern w:val="0"/>
          <w:sz w:val="32"/>
          <w:szCs w:val="32"/>
        </w:rPr>
        <w:t>3</w:t>
      </w:r>
      <w:r>
        <w:rPr>
          <w:rFonts w:hint="eastAsia" w:ascii="宋体" w:hAnsi="宋体" w:cs="宋体"/>
          <w:b/>
          <w:bCs/>
          <w:color w:val="000000"/>
          <w:kern w:val="0"/>
          <w:sz w:val="32"/>
          <w:szCs w:val="32"/>
        </w:rPr>
        <w:t>）部门评价项目绩效评价结果。</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“自然灾害救灾（冬春救助资金）”“中央救灾资金（地质灾害）”“全国自然灾害风险综合普查资金”等</w:t>
      </w:r>
      <w:r>
        <w:rPr>
          <w:rFonts w:ascii="宋体" w:hAnsi="宋体" w:cs="宋体"/>
          <w:color w:val="000000"/>
          <w:kern w:val="0"/>
          <w:sz w:val="32"/>
          <w:szCs w:val="32"/>
        </w:rPr>
        <w:t>3</w:t>
      </w:r>
      <w:r>
        <w:rPr>
          <w:rFonts w:hint="eastAsia" w:ascii="宋体" w:hAnsi="宋体" w:cs="宋体"/>
          <w:color w:val="000000"/>
          <w:kern w:val="0"/>
          <w:sz w:val="32"/>
          <w:szCs w:val="32"/>
        </w:rPr>
        <w:t>个项目根据《项目支出绩效评价办法》（财预〔</w:t>
      </w:r>
      <w:r>
        <w:rPr>
          <w:rFonts w:ascii="宋体" w:hAnsi="宋体" w:cs="宋体"/>
          <w:color w:val="000000"/>
          <w:kern w:val="0"/>
          <w:sz w:val="32"/>
          <w:szCs w:val="32"/>
        </w:rPr>
        <w:t>2020</w:t>
      </w:r>
      <w:r>
        <w:rPr>
          <w:rFonts w:hint="eastAsia" w:ascii="宋体" w:hAnsi="宋体" w:cs="宋体"/>
          <w:color w:val="000000"/>
          <w:kern w:val="0"/>
          <w:sz w:val="32"/>
          <w:szCs w:val="32"/>
        </w:rPr>
        <w:t>〕</w:t>
      </w:r>
      <w:r>
        <w:rPr>
          <w:rFonts w:ascii="宋体" w:hAnsi="宋体" w:cs="宋体"/>
          <w:color w:val="000000"/>
          <w:kern w:val="0"/>
          <w:sz w:val="32"/>
          <w:szCs w:val="32"/>
        </w:rPr>
        <w:t xml:space="preserve">10 </w:t>
      </w:r>
      <w:r>
        <w:rPr>
          <w:rFonts w:hint="eastAsia" w:ascii="宋体" w:hAnsi="宋体" w:cs="宋体"/>
          <w:color w:val="000000"/>
          <w:kern w:val="0"/>
          <w:sz w:val="32"/>
          <w:szCs w:val="32"/>
        </w:rPr>
        <w:t>号）中《项目支出绩效评价报告（参考提纲）》、《湖南省预算支出绩效评价管理办法》（湘财绩〔</w:t>
      </w:r>
      <w:r>
        <w:rPr>
          <w:rFonts w:ascii="宋体" w:hAnsi="宋体" w:cs="宋体"/>
          <w:color w:val="000000"/>
          <w:kern w:val="0"/>
          <w:sz w:val="32"/>
          <w:szCs w:val="32"/>
        </w:rPr>
        <w:t>2020</w:t>
      </w:r>
      <w:r>
        <w:rPr>
          <w:rFonts w:hint="eastAsia" w:ascii="宋体" w:hAnsi="宋体" w:cs="宋体"/>
          <w:color w:val="000000"/>
          <w:kern w:val="0"/>
          <w:sz w:val="32"/>
          <w:szCs w:val="32"/>
        </w:rPr>
        <w:t>〕</w:t>
      </w:r>
      <w:r>
        <w:rPr>
          <w:rFonts w:ascii="宋体" w:hAnsi="宋体" w:cs="宋体"/>
          <w:color w:val="000000"/>
          <w:kern w:val="0"/>
          <w:sz w:val="32"/>
          <w:szCs w:val="32"/>
        </w:rPr>
        <w:t>7</w:t>
      </w:r>
      <w:r>
        <w:rPr>
          <w:rFonts w:hint="eastAsia" w:ascii="宋体" w:hAnsi="宋体" w:cs="宋体"/>
          <w:color w:val="000000"/>
          <w:kern w:val="0"/>
          <w:sz w:val="32"/>
          <w:szCs w:val="32"/>
        </w:rPr>
        <w:t>号）要求，按规定时间内将</w:t>
      </w:r>
      <w:r>
        <w:rPr>
          <w:rFonts w:ascii="宋体" w:hAnsi="宋体" w:cs="宋体"/>
          <w:color w:val="000000"/>
          <w:kern w:val="0"/>
          <w:sz w:val="32"/>
          <w:szCs w:val="32"/>
        </w:rPr>
        <w:t>2021</w:t>
      </w:r>
      <w:r>
        <w:rPr>
          <w:rFonts w:hint="eastAsia" w:ascii="宋体" w:hAnsi="宋体" w:cs="宋体"/>
          <w:color w:val="000000"/>
          <w:kern w:val="0"/>
          <w:sz w:val="32"/>
          <w:szCs w:val="32"/>
        </w:rPr>
        <w:t>年度专项资金绩效自评报告、整体部门支出绩效自评报告在本部门门户网站（道县应急管理局网站）公开，并接受社会监督。</w:t>
      </w: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rPr>
          <w:rFonts w:cs="Times New Roman"/>
          <w:sz w:val="72"/>
          <w:szCs w:val="72"/>
        </w:rPr>
      </w:pPr>
    </w:p>
    <w:p>
      <w:pPr>
        <w:pStyle w:val="13"/>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r>
        <w:rPr>
          <w:rFonts w:hint="eastAsia"/>
          <w:sz w:val="72"/>
          <w:szCs w:val="72"/>
        </w:rPr>
        <w:t>第四部分</w:t>
      </w:r>
    </w:p>
    <w:p>
      <w:pPr>
        <w:jc w:val="center"/>
        <w:rPr>
          <w:rFonts w:ascii="黑体" w:eastAsia="黑体" w:cs="Times New Roman"/>
          <w:color w:val="000000"/>
          <w:kern w:val="0"/>
          <w:sz w:val="70"/>
          <w:szCs w:val="70"/>
        </w:rPr>
      </w:pPr>
    </w:p>
    <w:p>
      <w:pPr>
        <w:jc w:val="center"/>
        <w:rPr>
          <w:rFonts w:ascii="黑体" w:eastAsia="黑体" w:cs="Times New Roman"/>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pPr>
        <w:ind w:firstLine="640" w:firstLineChars="200"/>
        <w:jc w:val="left"/>
        <w:rPr>
          <w:rFonts w:ascii="宋体" w:cs="Times New Roman"/>
          <w:color w:val="000000"/>
          <w:kern w:val="0"/>
          <w:sz w:val="32"/>
          <w:szCs w:val="32"/>
        </w:rPr>
      </w:pPr>
    </w:p>
    <w:p>
      <w:pPr>
        <w:widowControl/>
        <w:spacing w:after="2" w:line="336" w:lineRule="atLeast"/>
        <w:ind w:firstLine="643"/>
        <w:rPr>
          <w:rFonts w:ascii="仿宋" w:hAnsi="仿宋" w:eastAsia="仿宋" w:cs="Times New Roman"/>
          <w:kern w:val="0"/>
        </w:rPr>
      </w:pPr>
      <w:r>
        <w:rPr>
          <w:rFonts w:hint="eastAsia" w:ascii="宋体" w:hAnsi="宋体" w:cs="宋体"/>
          <w:b/>
          <w:bCs/>
          <w:color w:val="000000"/>
          <w:kern w:val="0"/>
          <w:sz w:val="32"/>
          <w:szCs w:val="32"/>
        </w:rPr>
        <w:t>一、“三公”经费</w:t>
      </w:r>
      <w:r>
        <w:rPr>
          <w:rFonts w:hint="eastAsia" w:ascii="宋体" w:hAnsi="宋体" w:cs="宋体"/>
          <w:color w:val="000000"/>
          <w:kern w:val="0"/>
          <w:sz w:val="32"/>
          <w:szCs w:val="32"/>
        </w:rPr>
        <w:t>：</w:t>
      </w:r>
      <w:r>
        <w:rPr>
          <w:rFonts w:hint="eastAsia" w:ascii="仿宋" w:hAnsi="仿宋" w:eastAsia="仿宋" w:cs="仿宋"/>
          <w:color w:val="000000"/>
          <w:kern w:val="0"/>
          <w:sz w:val="32"/>
          <w:szCs w:val="32"/>
        </w:rPr>
        <w:t>按照党中央、国务院有关文件及部门预算管理有关规定，“三公”经费包括因公出国（境）费、公务用车购置及运行费和公务接待费。（</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）因公出国（境）费，指单位工作人员公务出国（境）的住宿费、旅费、伙食补助费、杂费、培训费等支出。（</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）公务用车购置及运行费，指单位公务用车购置费（含车辆购置税）及租用费、燃料费、维修费、过路过桥费、保险费等支出。（</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）公务接待费，指单位按规定开支的各类公务接待（含外宾接待）支出。</w:t>
      </w:r>
    </w:p>
    <w:p>
      <w:pPr>
        <w:widowControl/>
        <w:spacing w:after="2" w:line="336" w:lineRule="atLeast"/>
        <w:ind w:firstLine="643"/>
        <w:rPr>
          <w:rFonts w:ascii="仿宋" w:hAnsi="仿宋" w:eastAsia="仿宋" w:cs="Times New Roman"/>
          <w:kern w:val="0"/>
        </w:rPr>
      </w:pPr>
      <w:r>
        <w:rPr>
          <w:rFonts w:hint="eastAsia" w:ascii="宋体" w:hAnsi="宋体" w:cs="宋体"/>
          <w:b/>
          <w:bCs/>
          <w:color w:val="000000"/>
          <w:kern w:val="0"/>
          <w:sz w:val="32"/>
          <w:szCs w:val="32"/>
        </w:rPr>
        <w:t>二、机关运行经费</w:t>
      </w:r>
      <w:r>
        <w:rPr>
          <w:rFonts w:hint="eastAsia" w:ascii="宋体" w:hAnsi="宋体" w:cs="宋体"/>
          <w:color w:val="000000"/>
          <w:kern w:val="0"/>
          <w:sz w:val="32"/>
          <w:szCs w:val="32"/>
        </w:rPr>
        <w:t>：</w:t>
      </w:r>
      <w:r>
        <w:rPr>
          <w:rFonts w:hint="eastAsia" w:ascii="仿宋" w:hAnsi="仿宋" w:eastAsia="仿宋" w:cs="仿宋"/>
          <w:color w:val="000000"/>
          <w:kern w:val="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widowControl/>
        <w:jc w:val="left"/>
        <w:rPr>
          <w:rFonts w:ascii="宋体" w:hAnsi="宋体" w:eastAsia="黑体" w:cs="Times New Roman"/>
          <w:color w:val="000000"/>
          <w:kern w:val="0"/>
          <w:sz w:val="28"/>
          <w:szCs w:val="28"/>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r>
        <w:rPr>
          <w:rFonts w:hint="eastAsia"/>
          <w:sz w:val="72"/>
          <w:szCs w:val="72"/>
        </w:rPr>
        <w:t>第五部分</w:t>
      </w:r>
    </w:p>
    <w:p>
      <w:pPr>
        <w:jc w:val="center"/>
        <w:rPr>
          <w:rFonts w:ascii="黑体" w:eastAsia="黑体" w:cs="Times New Roman"/>
          <w:color w:val="000000"/>
          <w:kern w:val="0"/>
          <w:sz w:val="70"/>
          <w:szCs w:val="70"/>
        </w:rPr>
      </w:pPr>
    </w:p>
    <w:p>
      <w:pPr>
        <w:jc w:val="center"/>
        <w:rPr>
          <w:rFonts w:ascii="黑体" w:eastAsia="黑体" w:cs="Times New Roman"/>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pPr>
        <w:jc w:val="center"/>
        <w:rPr>
          <w:rFonts w:ascii="黑体" w:eastAsia="黑体" w:cs="Times New Roman"/>
          <w:color w:val="000000"/>
          <w:kern w:val="0"/>
          <w:sz w:val="70"/>
          <w:szCs w:val="70"/>
        </w:rPr>
      </w:pPr>
    </w:p>
    <w:p>
      <w:pPr>
        <w:ind w:firstLine="640" w:firstLineChars="200"/>
        <w:jc w:val="center"/>
        <w:rPr>
          <w:rFonts w:ascii="宋体" w:cs="Times New Roman"/>
          <w:b/>
          <w:bCs/>
          <w:color w:val="000000"/>
          <w:kern w:val="0"/>
          <w:sz w:val="32"/>
          <w:szCs w:val="32"/>
        </w:rPr>
      </w:pPr>
      <w:r>
        <w:rPr>
          <w:rFonts w:ascii="宋体" w:hAnsi="宋体" w:cs="宋体"/>
          <w:b/>
          <w:bCs/>
          <w:color w:val="000000"/>
          <w:kern w:val="0"/>
          <w:sz w:val="32"/>
          <w:szCs w:val="32"/>
        </w:rPr>
        <w:t>2021</w:t>
      </w:r>
      <w:r>
        <w:rPr>
          <w:rFonts w:hint="eastAsia" w:ascii="宋体" w:hAnsi="宋体" w:cs="宋体"/>
          <w:b/>
          <w:bCs/>
          <w:color w:val="000000"/>
          <w:kern w:val="0"/>
          <w:sz w:val="32"/>
          <w:szCs w:val="32"/>
        </w:rPr>
        <w:t>年度部门整体支出绩效评价报告</w:t>
      </w:r>
    </w:p>
    <w:p>
      <w:pPr>
        <w:ind w:firstLine="640" w:firstLineChars="200"/>
        <w:jc w:val="left"/>
        <w:rPr>
          <w:rFonts w:ascii="宋体" w:cs="Times New Roman"/>
          <w:color w:val="000000"/>
          <w:kern w:val="0"/>
          <w:sz w:val="32"/>
          <w:szCs w:val="32"/>
        </w:rPr>
      </w:pPr>
      <w:r>
        <w:rPr>
          <w:rFonts w:hint="eastAsia" w:ascii="宋体" w:cs="宋体"/>
          <w:color w:val="000000"/>
          <w:kern w:val="0"/>
          <w:sz w:val="32"/>
          <w:szCs w:val="32"/>
        </w:rPr>
        <w:t>………</w:t>
      </w:r>
    </w:p>
    <w:p>
      <w:pPr>
        <w:ind w:firstLine="640" w:firstLineChars="200"/>
        <w:jc w:val="left"/>
        <w:rPr>
          <w:rFonts w:ascii="宋体" w:cs="Times New Roman"/>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0F3DBE"/>
    <w:rsid w:val="00103957"/>
    <w:rsid w:val="00124A1F"/>
    <w:rsid w:val="00152C6D"/>
    <w:rsid w:val="00162D39"/>
    <w:rsid w:val="001678BD"/>
    <w:rsid w:val="00182373"/>
    <w:rsid w:val="00185EF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52A0F"/>
    <w:rsid w:val="00787B42"/>
    <w:rsid w:val="007C4539"/>
    <w:rsid w:val="007F3657"/>
    <w:rsid w:val="00812ED5"/>
    <w:rsid w:val="0081538C"/>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DE70E3"/>
    <w:rsid w:val="00E00C7A"/>
    <w:rsid w:val="00E209CF"/>
    <w:rsid w:val="00E37D6C"/>
    <w:rsid w:val="00E55B68"/>
    <w:rsid w:val="00E67BE6"/>
    <w:rsid w:val="00E8683C"/>
    <w:rsid w:val="00EA2B72"/>
    <w:rsid w:val="00F74360"/>
    <w:rsid w:val="00FB462F"/>
    <w:rsid w:val="00FE16FA"/>
    <w:rsid w:val="00FE328A"/>
    <w:rsid w:val="00FE6269"/>
    <w:rsid w:val="00FF5CD6"/>
    <w:rsid w:val="01E16B74"/>
    <w:rsid w:val="028F4A99"/>
    <w:rsid w:val="07460496"/>
    <w:rsid w:val="09306D58"/>
    <w:rsid w:val="0A4F76B2"/>
    <w:rsid w:val="0B955598"/>
    <w:rsid w:val="0BDC6523"/>
    <w:rsid w:val="1032785A"/>
    <w:rsid w:val="1E1467F1"/>
    <w:rsid w:val="1E5B441F"/>
    <w:rsid w:val="23450E3C"/>
    <w:rsid w:val="2890116A"/>
    <w:rsid w:val="290F4EAB"/>
    <w:rsid w:val="2B225CB9"/>
    <w:rsid w:val="2C5030EA"/>
    <w:rsid w:val="2D5E1857"/>
    <w:rsid w:val="306A527C"/>
    <w:rsid w:val="35E054DE"/>
    <w:rsid w:val="369A0B25"/>
    <w:rsid w:val="3D0D46DF"/>
    <w:rsid w:val="404D44B6"/>
    <w:rsid w:val="460A3EB2"/>
    <w:rsid w:val="49063578"/>
    <w:rsid w:val="4A9F089E"/>
    <w:rsid w:val="4CB90B6B"/>
    <w:rsid w:val="4D897DB2"/>
    <w:rsid w:val="58B55EFF"/>
    <w:rsid w:val="59987F3E"/>
    <w:rsid w:val="5F6C2297"/>
    <w:rsid w:val="6CDD0AB4"/>
    <w:rsid w:val="74F103E1"/>
    <w:rsid w:val="7665242B"/>
    <w:rsid w:val="78801C2E"/>
    <w:rsid w:val="7A627EC0"/>
    <w:rsid w:val="7ABD0F17"/>
    <w:rsid w:val="7B0E3521"/>
    <w:rsid w:val="7E9D4FA7"/>
    <w:rsid w:val="7FD06A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4"/>
    <w:basedOn w:val="1"/>
    <w:next w:val="1"/>
    <w:link w:val="9"/>
    <w:qFormat/>
    <w:uiPriority w:val="99"/>
    <w:pPr>
      <w:keepNext/>
      <w:keepLines/>
      <w:spacing w:before="280" w:after="290" w:line="376" w:lineRule="auto"/>
      <w:outlineLvl w:val="3"/>
    </w:pPr>
    <w:rPr>
      <w:rFonts w:ascii="Calibri Light" w:hAnsi="Calibri Light" w:cs="Calibri Light"/>
      <w:b/>
      <w:bCs/>
      <w:sz w:val="28"/>
      <w:szCs w:val="28"/>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spacing w:beforeAutospacing="1" w:afterAutospacing="1"/>
      <w:jc w:val="left"/>
    </w:pPr>
    <w:rPr>
      <w:kern w:val="0"/>
      <w:sz w:val="24"/>
      <w:szCs w:val="24"/>
    </w:rPr>
  </w:style>
  <w:style w:type="character" w:customStyle="1" w:styleId="9">
    <w:name w:val="Heading 4 Char"/>
    <w:basedOn w:val="8"/>
    <w:link w:val="2"/>
    <w:semiHidden/>
    <w:qFormat/>
    <w:uiPriority w:val="9"/>
    <w:rPr>
      <w:rFonts w:asciiTheme="majorHAnsi" w:hAnsiTheme="majorHAnsi" w:eastAsiaTheme="majorEastAsia" w:cstheme="majorBidi"/>
      <w:b/>
      <w:bCs/>
      <w:sz w:val="28"/>
      <w:szCs w:val="28"/>
    </w:rPr>
  </w:style>
  <w:style w:type="character" w:customStyle="1" w:styleId="10">
    <w:name w:val="Balloon Text Char"/>
    <w:basedOn w:val="8"/>
    <w:link w:val="3"/>
    <w:semiHidden/>
    <w:qFormat/>
    <w:locked/>
    <w:uiPriority w:val="99"/>
    <w:rPr>
      <w:sz w:val="18"/>
      <w:szCs w:val="18"/>
    </w:rPr>
  </w:style>
  <w:style w:type="character" w:customStyle="1" w:styleId="11">
    <w:name w:val="Footer Char"/>
    <w:basedOn w:val="8"/>
    <w:link w:val="4"/>
    <w:qFormat/>
    <w:locked/>
    <w:uiPriority w:val="99"/>
    <w:rPr>
      <w:sz w:val="18"/>
      <w:szCs w:val="18"/>
    </w:rPr>
  </w:style>
  <w:style w:type="character" w:customStyle="1" w:styleId="12">
    <w:name w:val="Header Char"/>
    <w:basedOn w:val="8"/>
    <w:link w:val="5"/>
    <w:qFormat/>
    <w:locked/>
    <w:uiPriority w:val="99"/>
    <w:rPr>
      <w:sz w:val="18"/>
      <w:szCs w:val="18"/>
    </w:rPr>
  </w:style>
  <w:style w:type="paragraph" w:customStyle="1" w:styleId="13">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4">
    <w:name w:val="List Paragraph"/>
    <w:basedOn w:val="1"/>
    <w:qFormat/>
    <w:uiPriority w:val="99"/>
    <w:pPr>
      <w:ind w:firstLine="420" w:firstLineChars="200"/>
    </w:pPr>
  </w:style>
  <w:style w:type="paragraph" w:customStyle="1" w:styleId="15">
    <w:name w:val="普通(网站) Char"/>
    <w:basedOn w:val="1"/>
    <w:qFormat/>
    <w:uiPriority w:val="99"/>
    <w:pPr>
      <w:spacing w:beforeAutospacing="1" w:afterAutospacing="1"/>
      <w:jc w:val="left"/>
    </w:pPr>
    <w:rPr>
      <w:rFonts w:ascii="宋体" w:hAnsi="宋体" w:cs="宋体"/>
      <w:kern w:val="0"/>
      <w:sz w:val="24"/>
      <w:szCs w:val="24"/>
    </w:rPr>
  </w:style>
  <w:style w:type="character" w:customStyle="1" w:styleId="16">
    <w:name w:val="15"/>
    <w:basedOn w:val="8"/>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34</Pages>
  <Words>10844</Words>
  <Characters>12614</Characters>
  <Lines>0</Lines>
  <Paragraphs>0</Paragraphs>
  <TotalTime>1</TotalTime>
  <ScaleCrop>false</ScaleCrop>
  <LinksUpToDate>false</LinksUpToDate>
  <CharactersWithSpaces>13170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2023-09-28T05:03:51Z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31A0DB8E63FE40EB854E887D4FCDC616</vt:lpwstr>
  </property>
</Properties>
</file>