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黑体" w:hAnsi="黑体" w:eastAsia="黑体"/>
          <w:sz w:val="36"/>
          <w:szCs w:val="36"/>
        </w:rPr>
      </w:pPr>
      <w:r>
        <w:rPr>
          <w:rFonts w:hint="eastAsia" w:ascii="黑体" w:hAnsi="黑体" w:eastAsia="黑体"/>
          <w:sz w:val="36"/>
          <w:szCs w:val="36"/>
          <w:lang w:eastAsia="zh-CN"/>
        </w:rPr>
        <w:t>道县</w:t>
      </w:r>
      <w:r>
        <w:rPr>
          <w:rFonts w:hint="eastAsia" w:ascii="黑体" w:hAnsi="黑体" w:eastAsia="黑体"/>
          <w:sz w:val="36"/>
          <w:szCs w:val="36"/>
          <w:lang w:val="en-US" w:eastAsia="zh-CN"/>
        </w:rPr>
        <w:t>残疾人联合会</w:t>
      </w:r>
      <w:r>
        <w:rPr>
          <w:rFonts w:hint="eastAsia" w:ascii="黑体" w:hAnsi="黑体" w:eastAsia="黑体"/>
          <w:sz w:val="36"/>
          <w:szCs w:val="36"/>
        </w:rPr>
        <w:t>20</w:t>
      </w:r>
      <w:r>
        <w:rPr>
          <w:rFonts w:hint="eastAsia" w:ascii="黑体" w:hAnsi="黑体" w:eastAsia="黑体"/>
          <w:sz w:val="36"/>
          <w:szCs w:val="36"/>
          <w:lang w:val="en-US" w:eastAsia="zh-CN"/>
        </w:rPr>
        <w:t>21</w:t>
      </w:r>
      <w:r>
        <w:rPr>
          <w:rFonts w:hint="eastAsia" w:ascii="黑体" w:hAnsi="黑体" w:eastAsia="黑体"/>
          <w:sz w:val="36"/>
          <w:szCs w:val="36"/>
        </w:rPr>
        <w:t>年度部门整体</w:t>
      </w:r>
      <w:r>
        <w:rPr>
          <w:rFonts w:ascii="黑体" w:hAnsi="黑体" w:eastAsia="黑体"/>
          <w:sz w:val="36"/>
          <w:szCs w:val="36"/>
        </w:rPr>
        <w:t>支出绩效</w:t>
      </w:r>
      <w:r>
        <w:rPr>
          <w:rFonts w:hint="eastAsia" w:ascii="黑体" w:hAnsi="黑体" w:eastAsia="黑体"/>
          <w:sz w:val="36"/>
          <w:szCs w:val="36"/>
        </w:rPr>
        <w:t>评价</w:t>
      </w:r>
      <w:r>
        <w:rPr>
          <w:rFonts w:ascii="黑体" w:hAnsi="黑体" w:eastAsia="黑体"/>
          <w:sz w:val="36"/>
          <w:szCs w:val="36"/>
        </w:rPr>
        <w:t>报告</w:t>
      </w:r>
    </w:p>
    <w:p>
      <w:pPr>
        <w:adjustRightInd w:val="0"/>
        <w:snapToGrid w:val="0"/>
        <w:spacing w:line="600" w:lineRule="exact"/>
        <w:ind w:firstLine="640" w:firstLineChars="200"/>
        <w:rPr>
          <w:rFonts w:eastAsia="黑体"/>
          <w:sz w:val="32"/>
          <w:szCs w:val="32"/>
        </w:rPr>
      </w:pPr>
    </w:p>
    <w:p>
      <w:pPr>
        <w:adjustRightInd w:val="0"/>
        <w:snapToGrid w:val="0"/>
        <w:spacing w:line="600" w:lineRule="exact"/>
        <w:ind w:firstLine="640" w:firstLineChars="200"/>
        <w:rPr>
          <w:rFonts w:hint="default" w:eastAsia="黑体"/>
          <w:sz w:val="32"/>
          <w:szCs w:val="32"/>
          <w:lang w:val="en-US" w:eastAsia="zh-CN"/>
        </w:rPr>
      </w:pPr>
      <w:r>
        <w:rPr>
          <w:rFonts w:hint="eastAsia" w:eastAsia="黑体"/>
          <w:sz w:val="32"/>
          <w:szCs w:val="32"/>
          <w:lang w:val="en-US" w:eastAsia="zh-CN"/>
        </w:rPr>
        <w:t>一、基本情况</w:t>
      </w:r>
    </w:p>
    <w:p>
      <w:pPr>
        <w:keepNext w:val="0"/>
        <w:keepLines w:val="0"/>
        <w:widowControl/>
        <w:suppressLineNumbers w:val="0"/>
        <w:spacing w:before="0" w:beforeAutospacing="0" w:after="2" w:afterAutospacing="0"/>
        <w:ind w:left="0" w:right="0" w:firstLine="627"/>
        <w:rPr>
          <w:rFonts w:hint="eastAsia" w:ascii="仿宋_GB2312" w:hAnsi="宋体" w:eastAsia="仿宋_GB2312" w:cs="仿宋_GB2312"/>
          <w:kern w:val="0"/>
          <w:sz w:val="21"/>
          <w:szCs w:val="21"/>
        </w:rPr>
      </w:pPr>
      <w:r>
        <w:rPr>
          <w:rFonts w:hint="eastAsia" w:ascii="仿宋_GB2312" w:hAnsi="宋体" w:eastAsia="仿宋_GB2312" w:cs="仿宋_GB2312"/>
          <w:b/>
          <w:bCs/>
          <w:color w:val="000000"/>
          <w:kern w:val="0"/>
          <w:sz w:val="32"/>
          <w:szCs w:val="32"/>
        </w:rPr>
        <w:t>（</w:t>
      </w:r>
      <w:r>
        <w:rPr>
          <w:rFonts w:hint="eastAsia" w:ascii="仿宋_GB2312" w:hAnsi="宋体" w:eastAsia="仿宋_GB2312" w:cs="仿宋_GB2312"/>
          <w:b/>
          <w:bCs/>
          <w:color w:val="000000"/>
          <w:kern w:val="0"/>
          <w:sz w:val="32"/>
          <w:szCs w:val="32"/>
          <w:lang w:val="en-US" w:eastAsia="zh-CN"/>
        </w:rPr>
        <w:t>一</w:t>
      </w:r>
      <w:r>
        <w:rPr>
          <w:rFonts w:hint="eastAsia" w:ascii="仿宋_GB2312" w:hAnsi="宋体" w:eastAsia="仿宋_GB2312" w:cs="仿宋_GB2312"/>
          <w:b/>
          <w:bCs/>
          <w:color w:val="000000"/>
          <w:kern w:val="0"/>
          <w:sz w:val="32"/>
          <w:szCs w:val="32"/>
        </w:rPr>
        <w:t>）职能职责</w:t>
      </w:r>
      <w:r>
        <w:rPr>
          <w:rFonts w:hint="eastAsia" w:ascii="仿宋_GB2312" w:hAnsi="宋体" w:eastAsia="仿宋_GB2312" w:cs="仿宋_GB2312"/>
          <w:color w:val="000000"/>
          <w:kern w:val="0"/>
          <w:sz w:val="21"/>
          <w:szCs w:val="21"/>
        </w:rPr>
        <w:t xml:space="preserve"> </w:t>
      </w:r>
    </w:p>
    <w:p>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密切联系残疾人，维护残疾人权益，团结、教育残疾人自尊、自信、自强、自立。</w:t>
      </w:r>
    </w:p>
    <w:p>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弘扬人道主义，宣传残疾人事业，动员社会理解、尊重、关心、帮助残疾人。</w:t>
      </w:r>
    </w:p>
    <w:p>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开展残疾人康复、教育、劳动就业、文化体育、社会福利等工作，扶助残疾人平等参与社会生活。</w:t>
      </w:r>
    </w:p>
    <w:p>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协助政府研究、制定和实施残疾人事业的法规、政策、规划和计划，发展和管理残疾人事业。</w:t>
      </w:r>
    </w:p>
    <w:p>
      <w:pPr>
        <w:widowControl/>
        <w:ind w:firstLine="627" w:firstLineChars="19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承担政府残疾人工作协调委员会的日常工作和政府交办的其它工作。</w:t>
      </w:r>
    </w:p>
    <w:p>
      <w:pPr>
        <w:widowControl/>
        <w:ind w:firstLine="627" w:firstLineChars="196"/>
        <w:jc w:val="left"/>
        <w:rPr>
          <w:rFonts w:hint="eastAsia" w:ascii="仿宋_GB2312" w:hAnsi="宋体" w:eastAsia="仿宋_GB2312" w:cs="仿宋_GB2312"/>
          <w:color w:val="000000"/>
          <w:kern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开展法律救助工作，引导、帮助残疾人用法律维护合法权益。</w:t>
      </w:r>
    </w:p>
    <w:p>
      <w:pPr>
        <w:adjustRightInd w:val="0"/>
        <w:snapToGrid w:val="0"/>
        <w:spacing w:line="600" w:lineRule="exact"/>
        <w:ind w:firstLine="640" w:firstLineChars="200"/>
        <w:rPr>
          <w:rFonts w:eastAsia="黑体"/>
          <w:sz w:val="32"/>
          <w:szCs w:val="32"/>
        </w:rPr>
      </w:pPr>
      <w:r>
        <w:rPr>
          <w:rFonts w:hint="eastAsia" w:eastAsia="黑体"/>
          <w:sz w:val="32"/>
          <w:szCs w:val="32"/>
          <w:lang w:eastAsia="zh-CN"/>
        </w:rPr>
        <w:t>（</w:t>
      </w:r>
      <w:r>
        <w:rPr>
          <w:rFonts w:hint="eastAsia" w:eastAsia="黑体"/>
          <w:sz w:val="32"/>
          <w:szCs w:val="32"/>
          <w:lang w:val="en-US" w:eastAsia="zh-CN"/>
        </w:rPr>
        <w:t>二）</w:t>
      </w:r>
      <w:r>
        <w:rPr>
          <w:rFonts w:hint="eastAsia" w:eastAsia="黑体"/>
          <w:sz w:val="32"/>
          <w:szCs w:val="32"/>
        </w:rPr>
        <w:t>部门</w:t>
      </w:r>
      <w:r>
        <w:rPr>
          <w:rFonts w:eastAsia="黑体"/>
          <w:sz w:val="32"/>
          <w:szCs w:val="32"/>
        </w:rPr>
        <w:t>概况</w:t>
      </w:r>
    </w:p>
    <w:p>
      <w:pPr>
        <w:keepNext w:val="0"/>
        <w:keepLines w:val="0"/>
        <w:widowControl/>
        <w:suppressLineNumbers w:val="0"/>
        <w:spacing w:before="0" w:beforeAutospacing="0" w:after="2" w:afterAutospacing="0"/>
        <w:ind w:left="0" w:right="0" w:firstLine="628"/>
        <w:rPr>
          <w:rFonts w:hint="eastAsia" w:ascii="仿宋_GB2312" w:hAnsi="宋体" w:eastAsia="仿宋_GB2312" w:cs="仿宋_GB2312"/>
          <w:color w:val="000000"/>
          <w:kern w:val="0"/>
          <w:sz w:val="32"/>
          <w:szCs w:val="32"/>
        </w:rPr>
      </w:pPr>
      <w:r>
        <w:rPr>
          <w:rFonts w:hint="eastAsia" w:ascii="仿宋_GB2312" w:hAnsi="黑体" w:eastAsia="仿宋_GB2312"/>
          <w:sz w:val="32"/>
          <w:szCs w:val="32"/>
          <w:lang w:val="en-US" w:eastAsia="zh-CN"/>
        </w:rPr>
        <w:t>道县残疾人联合会</w:t>
      </w:r>
      <w:r>
        <w:rPr>
          <w:rFonts w:hint="eastAsia" w:ascii="仿宋_GB2312" w:hAnsi="黑体" w:eastAsia="仿宋_GB2312"/>
          <w:sz w:val="32"/>
          <w:szCs w:val="32"/>
        </w:rPr>
        <w:t>是正科级全额拨款社会团体</w:t>
      </w:r>
      <w:r>
        <w:rPr>
          <w:rFonts w:hint="eastAsia" w:ascii="仿宋_GB2312" w:hAnsi="黑体" w:eastAsia="仿宋_GB2312"/>
          <w:sz w:val="32"/>
          <w:szCs w:val="32"/>
          <w:lang w:eastAsia="zh-CN"/>
        </w:rPr>
        <w:t>，</w:t>
      </w:r>
      <w:r>
        <w:rPr>
          <w:rFonts w:hint="eastAsia" w:ascii="仿宋_GB2312" w:hAnsi="宋体" w:eastAsia="仿宋_GB2312" w:cs="仿宋_GB2312"/>
          <w:color w:val="000000"/>
          <w:kern w:val="0"/>
          <w:sz w:val="32"/>
          <w:szCs w:val="32"/>
        </w:rPr>
        <w:t>实有编制人员</w:t>
      </w:r>
      <w:r>
        <w:rPr>
          <w:rFonts w:hint="eastAsia" w:ascii="仿宋_GB2312" w:eastAsia="仿宋_GB2312" w:cs="仿宋_GB2312"/>
          <w:color w:val="000000"/>
          <w:kern w:val="0"/>
          <w:sz w:val="32"/>
          <w:szCs w:val="32"/>
          <w:lang w:val="en-US" w:eastAsia="zh-CN"/>
        </w:rPr>
        <w:t>12</w:t>
      </w:r>
      <w:r>
        <w:rPr>
          <w:rFonts w:hint="eastAsia" w:ascii="仿宋_GB2312" w:hAnsi="宋体" w:eastAsia="仿宋_GB2312" w:cs="仿宋_GB2312"/>
          <w:color w:val="000000"/>
          <w:kern w:val="0"/>
          <w:sz w:val="32"/>
          <w:szCs w:val="32"/>
        </w:rPr>
        <w:t>人，其中</w:t>
      </w:r>
      <w:r>
        <w:rPr>
          <w:rFonts w:hint="eastAsia" w:ascii="仿宋_GB2312" w:eastAsia="仿宋_GB2312" w:cs="仿宋_GB2312"/>
          <w:color w:val="000000"/>
          <w:kern w:val="0"/>
          <w:sz w:val="32"/>
          <w:szCs w:val="32"/>
          <w:lang w:val="en-US" w:eastAsia="zh-CN"/>
        </w:rPr>
        <w:t>公务员3人，</w:t>
      </w:r>
      <w:r>
        <w:rPr>
          <w:rFonts w:hint="eastAsia" w:ascii="仿宋_GB2312" w:hAnsi="宋体" w:eastAsia="仿宋_GB2312" w:cs="仿宋_GB2312"/>
          <w:color w:val="000000"/>
          <w:kern w:val="0"/>
          <w:sz w:val="32"/>
          <w:szCs w:val="32"/>
        </w:rPr>
        <w:t>管理人员</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人，专业技术人员</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人，工勤人员</w:t>
      </w:r>
      <w:r>
        <w:rPr>
          <w:rFonts w:hint="eastAsia" w:ascii="仿宋_GB2312" w:eastAsia="仿宋_GB2312" w:cs="仿宋_GB2312"/>
          <w:color w:val="000000"/>
          <w:kern w:val="0"/>
          <w:sz w:val="32"/>
          <w:szCs w:val="32"/>
          <w:lang w:val="en-US" w:eastAsia="zh-CN"/>
        </w:rPr>
        <w:t>4</w:t>
      </w:r>
      <w:r>
        <w:rPr>
          <w:rFonts w:hint="eastAsia" w:ascii="仿宋_GB2312" w:hAnsi="宋体" w:eastAsia="仿宋_GB2312" w:cs="仿宋_GB2312"/>
          <w:color w:val="000000"/>
          <w:kern w:val="0"/>
          <w:sz w:val="32"/>
          <w:szCs w:val="32"/>
        </w:rPr>
        <w:t>人，合计</w:t>
      </w:r>
      <w:r>
        <w:rPr>
          <w:rFonts w:hint="eastAsia" w:ascii="仿宋_GB2312" w:eastAsia="仿宋_GB2312" w:cs="仿宋_GB2312"/>
          <w:color w:val="000000"/>
          <w:kern w:val="0"/>
          <w:sz w:val="32"/>
          <w:szCs w:val="32"/>
          <w:lang w:val="en-US" w:eastAsia="zh-CN"/>
        </w:rPr>
        <w:t>12</w:t>
      </w:r>
      <w:r>
        <w:rPr>
          <w:rFonts w:hint="eastAsia" w:ascii="仿宋_GB2312" w:hAnsi="宋体" w:eastAsia="仿宋_GB2312" w:cs="仿宋_GB2312"/>
          <w:color w:val="000000"/>
          <w:kern w:val="0"/>
          <w:sz w:val="32"/>
          <w:szCs w:val="32"/>
        </w:rPr>
        <w:t>人，机动车辆</w:t>
      </w:r>
      <w:r>
        <w:rPr>
          <w:rFonts w:hint="eastAsia" w:ascii="仿宋_GB2312"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台。</w:t>
      </w:r>
    </w:p>
    <w:p>
      <w:pPr>
        <w:keepNext w:val="0"/>
        <w:keepLines w:val="0"/>
        <w:widowControl/>
        <w:suppressLineNumbers w:val="0"/>
        <w:spacing w:before="0" w:beforeAutospacing="0" w:after="2" w:afterAutospacing="0"/>
        <w:ind w:left="0" w:right="0" w:firstLine="628"/>
        <w:rPr>
          <w:rFonts w:hint="eastAsia" w:ascii="仿宋_GB2312" w:hAnsi="宋体" w:eastAsia="仿宋_GB2312" w:cs="仿宋_GB2312"/>
          <w:color w:val="000000"/>
          <w:kern w:val="0"/>
          <w:sz w:val="32"/>
          <w:szCs w:val="32"/>
        </w:rPr>
      </w:pPr>
    </w:p>
    <w:p>
      <w:pPr>
        <w:adjustRightInd w:val="0"/>
        <w:snapToGrid w:val="0"/>
        <w:spacing w:line="600"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w:t>
      </w:r>
      <w:r>
        <w:rPr>
          <w:rFonts w:hint="eastAsia" w:eastAsia="黑体" w:cs="Times New Roman"/>
          <w:sz w:val="32"/>
          <w:szCs w:val="32"/>
          <w:lang w:val="en-US" w:eastAsia="zh-CN"/>
        </w:rPr>
        <w:t>三</w:t>
      </w:r>
      <w:r>
        <w:rPr>
          <w:rFonts w:hint="eastAsia"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rPr>
        <w:t>部门（单位）年度整体支出绩效目标</w:t>
      </w:r>
    </w:p>
    <w:p>
      <w:pPr>
        <w:keepNext w:val="0"/>
        <w:keepLines w:val="0"/>
        <w:widowControl/>
        <w:numPr>
          <w:ilvl w:val="0"/>
          <w:numId w:val="0"/>
        </w:numPr>
        <w:suppressLineNumbers w:val="0"/>
        <w:spacing w:before="0" w:beforeAutospacing="0" w:after="2" w:afterAutospacing="0"/>
        <w:ind w:left="628" w:leftChars="0" w:right="0" w:rightChars="0"/>
        <w:rPr>
          <w:rFonts w:hint="eastAsia" w:ascii="仿宋_GB2312" w:hAnsi="黑体" w:eastAsia="仿宋_GB2312" w:cs="Times New Roman"/>
          <w:sz w:val="32"/>
          <w:szCs w:val="32"/>
          <w:lang w:eastAsia="zh-CN"/>
        </w:rPr>
      </w:pPr>
      <w:r>
        <w:rPr>
          <w:rFonts w:hint="eastAsia"/>
          <w:sz w:val="28"/>
          <w:szCs w:val="36"/>
        </w:rPr>
        <w:t>目</w:t>
      </w:r>
      <w:r>
        <w:rPr>
          <w:rFonts w:hint="eastAsia" w:ascii="仿宋_GB2312" w:hAnsi="黑体" w:eastAsia="仿宋_GB2312" w:cs="Times New Roman"/>
          <w:sz w:val="32"/>
          <w:szCs w:val="32"/>
        </w:rPr>
        <w:t>标1</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rPr>
        <w:t>完成202</w:t>
      </w:r>
      <w:r>
        <w:rPr>
          <w:rFonts w:hint="eastAsia" w:ascii="仿宋_GB2312" w:hAnsi="黑体" w:eastAsia="仿宋_GB2312" w:cs="Times New Roman"/>
          <w:sz w:val="32"/>
          <w:szCs w:val="32"/>
          <w:lang w:val="en-US" w:eastAsia="zh-CN"/>
        </w:rPr>
        <w:t>1</w:t>
      </w:r>
      <w:r>
        <w:rPr>
          <w:rFonts w:hint="eastAsia" w:ascii="仿宋_GB2312" w:hAnsi="黑体" w:eastAsia="仿宋_GB2312" w:cs="Times New Roman"/>
          <w:sz w:val="32"/>
          <w:szCs w:val="32"/>
        </w:rPr>
        <w:t>年残疾人实用技术培训和职业技能培训；</w:t>
      </w:r>
    </w:p>
    <w:p>
      <w:pPr>
        <w:keepNext w:val="0"/>
        <w:keepLines w:val="0"/>
        <w:widowControl/>
        <w:numPr>
          <w:ilvl w:val="0"/>
          <w:numId w:val="0"/>
        </w:numPr>
        <w:suppressLineNumbers w:val="0"/>
        <w:spacing w:before="0" w:beforeAutospacing="0" w:after="2" w:afterAutospacing="0"/>
        <w:ind w:left="628" w:leftChars="0" w:right="0" w:rightChars="0"/>
        <w:rPr>
          <w:rFonts w:hint="eastAsia" w:ascii="仿宋_GB2312" w:hAnsi="黑体" w:eastAsia="仿宋_GB2312" w:cs="Times New Roman"/>
          <w:sz w:val="32"/>
          <w:szCs w:val="32"/>
        </w:rPr>
      </w:pPr>
      <w:r>
        <w:rPr>
          <w:rFonts w:hint="eastAsia" w:ascii="仿宋_GB2312" w:hAnsi="黑体" w:eastAsia="仿宋_GB2312" w:cs="Times New Roman"/>
          <w:sz w:val="32"/>
          <w:szCs w:val="32"/>
        </w:rPr>
        <w:t>目标2：开展残疾人精准康复工作</w:t>
      </w: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基本康复服务与辅助器具适配）</w:t>
      </w:r>
      <w:r>
        <w:rPr>
          <w:rFonts w:hint="eastAsia" w:ascii="仿宋_GB2312" w:hAnsi="黑体" w:eastAsia="仿宋_GB2312" w:cs="Times New Roman"/>
          <w:sz w:val="32"/>
          <w:szCs w:val="32"/>
        </w:rPr>
        <w:t>；</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目标3：开展法律救助工作；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目标4：开展贫困残疾人上门评残工作；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目标5：开展全县已经办证或者疑似残疾人基本服务状况与需求调查工作。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目标6：开展</w:t>
      </w:r>
      <w:r>
        <w:rPr>
          <w:rFonts w:hint="eastAsia" w:ascii="仿宋_GB2312" w:hAnsi="黑体" w:eastAsia="仿宋_GB2312" w:cs="Times New Roman"/>
          <w:sz w:val="32"/>
          <w:szCs w:val="32"/>
          <w:lang w:val="en-US" w:eastAsia="zh-CN"/>
        </w:rPr>
        <w:t>困难</w:t>
      </w:r>
      <w:r>
        <w:rPr>
          <w:rFonts w:hint="eastAsia" w:ascii="仿宋_GB2312" w:hAnsi="黑体" w:eastAsia="仿宋_GB2312" w:cs="Times New Roman"/>
          <w:sz w:val="32"/>
          <w:szCs w:val="32"/>
        </w:rPr>
        <w:t>残疾人</w:t>
      </w:r>
      <w:r>
        <w:rPr>
          <w:rFonts w:hint="eastAsia" w:ascii="仿宋_GB2312" w:hAnsi="黑体" w:eastAsia="仿宋_GB2312" w:cs="Times New Roman"/>
          <w:sz w:val="32"/>
          <w:szCs w:val="32"/>
          <w:lang w:val="en-US" w:eastAsia="zh-CN"/>
        </w:rPr>
        <w:t>家庭</w:t>
      </w:r>
      <w:r>
        <w:rPr>
          <w:rFonts w:hint="eastAsia" w:ascii="仿宋_GB2312" w:hAnsi="黑体" w:eastAsia="仿宋_GB2312" w:cs="Times New Roman"/>
          <w:sz w:val="32"/>
          <w:szCs w:val="32"/>
        </w:rPr>
        <w:t>无障碍改造工作；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目标7：开展残疾人创业扶持工作。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rPr>
      </w:pPr>
      <w:r>
        <w:rPr>
          <w:rFonts w:hint="eastAsia" w:ascii="仿宋_GB2312" w:hAnsi="黑体" w:eastAsia="仿宋_GB2312" w:cs="Times New Roman"/>
          <w:sz w:val="32"/>
          <w:szCs w:val="32"/>
        </w:rPr>
        <w:t>目标8：完成贫困重度残疾人居家托养工作。</w:t>
      </w:r>
    </w:p>
    <w:p>
      <w:pPr>
        <w:keepNext w:val="0"/>
        <w:keepLines w:val="0"/>
        <w:widowControl/>
        <w:suppressLineNumbers w:val="0"/>
        <w:spacing w:before="0" w:beforeAutospacing="0" w:after="2" w:afterAutospacing="0"/>
        <w:ind w:left="0" w:right="0" w:firstLine="628"/>
        <w:rPr>
          <w:rFonts w:hint="eastAsia" w:ascii="仿宋_GB2312" w:hAnsi="黑体" w:eastAsia="仿宋_GB2312" w:cs="Times New Roman"/>
          <w:sz w:val="32"/>
          <w:szCs w:val="32"/>
          <w:lang w:eastAsia="zh-CN"/>
        </w:rPr>
      </w:pPr>
      <w:r>
        <w:rPr>
          <w:rFonts w:hint="eastAsia" w:ascii="仿宋_GB2312" w:hAnsi="黑体" w:eastAsia="仿宋_GB2312" w:cs="Times New Roman"/>
          <w:sz w:val="32"/>
          <w:szCs w:val="32"/>
        </w:rPr>
        <w:t>目标9：完成残疾人大学生、贫困残疾人家庭子女大学生、中专生、高中生补助工作</w:t>
      </w:r>
      <w:r>
        <w:rPr>
          <w:rFonts w:hint="eastAsia" w:ascii="仿宋_GB2312" w:hAnsi="黑体" w:eastAsia="仿宋_GB2312" w:cs="Times New Roman"/>
          <w:sz w:val="32"/>
          <w:szCs w:val="32"/>
          <w:lang w:eastAsia="zh-CN"/>
        </w:rPr>
        <w:t>。</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目标10：开展0-6岁儿童康复工作。</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b/>
          <w:bCs/>
          <w:sz w:val="32"/>
          <w:szCs w:val="32"/>
        </w:rPr>
      </w:pPr>
      <w:r>
        <w:rPr>
          <w:rFonts w:hint="eastAsia"/>
          <w:b/>
          <w:bCs/>
          <w:sz w:val="32"/>
          <w:szCs w:val="32"/>
          <w:lang w:val="en-US" w:eastAsia="zh-CN"/>
        </w:rPr>
        <w:t>二、</w:t>
      </w:r>
      <w:r>
        <w:rPr>
          <w:rFonts w:hint="eastAsia"/>
          <w:b/>
          <w:bCs/>
          <w:sz w:val="32"/>
          <w:szCs w:val="32"/>
        </w:rPr>
        <w:t>一般公共预算支出情况</w:t>
      </w:r>
    </w:p>
    <w:p>
      <w:pPr>
        <w:keepNext w:val="0"/>
        <w:keepLines w:val="0"/>
        <w:widowControl/>
        <w:suppressLineNumbers w:val="0"/>
        <w:spacing w:before="0" w:beforeAutospacing="0" w:after="2" w:afterAutospacing="0"/>
        <w:ind w:left="0" w:right="0" w:firstLine="628"/>
        <w:jc w:val="both"/>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 xml:space="preserve">2021年一般公共预算支出437.53万，其中基本支出123.34万元，项目支出314.19万。               </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lang w:eastAsia="zh-CN"/>
        </w:rPr>
        <w:t>（</w:t>
      </w:r>
      <w:r>
        <w:rPr>
          <w:rFonts w:hint="eastAsia" w:ascii="仿宋_GB2312" w:hAnsi="黑体" w:eastAsia="仿宋_GB2312" w:cs="Times New Roman"/>
          <w:sz w:val="32"/>
          <w:szCs w:val="32"/>
          <w:lang w:val="en-US" w:eastAsia="zh-CN"/>
        </w:rPr>
        <w:t>一）</w:t>
      </w:r>
      <w:r>
        <w:rPr>
          <w:rFonts w:hint="eastAsia" w:ascii="仿宋_GB2312" w:hAnsi="黑体" w:eastAsia="仿宋_GB2312" w:cs="Times New Roman"/>
          <w:sz w:val="32"/>
          <w:szCs w:val="32"/>
        </w:rPr>
        <w:t>基本支出情况</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 xml:space="preserve">2021年度财政拨款基本支出123.34 </w:t>
      </w:r>
      <w:r>
        <w:rPr>
          <w:rFonts w:hint="eastAsia" w:ascii="仿宋_GB2312" w:hAnsi="黑体" w:eastAsia="仿宋_GB2312" w:cs="Times New Roman"/>
          <w:sz w:val="32"/>
          <w:szCs w:val="32"/>
          <w:highlight w:val="none"/>
        </w:rPr>
        <w:t>万元</w:t>
      </w:r>
      <w:r>
        <w:rPr>
          <w:rFonts w:hint="eastAsia" w:ascii="仿宋_GB2312" w:hAnsi="黑体" w:eastAsia="仿宋_GB2312" w:cs="Times New Roman"/>
          <w:sz w:val="32"/>
          <w:szCs w:val="32"/>
          <w:highlight w:val="none"/>
          <w:lang w:val="en-US" w:eastAsia="zh-CN"/>
        </w:rPr>
        <w:t>，其中：人员经费115.6万元，主要包括基本工资42.88万元、津贴补贴26.4万元、绩效工资5.46万元、奖金17.81万元、机关事业单位基本养老保险费12.03万元、职工基本医疗保险缴费6.7万元、其他社会保险缴费0.2万元，住房公积金2.02万元、医疗费2.1万元；一般商品和服务支出7.65万元，主要包括办公费0.58万元、印刷费0.08万元、邮电费0.2万元、工会经费5.7万元，福利费0.24万元，其他交通费用0.2万元，其他商品和服务支出0.65万元</w:t>
      </w:r>
    </w:p>
    <w:p>
      <w:pPr>
        <w:keepNext w:val="0"/>
        <w:keepLines w:val="0"/>
        <w:pageBreakBefore w:val="0"/>
        <w:numPr>
          <w:ilvl w:val="0"/>
          <w:numId w:val="0"/>
        </w:numPr>
        <w:kinsoku/>
        <w:wordWrap/>
        <w:overflowPunct/>
        <w:topLinePunct w:val="0"/>
        <w:autoSpaceDE/>
        <w:autoSpaceDN/>
        <w:bidi w:val="0"/>
        <w:adjustRightInd/>
        <w:snapToGrid/>
        <w:spacing w:line="360" w:lineRule="auto"/>
        <w:ind w:left="630" w:leftChars="0"/>
        <w:textAlignment w:val="auto"/>
        <w:rPr>
          <w:rFonts w:hint="eastAsia"/>
          <w:sz w:val="28"/>
          <w:szCs w:val="28"/>
        </w:rPr>
      </w:pPr>
      <w:r>
        <w:rPr>
          <w:rFonts w:hint="eastAsia"/>
          <w:sz w:val="28"/>
          <w:szCs w:val="28"/>
          <w:lang w:eastAsia="zh-CN"/>
        </w:rPr>
        <w:t>（</w:t>
      </w:r>
      <w:r>
        <w:rPr>
          <w:rFonts w:hint="eastAsia"/>
          <w:sz w:val="28"/>
          <w:szCs w:val="28"/>
          <w:lang w:val="en-US" w:eastAsia="zh-CN"/>
        </w:rPr>
        <w:t>二）</w:t>
      </w:r>
      <w:r>
        <w:rPr>
          <w:rFonts w:hint="eastAsia"/>
          <w:sz w:val="28"/>
          <w:szCs w:val="28"/>
        </w:rPr>
        <w:t>项目支出情况</w:t>
      </w:r>
    </w:p>
    <w:p>
      <w:pPr>
        <w:keepNext w:val="0"/>
        <w:keepLines w:val="0"/>
        <w:widowControl/>
        <w:suppressLineNumbers w:val="0"/>
        <w:spacing w:before="0" w:beforeAutospacing="0" w:after="2" w:afterAutospacing="0"/>
        <w:ind w:left="0" w:right="0" w:firstLine="628"/>
        <w:rPr>
          <w:rFonts w:hint="default" w:ascii="仿宋_GB2312" w:hAnsi="黑体" w:eastAsia="仿宋_GB2312" w:cs="Times New Roman"/>
          <w:sz w:val="32"/>
          <w:szCs w:val="32"/>
          <w:highlight w:val="none"/>
          <w:lang w:val="en-US" w:eastAsia="zh-CN"/>
        </w:rPr>
      </w:pPr>
      <w:r>
        <w:rPr>
          <w:rFonts w:hint="eastAsia" w:ascii="仿宋_GB2312" w:hAnsi="黑体" w:eastAsia="仿宋_GB2312" w:cs="Times New Roman"/>
          <w:sz w:val="32"/>
          <w:szCs w:val="32"/>
          <w:highlight w:val="none"/>
          <w:lang w:val="en-US" w:eastAsia="zh-CN"/>
        </w:rPr>
        <w:t>2021年度项目支出314.19万元。其中残疾人康复68.8万元；残疾人就业和扶贫79.2元，其他残疾人事业支出166.19万元。</w:t>
      </w:r>
    </w:p>
    <w:p>
      <w:pPr>
        <w:snapToGrid w:val="0"/>
        <w:spacing w:line="520" w:lineRule="exact"/>
        <w:rPr>
          <w:rFonts w:hint="default" w:ascii="仿宋_GB2312" w:hAnsi="黑体" w:eastAsia="仿宋_GB2312" w:cs="Times New Roman"/>
          <w:b/>
          <w:bCs/>
          <w:sz w:val="32"/>
          <w:szCs w:val="32"/>
          <w:lang w:val="en-US" w:eastAsia="zh-CN"/>
        </w:rPr>
      </w:pPr>
      <w:r>
        <w:rPr>
          <w:rFonts w:hint="eastAsia" w:ascii="仿宋_GB2312" w:hAnsi="黑体" w:eastAsia="仿宋_GB2312" w:cs="Times New Roman"/>
          <w:b/>
          <w:bCs/>
          <w:sz w:val="32"/>
          <w:szCs w:val="32"/>
          <w:lang w:val="en-US" w:eastAsia="zh-CN"/>
        </w:rPr>
        <w:t>三、</w:t>
      </w:r>
      <w:r>
        <w:rPr>
          <w:rFonts w:hint="default" w:ascii="仿宋_GB2312" w:hAnsi="黑体" w:eastAsia="仿宋_GB2312" w:cs="Times New Roman"/>
          <w:b/>
          <w:bCs/>
          <w:sz w:val="32"/>
          <w:szCs w:val="32"/>
          <w:lang w:val="en-US" w:eastAsia="zh-CN"/>
        </w:rPr>
        <w:t>政府性基金预算支出情况</w:t>
      </w:r>
    </w:p>
    <w:p>
      <w:pPr>
        <w:snapToGrid w:val="0"/>
        <w:spacing w:line="520" w:lineRule="exact"/>
        <w:ind w:firstLine="640" w:firstLineChars="200"/>
        <w:rPr>
          <w:rFonts w:hint="default" w:ascii="仿宋_GB2312" w:hAnsi="黑体" w:eastAsia="仿宋_GB2312" w:cs="Times New Roman"/>
          <w:sz w:val="32"/>
          <w:szCs w:val="32"/>
          <w:lang w:val="en-US" w:eastAsia="zh-CN"/>
        </w:rPr>
      </w:pPr>
      <w:r>
        <w:rPr>
          <w:rFonts w:hint="eastAsia" w:ascii="仿宋_GB2312" w:hAnsi="黑体" w:eastAsia="仿宋_GB2312" w:cs="Times New Roman"/>
          <w:sz w:val="32"/>
          <w:szCs w:val="32"/>
          <w:highlight w:val="none"/>
          <w:lang w:val="en-US" w:eastAsia="zh-CN"/>
        </w:rPr>
        <w:t>道县残疾人联合会2021年度政府性基金的预算支出81.5万元。其中残疾人康复71.5</w:t>
      </w:r>
      <w:bookmarkStart w:id="0" w:name="_GoBack"/>
      <w:bookmarkEnd w:id="0"/>
      <w:r>
        <w:rPr>
          <w:rFonts w:hint="eastAsia" w:ascii="仿宋_GB2312" w:hAnsi="黑体" w:eastAsia="仿宋_GB2312" w:cs="Times New Roman"/>
          <w:sz w:val="32"/>
          <w:szCs w:val="32"/>
          <w:highlight w:val="none"/>
          <w:lang w:val="en-US" w:eastAsia="zh-CN"/>
        </w:rPr>
        <w:t>万，残疾人就业和扶贫1万，其他残疾人事业支出9万。</w:t>
      </w:r>
    </w:p>
    <w:p>
      <w:pPr>
        <w:numPr>
          <w:ilvl w:val="0"/>
          <w:numId w:val="0"/>
        </w:numPr>
        <w:ind w:left="210"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四、国有资本经营预算支出情况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道县残疾人联合会2021年度无涉及国有资本经营的预算支出。</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sz w:val="32"/>
          <w:szCs w:val="32"/>
        </w:rPr>
      </w:pPr>
      <w:r>
        <w:rPr>
          <w:rFonts w:hint="eastAsia"/>
          <w:b/>
          <w:bCs/>
          <w:sz w:val="32"/>
          <w:szCs w:val="32"/>
          <w:lang w:val="en-US" w:eastAsia="zh-CN"/>
        </w:rPr>
        <w:t>五、</w:t>
      </w:r>
      <w:r>
        <w:rPr>
          <w:rFonts w:hint="eastAsia"/>
          <w:b/>
          <w:bCs/>
          <w:sz w:val="32"/>
          <w:szCs w:val="32"/>
        </w:rPr>
        <w:t>社会保险基金预算支出情况</w:t>
      </w:r>
    </w:p>
    <w:p>
      <w:pPr>
        <w:snapToGrid w:val="0"/>
        <w:spacing w:line="520" w:lineRule="exact"/>
        <w:ind w:firstLine="640" w:firstLineChars="20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lang w:val="en-US" w:eastAsia="zh-CN"/>
        </w:rPr>
        <w:t>道县残疾人联合会2021年无涉及社会保险基金预算支出。</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imes New Roman" w:hAnsi="Times New Roman" w:eastAsia="宋体" w:cs="Times New Roman"/>
          <w:b/>
          <w:bCs/>
          <w:sz w:val="32"/>
          <w:szCs w:val="32"/>
          <w:lang w:val="en-US" w:eastAsia="zh-CN"/>
        </w:rPr>
      </w:pPr>
      <w:r>
        <w:rPr>
          <w:rFonts w:hint="eastAsia" w:ascii="Times New Roman" w:hAnsi="Times New Roman" w:eastAsia="宋体" w:cs="Times New Roman"/>
          <w:b/>
          <w:bCs/>
          <w:sz w:val="32"/>
          <w:szCs w:val="32"/>
          <w:lang w:val="en-US" w:eastAsia="zh-CN"/>
        </w:rPr>
        <w:t>六、</w:t>
      </w:r>
      <w:r>
        <w:rPr>
          <w:rFonts w:hint="default" w:ascii="Times New Roman" w:hAnsi="Times New Roman" w:eastAsia="宋体" w:cs="Times New Roman"/>
          <w:b/>
          <w:bCs/>
          <w:sz w:val="32"/>
          <w:szCs w:val="32"/>
          <w:lang w:val="en-US" w:eastAsia="zh-CN"/>
        </w:rPr>
        <w:t>部门整体支出绩效情况</w:t>
      </w:r>
    </w:p>
    <w:p>
      <w:pPr>
        <w:numPr>
          <w:ilvl w:val="0"/>
          <w:numId w:val="0"/>
        </w:numPr>
        <w:ind w:firstLine="321" w:firstLineChars="1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为残疾人适配辅具。</w:t>
      </w:r>
      <w:r>
        <w:rPr>
          <w:rFonts w:hint="eastAsia" w:ascii="仿宋" w:hAnsi="仿宋" w:eastAsia="仿宋" w:cs="仿宋"/>
          <w:sz w:val="32"/>
          <w:szCs w:val="32"/>
        </w:rPr>
        <w:t>免费发放轮椅、腋拐等辅具498件，适配假肢27人</w:t>
      </w:r>
      <w:r>
        <w:rPr>
          <w:rFonts w:hint="eastAsia" w:ascii="仿宋" w:hAnsi="仿宋" w:eastAsia="仿宋" w:cs="仿宋"/>
          <w:sz w:val="32"/>
          <w:szCs w:val="32"/>
          <w:lang w:eastAsia="zh-CN"/>
        </w:rPr>
        <w:t>；</w:t>
      </w:r>
      <w:r>
        <w:rPr>
          <w:rFonts w:hint="eastAsia" w:ascii="仿宋" w:hAnsi="仿宋" w:eastAsia="仿宋" w:cs="仿宋"/>
          <w:sz w:val="32"/>
          <w:szCs w:val="32"/>
        </w:rPr>
        <w:t>落实重点民生实事“残疾儿童康复救助”项目。省市考核任务50人，为</w:t>
      </w:r>
      <w:r>
        <w:rPr>
          <w:rFonts w:hint="eastAsia" w:ascii="仿宋" w:hAnsi="仿宋" w:eastAsia="仿宋" w:cs="仿宋"/>
          <w:sz w:val="32"/>
          <w:szCs w:val="32"/>
          <w:lang w:val="en-US" w:eastAsia="zh-CN"/>
        </w:rPr>
        <w:t>119</w:t>
      </w:r>
      <w:r>
        <w:rPr>
          <w:rFonts w:hint="eastAsia" w:ascii="仿宋" w:hAnsi="仿宋" w:eastAsia="仿宋" w:cs="仿宋"/>
          <w:sz w:val="32"/>
          <w:szCs w:val="32"/>
        </w:rPr>
        <w:t>名残疾儿童提供了康复服务。残疾儿童康复救助人工耳蜗3人，辅具适配5人；积极开展白内障患者筛查工作，输送30名患者到指定医院实施免费复明手术；</w:t>
      </w:r>
      <w:r>
        <w:rPr>
          <w:rFonts w:hint="eastAsia" w:ascii="仿宋" w:hAnsi="仿宋" w:eastAsia="仿宋" w:cs="仿宋"/>
          <w:sz w:val="32"/>
          <w:szCs w:val="32"/>
          <w:lang w:val="en-US" w:eastAsia="zh-CN"/>
        </w:rPr>
        <w:t>加</w:t>
      </w:r>
      <w:r>
        <w:rPr>
          <w:rFonts w:hint="eastAsia" w:ascii="仿宋" w:hAnsi="仿宋" w:eastAsia="仿宋" w:cs="仿宋"/>
          <w:sz w:val="32"/>
          <w:szCs w:val="32"/>
        </w:rPr>
        <w:t>强精神残疾社会防治和康复工作，对贫困精神残疾药物需求摸底，</w:t>
      </w:r>
      <w:r>
        <w:rPr>
          <w:rFonts w:hint="eastAsia" w:ascii="仿宋" w:hAnsi="仿宋" w:eastAsia="仿宋" w:cs="仿宋"/>
          <w:sz w:val="32"/>
          <w:szCs w:val="32"/>
          <w:lang w:val="en-US" w:eastAsia="zh-CN"/>
        </w:rPr>
        <w:t>对49名精神病服药患者进行</w:t>
      </w:r>
      <w:r>
        <w:rPr>
          <w:rFonts w:hint="eastAsia" w:ascii="仿宋" w:hAnsi="仿宋" w:eastAsia="仿宋" w:cs="仿宋"/>
          <w:sz w:val="32"/>
          <w:szCs w:val="32"/>
        </w:rPr>
        <w:t>药物补贴。</w:t>
      </w:r>
    </w:p>
    <w:p>
      <w:pPr>
        <w:ind w:firstLine="321" w:firstLineChars="100"/>
        <w:rPr>
          <w:rFonts w:hint="eastAsia" w:ascii="仿宋" w:hAnsi="仿宋" w:eastAsia="仿宋" w:cs="仿宋"/>
          <w:sz w:val="32"/>
          <w:szCs w:val="32"/>
          <w:lang w:eastAsia="zh-CN"/>
        </w:rPr>
      </w:pPr>
      <w:r>
        <w:rPr>
          <w:rFonts w:hint="eastAsia" w:ascii="楷体" w:hAnsi="楷体" w:eastAsia="楷体" w:cs="楷体"/>
          <w:b/>
          <w:bCs/>
          <w:sz w:val="32"/>
          <w:szCs w:val="32"/>
          <w:highlight w:val="none"/>
          <w:lang w:val="en-US" w:eastAsia="zh-CN"/>
        </w:rPr>
        <w:t>2、</w:t>
      </w:r>
      <w:r>
        <w:rPr>
          <w:rFonts w:hint="eastAsia" w:ascii="楷体" w:hAnsi="楷体" w:eastAsia="楷体" w:cs="楷体"/>
          <w:b/>
          <w:bCs/>
          <w:sz w:val="32"/>
          <w:szCs w:val="32"/>
          <w:highlight w:val="none"/>
        </w:rPr>
        <w:t>推进残疾人教育就业。</w:t>
      </w:r>
      <w:r>
        <w:rPr>
          <w:rFonts w:hint="eastAsia" w:ascii="仿宋" w:hAnsi="仿宋" w:eastAsia="仿宋" w:cs="仿宋"/>
          <w:sz w:val="32"/>
          <w:szCs w:val="32"/>
        </w:rPr>
        <w:t>开展阳光家园居家托养服务，为100名就业年龄段的重度肢体和精神、智力残疾人提供居家托养服务；依法开展按比例安排残疾人就业年审工作，</w:t>
      </w:r>
      <w:r>
        <w:rPr>
          <w:rFonts w:hint="eastAsia" w:ascii="仿宋" w:hAnsi="仿宋" w:eastAsia="仿宋" w:cs="仿宋"/>
          <w:sz w:val="32"/>
          <w:szCs w:val="32"/>
          <w:lang w:eastAsia="zh-CN"/>
        </w:rPr>
        <w:t>加大对没有安排残疾人就业的单位征收或者代收就业保障金工作力度，工作人员克服困难核定262个机关事业单位和160个30人以上的企业，安置残疾人就业98人；</w:t>
      </w:r>
      <w:r>
        <w:rPr>
          <w:rFonts w:hint="eastAsia" w:ascii="仿宋" w:hAnsi="仿宋" w:eastAsia="仿宋" w:cs="仿宋"/>
          <w:sz w:val="32"/>
          <w:szCs w:val="32"/>
        </w:rPr>
        <w:t>做好残疾人实用技术和职业技能培训委托具备相应资质的培训机构举办2期</w:t>
      </w:r>
      <w:r>
        <w:rPr>
          <w:rFonts w:hint="eastAsia" w:ascii="仿宋" w:hAnsi="仿宋" w:eastAsia="仿宋" w:cs="仿宋"/>
          <w:sz w:val="32"/>
          <w:szCs w:val="32"/>
          <w:lang w:eastAsia="zh-CN"/>
        </w:rPr>
        <w:t>就业技能培训班。</w:t>
      </w:r>
      <w:r>
        <w:rPr>
          <w:rFonts w:hint="eastAsia" w:ascii="仿宋" w:hAnsi="仿宋" w:eastAsia="仿宋" w:cs="仿宋"/>
          <w:sz w:val="32"/>
          <w:szCs w:val="32"/>
        </w:rPr>
        <w:t>推荐5名残疾人到省特教中专深造，3名残疾人参加盲人按摩班培训</w:t>
      </w:r>
      <w:r>
        <w:rPr>
          <w:rFonts w:hint="eastAsia" w:ascii="仿宋" w:hAnsi="仿宋" w:eastAsia="仿宋" w:cs="仿宋"/>
          <w:sz w:val="32"/>
          <w:szCs w:val="32"/>
          <w:lang w:eastAsia="zh-CN"/>
        </w:rPr>
        <w:t>；</w:t>
      </w:r>
      <w:r>
        <w:rPr>
          <w:rFonts w:hint="eastAsia" w:ascii="仿宋" w:hAnsi="仿宋" w:eastAsia="仿宋" w:cs="仿宋"/>
          <w:sz w:val="32"/>
          <w:szCs w:val="32"/>
        </w:rPr>
        <w:t>完成全县14430名持证残疾人基本状况调查</w:t>
      </w:r>
      <w:r>
        <w:rPr>
          <w:rFonts w:hint="eastAsia" w:ascii="仿宋" w:hAnsi="仿宋" w:eastAsia="仿宋" w:cs="仿宋"/>
          <w:sz w:val="32"/>
          <w:szCs w:val="32"/>
          <w:lang w:eastAsia="zh-CN"/>
        </w:rPr>
        <w:t>。对全县2020年申报37位符合要求的贫困残疾人家庭的子女大（中专）学生和62位贫困残疾人家庭高中生给予了资助，实施了政策补助，受助残疾学生共计99人次，发放补助资金共计25.6万元，其中县级配套12.8万元。对2021年申报的85名的残疾大学生高中生和贫困残疾人家庭大学生或高中生提交的资料进行审核并录入湖南省学生资助系统。</w:t>
      </w:r>
    </w:p>
    <w:p>
      <w:pPr>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丰富残疾人宣传文体。</w:t>
      </w:r>
      <w:r>
        <w:rPr>
          <w:rFonts w:hint="eastAsia" w:ascii="仿宋" w:hAnsi="仿宋" w:eastAsia="仿宋" w:cs="仿宋"/>
          <w:sz w:val="32"/>
          <w:szCs w:val="32"/>
        </w:rPr>
        <w:t>精心组织残疾人开展“五个一”文化活动</w:t>
      </w:r>
      <w:r>
        <w:rPr>
          <w:rFonts w:hint="eastAsia" w:ascii="仿宋" w:hAnsi="仿宋" w:eastAsia="仿宋" w:cs="仿宋"/>
          <w:sz w:val="32"/>
          <w:szCs w:val="32"/>
          <w:lang w:eastAsia="zh-CN"/>
        </w:rPr>
        <w:t>；</w:t>
      </w:r>
      <w:r>
        <w:rPr>
          <w:rFonts w:hint="eastAsia" w:ascii="仿宋" w:hAnsi="仿宋" w:eastAsia="仿宋" w:cs="仿宋"/>
          <w:sz w:val="32"/>
          <w:szCs w:val="32"/>
        </w:rPr>
        <w:t>有声有色地开展</w:t>
      </w:r>
      <w:r>
        <w:rPr>
          <w:rFonts w:hint="eastAsia" w:ascii="仿宋" w:hAnsi="仿宋" w:eastAsia="仿宋" w:cs="仿宋"/>
          <w:sz w:val="32"/>
          <w:szCs w:val="32"/>
          <w:lang w:val="en-US" w:eastAsia="zh-CN"/>
        </w:rPr>
        <w:t>助残日、爱耳日等活动</w:t>
      </w:r>
      <w:r>
        <w:rPr>
          <w:rFonts w:hint="eastAsia" w:ascii="仿宋" w:hAnsi="仿宋" w:eastAsia="仿宋" w:cs="仿宋"/>
          <w:sz w:val="32"/>
          <w:szCs w:val="32"/>
        </w:rPr>
        <w:t>。</w:t>
      </w:r>
    </w:p>
    <w:p>
      <w:pPr>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扎实做好残疾人权益保障。</w:t>
      </w:r>
      <w:r>
        <w:rPr>
          <w:rFonts w:hint="eastAsia" w:ascii="仿宋" w:hAnsi="仿宋" w:eastAsia="仿宋" w:cs="仿宋"/>
          <w:sz w:val="32"/>
          <w:szCs w:val="32"/>
        </w:rPr>
        <w:t>超额完成省重点民生“困难残疾人家庭无障碍改造”项目，全年任务120户，完成123户</w:t>
      </w:r>
      <w:r>
        <w:rPr>
          <w:rFonts w:hint="eastAsia" w:ascii="仿宋" w:hAnsi="仿宋" w:eastAsia="仿宋" w:cs="仿宋"/>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sz w:val="32"/>
          <w:szCs w:val="32"/>
        </w:rPr>
      </w:pPr>
      <w:r>
        <w:rPr>
          <w:rFonts w:hint="eastAsia"/>
          <w:b/>
          <w:bCs/>
          <w:sz w:val="32"/>
          <w:szCs w:val="32"/>
          <w:lang w:val="en-US" w:eastAsia="zh-CN"/>
        </w:rPr>
        <w:t>七、</w:t>
      </w:r>
      <w:r>
        <w:rPr>
          <w:rFonts w:hint="eastAsia"/>
          <w:b/>
          <w:bCs/>
          <w:sz w:val="32"/>
          <w:szCs w:val="32"/>
        </w:rPr>
        <w:t>存在的问题及原因分析</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2021年执行及绩效管理期间，我单位认真执行中央、省和市、县安排的财政资金的使用及监管；没有违反规定改变资金使用范围和投向；没有违反资金分配、拨付和扶贫项目立项、审批的程序；没有截留、挤占、挪用、贪污和骗取资金的现象。但也存在一些不足之处，如缺少短期规划，不利于整体目标的落实；绩效管理意识还不够强，绩效管理机制还不够完善。</w:t>
      </w:r>
    </w:p>
    <w:p>
      <w:pPr>
        <w:keepNext w:val="0"/>
        <w:keepLines w:val="0"/>
        <w:pageBreakBefore w:val="0"/>
        <w:numPr>
          <w:ilvl w:val="0"/>
          <w:numId w:val="0"/>
        </w:numPr>
        <w:kinsoku/>
        <w:wordWrap/>
        <w:overflowPunct/>
        <w:topLinePunct w:val="0"/>
        <w:autoSpaceDE/>
        <w:autoSpaceDN/>
        <w:bidi w:val="0"/>
        <w:adjustRightInd/>
        <w:snapToGrid/>
        <w:spacing w:line="360" w:lineRule="auto"/>
        <w:ind w:left="210" w:leftChars="0"/>
        <w:textAlignment w:val="auto"/>
        <w:rPr>
          <w:rFonts w:hint="eastAsia"/>
          <w:b/>
          <w:bCs/>
          <w:sz w:val="32"/>
          <w:szCs w:val="32"/>
        </w:rPr>
      </w:pPr>
      <w:r>
        <w:rPr>
          <w:rFonts w:hint="eastAsia"/>
          <w:b/>
          <w:bCs/>
          <w:sz w:val="32"/>
          <w:szCs w:val="32"/>
          <w:lang w:val="en-US" w:eastAsia="zh-CN"/>
        </w:rPr>
        <w:t>八、</w:t>
      </w:r>
      <w:r>
        <w:rPr>
          <w:rFonts w:hint="eastAsia"/>
          <w:b/>
          <w:bCs/>
          <w:sz w:val="32"/>
          <w:szCs w:val="32"/>
        </w:rPr>
        <w:t>下一步改进措施</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建议加强预算管理，完善绩效考核目标，考核目标尽量明确、细化和量化，提高资金使用效率；二是建立和完善专项资金使用管理制度；三是加大舆论宣传，提高政策知晓度；创新工作方式，强化资金监督管理，确保资金落到实处。</w:t>
      </w:r>
    </w:p>
    <w:p>
      <w:pPr>
        <w:numPr>
          <w:ilvl w:val="0"/>
          <w:numId w:val="1"/>
        </w:numPr>
        <w:snapToGrid w:val="0"/>
        <w:spacing w:line="520" w:lineRule="exact"/>
        <w:ind w:left="210" w:leftChars="0"/>
        <w:rPr>
          <w:rFonts w:hint="default"/>
          <w:b/>
          <w:bCs/>
          <w:sz w:val="40"/>
          <w:szCs w:val="40"/>
          <w:lang w:val="en-US" w:eastAsia="zh-CN"/>
        </w:rPr>
      </w:pPr>
      <w:r>
        <w:rPr>
          <w:rFonts w:hint="default"/>
          <w:b/>
          <w:bCs/>
          <w:sz w:val="40"/>
          <w:szCs w:val="40"/>
          <w:lang w:val="en-US" w:eastAsia="zh-CN"/>
        </w:rPr>
        <w:t>绩效自评结果拟应用和公开情况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本年度绩效自评</w:t>
      </w:r>
      <w:r>
        <w:rPr>
          <w:rFonts w:hint="eastAsia" w:ascii="仿宋" w:hAnsi="仿宋" w:eastAsia="仿宋" w:cs="仿宋"/>
          <w:sz w:val="32"/>
          <w:szCs w:val="32"/>
          <w:highlight w:val="none"/>
          <w:lang w:val="en-US" w:eastAsia="zh-CN"/>
        </w:rPr>
        <w:t>结果为95分</w:t>
      </w:r>
      <w:r>
        <w:rPr>
          <w:rFonts w:hint="eastAsia" w:ascii="仿宋" w:hAnsi="仿宋" w:eastAsia="仿宋" w:cs="仿宋"/>
          <w:sz w:val="32"/>
          <w:szCs w:val="32"/>
          <w:lang w:val="en-US" w:eastAsia="zh-CN"/>
        </w:rPr>
        <w:t>。按规定时间内将2021年度专项资金绩效自评报告、整体部门支出绩效自评报告在本部门门户网站公开，并接受社会监督。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933F6"/>
    <w:multiLevelType w:val="singleLevel"/>
    <w:tmpl w:val="E6F933F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hMzFjMTE3ODQxYjcwMjExN2RhNWJiMzgwMjRlMDAifQ=="/>
  </w:docVars>
  <w:rsids>
    <w:rsidRoot w:val="12F213EC"/>
    <w:rsid w:val="07F82844"/>
    <w:rsid w:val="0A1E12A6"/>
    <w:rsid w:val="12F213EC"/>
    <w:rsid w:val="14EE4A8F"/>
    <w:rsid w:val="1FD77AD6"/>
    <w:rsid w:val="20D34A06"/>
    <w:rsid w:val="235D02F2"/>
    <w:rsid w:val="26526108"/>
    <w:rsid w:val="294C5091"/>
    <w:rsid w:val="2A952A67"/>
    <w:rsid w:val="2B2A31B0"/>
    <w:rsid w:val="2F1F027B"/>
    <w:rsid w:val="2FD951A4"/>
    <w:rsid w:val="30C65728"/>
    <w:rsid w:val="36D861B6"/>
    <w:rsid w:val="38E726E0"/>
    <w:rsid w:val="39BD1693"/>
    <w:rsid w:val="3A59760D"/>
    <w:rsid w:val="3BE41159"/>
    <w:rsid w:val="3C645AFF"/>
    <w:rsid w:val="45660E30"/>
    <w:rsid w:val="45C92508"/>
    <w:rsid w:val="488F069E"/>
    <w:rsid w:val="4A01737A"/>
    <w:rsid w:val="4BFA48ED"/>
    <w:rsid w:val="502B0078"/>
    <w:rsid w:val="55B31E70"/>
    <w:rsid w:val="56226FF5"/>
    <w:rsid w:val="56786C15"/>
    <w:rsid w:val="68262975"/>
    <w:rsid w:val="6DE54739"/>
    <w:rsid w:val="6F6A3147"/>
    <w:rsid w:val="746C5BB4"/>
    <w:rsid w:val="769431A0"/>
    <w:rsid w:val="7975397A"/>
    <w:rsid w:val="7C0B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2067</Words>
  <Characters>2245</Characters>
  <Lines>0</Lines>
  <Paragraphs>0</Paragraphs>
  <TotalTime>6</TotalTime>
  <ScaleCrop>false</ScaleCrop>
  <LinksUpToDate>false</LinksUpToDate>
  <CharactersWithSpaces>2264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2022-06-13T08:09:00Z</dcterms:created>
  <dc:creator>追风筝的人</dc:creator>
  <cp:lastModifiedBy>95</cp:lastModifiedBy>
  <dcterms:modified xsi:type="dcterms:W3CDTF">2023-09-25T02:56:28Z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C8C3D7FF68C94998A92FFBD1745692B7_13</vt:lpwstr>
  </property>
</Properties>
</file>