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heme="minorEastAsia" w:hAnsiTheme="minorEastAsia" w:eastAsiaTheme="minorEastAsia"/>
          <w:sz w:val="56"/>
          <w:szCs w:val="56"/>
        </w:rPr>
      </w:pPr>
    </w:p>
    <w:p>
      <w:pPr>
        <w:pStyle w:val="10"/>
        <w:jc w:val="center"/>
        <w:rPr>
          <w:rFonts w:asciiTheme="minorEastAsia" w:hAnsiTheme="minorEastAsia" w:eastAsiaTheme="minorEastAsia"/>
          <w:sz w:val="56"/>
          <w:szCs w:val="56"/>
        </w:rPr>
      </w:pPr>
    </w:p>
    <w:p>
      <w:pPr>
        <w:pStyle w:val="10"/>
        <w:jc w:val="center"/>
        <w:rPr>
          <w:rFonts w:asciiTheme="minorEastAsia" w:hAnsiTheme="minorEastAsia" w:eastAsiaTheme="minorEastAsia"/>
          <w:sz w:val="84"/>
          <w:szCs w:val="84"/>
        </w:rPr>
      </w:pPr>
    </w:p>
    <w:p>
      <w:pPr>
        <w:pStyle w:val="10"/>
        <w:jc w:val="center"/>
        <w:rPr>
          <w:rFonts w:asciiTheme="minorEastAsia" w:hAnsiTheme="minorEastAsia" w:eastAsiaTheme="minorEastAsia"/>
          <w:sz w:val="84"/>
          <w:szCs w:val="84"/>
        </w:rPr>
      </w:pPr>
    </w:p>
    <w:p>
      <w:pPr>
        <w:pStyle w:val="10"/>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2021年度</w:t>
      </w:r>
    </w:p>
    <w:p>
      <w:pPr>
        <w:pStyle w:val="10"/>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道县广播电视台部门决算</w:t>
      </w:r>
    </w:p>
    <w:p>
      <w:pPr>
        <w:pStyle w:val="10"/>
        <w:jc w:val="center"/>
        <w:rPr>
          <w:rFonts w:asciiTheme="minorEastAsia" w:hAnsiTheme="minorEastAsia" w:eastAsiaTheme="minorEastAsia"/>
          <w:sz w:val="56"/>
          <w:szCs w:val="56"/>
        </w:rPr>
      </w:pPr>
    </w:p>
    <w:p>
      <w:pPr>
        <w:pStyle w:val="10"/>
        <w:jc w:val="center"/>
        <w:rPr>
          <w:rFonts w:asciiTheme="minorEastAsia" w:hAnsiTheme="minorEastAsia" w:eastAsiaTheme="minorEastAsia"/>
          <w:sz w:val="56"/>
          <w:szCs w:val="56"/>
        </w:rPr>
      </w:pPr>
    </w:p>
    <w:p>
      <w:pPr>
        <w:pStyle w:val="10"/>
        <w:jc w:val="center"/>
        <w:rPr>
          <w:rFonts w:asciiTheme="minorEastAsia" w:hAnsiTheme="minorEastAsia" w:eastAsiaTheme="minorEastAsia"/>
          <w:sz w:val="56"/>
          <w:szCs w:val="56"/>
        </w:rPr>
      </w:pPr>
    </w:p>
    <w:p>
      <w:pPr>
        <w:pStyle w:val="10"/>
        <w:jc w:val="center"/>
        <w:rPr>
          <w:rFonts w:asciiTheme="minorEastAsia" w:hAnsiTheme="minorEastAsia" w:eastAsiaTheme="minorEastAsia"/>
          <w:sz w:val="56"/>
          <w:szCs w:val="56"/>
        </w:rPr>
      </w:pPr>
    </w:p>
    <w:p>
      <w:pPr>
        <w:pStyle w:val="10"/>
        <w:jc w:val="center"/>
        <w:rPr>
          <w:rFonts w:asciiTheme="minorEastAsia" w:hAnsiTheme="minorEastAsia" w:eastAsiaTheme="minorEastAsia"/>
          <w:sz w:val="32"/>
          <w:szCs w:val="32"/>
        </w:rPr>
      </w:pPr>
    </w:p>
    <w:p>
      <w:pPr>
        <w:pStyle w:val="10"/>
        <w:jc w:val="center"/>
        <w:rPr>
          <w:rFonts w:asciiTheme="minorEastAsia" w:hAnsiTheme="minorEastAsia" w:eastAsiaTheme="minorEastAsia"/>
          <w:sz w:val="32"/>
          <w:szCs w:val="32"/>
        </w:rPr>
      </w:pPr>
    </w:p>
    <w:p>
      <w:pPr>
        <w:pStyle w:val="10"/>
        <w:jc w:val="center"/>
        <w:rPr>
          <w:rFonts w:asciiTheme="minorEastAsia" w:hAnsiTheme="minorEastAsia" w:eastAsiaTheme="minorEastAsia"/>
          <w:sz w:val="32"/>
          <w:szCs w:val="32"/>
        </w:rPr>
      </w:pPr>
    </w:p>
    <w:p>
      <w:pPr>
        <w:pStyle w:val="10"/>
        <w:jc w:val="center"/>
        <w:rPr>
          <w:rFonts w:asciiTheme="minorEastAsia" w:hAnsiTheme="minorEastAsia" w:eastAsiaTheme="minorEastAsia"/>
          <w:sz w:val="32"/>
          <w:szCs w:val="32"/>
        </w:rPr>
      </w:pPr>
    </w:p>
    <w:p>
      <w:pPr>
        <w:pStyle w:val="10"/>
        <w:jc w:val="center"/>
        <w:rPr>
          <w:rFonts w:asciiTheme="minorEastAsia" w:hAnsiTheme="minorEastAsia" w:eastAsiaTheme="minorEastAsia"/>
          <w:sz w:val="32"/>
          <w:szCs w:val="32"/>
        </w:rPr>
      </w:pPr>
    </w:p>
    <w:p>
      <w:pPr>
        <w:pStyle w:val="10"/>
        <w:spacing w:line="540" w:lineRule="exact"/>
        <w:jc w:val="center"/>
        <w:rPr>
          <w:rFonts w:asciiTheme="minorEastAsia" w:hAnsiTheme="minorEastAsia" w:eastAsiaTheme="minorEastAsia"/>
          <w:sz w:val="56"/>
          <w:szCs w:val="56"/>
        </w:rPr>
      </w:pPr>
    </w:p>
    <w:p>
      <w:pPr>
        <w:pStyle w:val="10"/>
        <w:spacing w:line="500" w:lineRule="exact"/>
        <w:jc w:val="center"/>
        <w:rPr>
          <w:rFonts w:asciiTheme="minorEastAsia" w:hAnsiTheme="minorEastAsia" w:eastAsiaTheme="minorEastAsia"/>
          <w:b/>
          <w:sz w:val="36"/>
          <w:szCs w:val="28"/>
        </w:rPr>
      </w:pPr>
    </w:p>
    <w:p>
      <w:pPr>
        <w:pStyle w:val="10"/>
        <w:spacing w:line="500" w:lineRule="exact"/>
        <w:jc w:val="center"/>
        <w:rPr>
          <w:rFonts w:asciiTheme="minorEastAsia" w:hAnsiTheme="minorEastAsia" w:eastAsiaTheme="minorEastAsia"/>
          <w:b/>
          <w:sz w:val="36"/>
          <w:szCs w:val="28"/>
        </w:rPr>
      </w:pPr>
    </w:p>
    <w:p>
      <w:pPr>
        <w:pStyle w:val="10"/>
        <w:spacing w:line="500" w:lineRule="exact"/>
        <w:jc w:val="center"/>
        <w:rPr>
          <w:rFonts w:asciiTheme="minorEastAsia" w:hAnsiTheme="minorEastAsia" w:eastAsiaTheme="minorEastAsia"/>
          <w:b/>
          <w:sz w:val="36"/>
          <w:szCs w:val="28"/>
        </w:rPr>
      </w:pPr>
      <w:r>
        <w:rPr>
          <w:rFonts w:hint="eastAsia" w:asciiTheme="minorEastAsia" w:hAnsiTheme="minorEastAsia" w:eastAsiaTheme="minorEastAsia"/>
          <w:b/>
          <w:sz w:val="36"/>
          <w:szCs w:val="28"/>
        </w:rPr>
        <w:t>目录</w:t>
      </w:r>
    </w:p>
    <w:p>
      <w:pPr>
        <w:pStyle w:val="10"/>
        <w:spacing w:line="500" w:lineRule="exact"/>
        <w:rPr>
          <w:rFonts w:cs="仿宋_GB2312" w:asciiTheme="minorEastAsia" w:hAnsiTheme="minorEastAsia" w:eastAsiaTheme="minorEastAsia"/>
          <w:b/>
          <w:sz w:val="28"/>
          <w:szCs w:val="28"/>
        </w:rPr>
      </w:pPr>
      <w:r>
        <w:rPr>
          <w:rFonts w:hint="eastAsia" w:asciiTheme="minorEastAsia" w:hAnsiTheme="minorEastAsia" w:eastAsiaTheme="minorEastAsia"/>
          <w:b/>
          <w:sz w:val="28"/>
          <w:szCs w:val="28"/>
        </w:rPr>
        <w:t>第一部分单位概况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cs="仿宋_GB2312" w:asciiTheme="minorEastAsia" w:hAnsiTheme="minorEastAsia" w:eastAsiaTheme="minorEastAsia"/>
          <w:b/>
          <w:sz w:val="28"/>
          <w:szCs w:val="28"/>
        </w:rPr>
      </w:pPr>
      <w:r>
        <w:rPr>
          <w:rFonts w:hint="eastAsia" w:asciiTheme="minorEastAsia" w:hAnsiTheme="minorEastAsia" w:eastAsiaTheme="minorEastAsia"/>
          <w:b/>
          <w:sz w:val="28"/>
          <w:szCs w:val="28"/>
        </w:rPr>
        <w:t>第二部分</w:t>
      </w:r>
      <w:r>
        <w:rPr>
          <w:rFonts w:asciiTheme="minorEastAsia" w:hAnsiTheme="minorEastAsia" w:eastAsiaTheme="minorEastAsia"/>
          <w:b/>
          <w:sz w:val="28"/>
          <w:szCs w:val="28"/>
        </w:rPr>
        <w:t>20</w:t>
      </w:r>
      <w:r>
        <w:rPr>
          <w:rFonts w:hint="eastAsia" w:asciiTheme="minorEastAsia" w:hAnsiTheme="minorEastAsia" w:eastAsiaTheme="minorEastAsia"/>
          <w:b/>
          <w:sz w:val="28"/>
          <w:szCs w:val="28"/>
        </w:rPr>
        <w:t>21年度部门决算表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cs="仿宋_GB2312" w:asciiTheme="minorEastAsia" w:hAnsiTheme="minorEastAsia" w:eastAsiaTheme="minorEastAsia"/>
          <w:b/>
          <w:sz w:val="28"/>
          <w:szCs w:val="28"/>
        </w:rPr>
      </w:pPr>
      <w:r>
        <w:rPr>
          <w:rFonts w:hint="eastAsia" w:asciiTheme="minorEastAsia" w:hAnsiTheme="minorEastAsia" w:eastAsiaTheme="minorEastAsia"/>
          <w:b/>
          <w:sz w:val="28"/>
          <w:szCs w:val="28"/>
        </w:rPr>
        <w:t>第三部分</w:t>
      </w:r>
      <w:r>
        <w:rPr>
          <w:rFonts w:asciiTheme="minorEastAsia" w:hAnsiTheme="minorEastAsia" w:eastAsiaTheme="minorEastAsia"/>
          <w:b/>
          <w:sz w:val="28"/>
          <w:szCs w:val="28"/>
        </w:rPr>
        <w:t>20</w:t>
      </w:r>
      <w:r>
        <w:rPr>
          <w:rFonts w:hint="eastAsia" w:asciiTheme="minorEastAsia" w:hAnsiTheme="minorEastAsia" w:eastAsiaTheme="minorEastAsia"/>
          <w:b/>
          <w:sz w:val="28"/>
          <w:szCs w:val="28"/>
        </w:rPr>
        <w:t>21年度部门决算情况说明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cs="仿宋_GB2312" w:asciiTheme="minorEastAsia" w:hAnsiTheme="minorEastAsia"/>
          <w:sz w:val="28"/>
          <w:szCs w:val="28"/>
        </w:rPr>
      </w:pPr>
      <w:r>
        <w:rPr>
          <w:rFonts w:cs="仿宋_GB2312" w:asciiTheme="minorEastAsia" w:hAnsiTheme="minorEastAsia"/>
          <w:sz w:val="28"/>
          <w:szCs w:val="28"/>
        </w:rPr>
        <w:t>二、收入决算情况说明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三、支出决算情况说明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cs="仿宋_GB2312" w:asciiTheme="minorEastAsia" w:hAnsiTheme="minorEastAsia"/>
          <w:color w:val="000000"/>
          <w:kern w:val="0"/>
          <w:sz w:val="28"/>
          <w:szCs w:val="28"/>
        </w:rPr>
        <w:t>七、一般公共预算财政拨款</w:t>
      </w:r>
      <w:r>
        <w:rPr>
          <w:rFonts w:hint="eastAsia" w:cs="仿宋_GB2312" w:asciiTheme="minorEastAsia" w:hAnsiTheme="minorEastAsia"/>
          <w:color w:val="000000"/>
          <w:kern w:val="0"/>
          <w:sz w:val="28"/>
          <w:szCs w:val="28"/>
        </w:rPr>
        <w:t>“</w:t>
      </w:r>
      <w:r>
        <w:rPr>
          <w:rFonts w:cs="仿宋_GB2312" w:asciiTheme="minorEastAsia" w:hAnsiTheme="minorEastAsia"/>
          <w:color w:val="000000"/>
          <w:kern w:val="0"/>
          <w:sz w:val="28"/>
          <w:szCs w:val="28"/>
        </w:rPr>
        <w:t>三公</w:t>
      </w:r>
      <w:r>
        <w:rPr>
          <w:rFonts w:hint="eastAsia" w:cs="仿宋_GB2312" w:asciiTheme="minorEastAsia" w:hAnsiTheme="minorEastAsia"/>
          <w:color w:val="000000"/>
          <w:kern w:val="0"/>
          <w:sz w:val="28"/>
          <w:szCs w:val="28"/>
        </w:rPr>
        <w:t>”</w:t>
      </w:r>
      <w:r>
        <w:rPr>
          <w:rFonts w:cs="仿宋_GB2312" w:asciiTheme="minorEastAsia" w:hAnsiTheme="minorEastAsia"/>
          <w:color w:val="000000"/>
          <w:kern w:val="0"/>
          <w:sz w:val="28"/>
          <w:szCs w:val="28"/>
        </w:rPr>
        <w:t>经费支出决算情况说明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八</w:t>
      </w:r>
      <w:r>
        <w:rPr>
          <w:rFonts w:cs="仿宋_GB2312" w:asciiTheme="minorEastAsia" w:hAnsiTheme="minorEastAsia"/>
          <w:color w:val="000000"/>
          <w:kern w:val="0"/>
          <w:sz w:val="28"/>
          <w:szCs w:val="28"/>
        </w:rPr>
        <w:t>、</w:t>
      </w:r>
      <w:r>
        <w:rPr>
          <w:rFonts w:hint="eastAsia" w:cs="仿宋_GB2312" w:asciiTheme="minorEastAsia" w:hAnsiTheme="minorEastAsia"/>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九</w:t>
      </w:r>
      <w:r>
        <w:rPr>
          <w:rFonts w:cs="仿宋_GB2312" w:asciiTheme="minorEastAsia" w:hAnsiTheme="minorEastAsia"/>
          <w:color w:val="000000"/>
          <w:kern w:val="0"/>
          <w:sz w:val="28"/>
          <w:szCs w:val="28"/>
        </w:rPr>
        <w:t>、</w:t>
      </w:r>
      <w:r>
        <w:rPr>
          <w:rFonts w:hint="eastAsia" w:cs="仿宋_GB2312" w:asciiTheme="minorEastAsia" w:hAnsiTheme="minorEastAsia"/>
          <w:color w:val="000000"/>
          <w:kern w:val="0"/>
          <w:sz w:val="28"/>
          <w:szCs w:val="28"/>
        </w:rPr>
        <w:t>机关运行经费支出说明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十、一般性支出情况说明</w:t>
      </w:r>
    </w:p>
    <w:p>
      <w:pPr>
        <w:autoSpaceDE w:val="0"/>
        <w:autoSpaceDN w:val="0"/>
        <w:adjustRightInd w:val="0"/>
        <w:spacing w:line="500" w:lineRule="exact"/>
        <w:ind w:firstLine="700" w:firstLineChars="250"/>
        <w:jc w:val="left"/>
        <w:rPr>
          <w:rFonts w:cs="仿宋_GB2312" w:asciiTheme="minorEastAsia" w:hAnsiTheme="minorEastAsia"/>
          <w:color w:val="000000"/>
          <w:kern w:val="0"/>
          <w:sz w:val="28"/>
          <w:szCs w:val="28"/>
        </w:rPr>
      </w:pPr>
      <w:r>
        <w:rPr>
          <w:rFonts w:hint="eastAsia" w:cs="仿宋_GB2312" w:asciiTheme="minorEastAsia" w:hAnsiTheme="minorEastAsia"/>
          <w:color w:val="000000"/>
          <w:kern w:val="0"/>
          <w:sz w:val="28"/>
          <w:szCs w:val="28"/>
        </w:rPr>
        <w:t>十一、政府采购支出说明</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十二、国有资产占用情况说明</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十三、2021年度预算绩效情况说明</w:t>
      </w:r>
    </w:p>
    <w:p>
      <w:pPr>
        <w:autoSpaceDE w:val="0"/>
        <w:autoSpaceDN w:val="0"/>
        <w:adjustRightInd w:val="0"/>
        <w:spacing w:line="500" w:lineRule="exact"/>
        <w:jc w:val="left"/>
        <w:rPr>
          <w:rFonts w:cs="黑体" w:asciiTheme="minorEastAsia" w:hAnsiTheme="minorEastAsia"/>
          <w:b/>
          <w:color w:val="000000"/>
          <w:kern w:val="0"/>
          <w:sz w:val="28"/>
          <w:szCs w:val="28"/>
        </w:rPr>
      </w:pPr>
      <w:r>
        <w:rPr>
          <w:rFonts w:cs="黑体" w:asciiTheme="minorEastAsia" w:hAnsiTheme="minorEastAsia"/>
          <w:b/>
          <w:color w:val="000000"/>
          <w:kern w:val="0"/>
          <w:sz w:val="28"/>
          <w:szCs w:val="28"/>
        </w:rPr>
        <w:t>第四部分名词解释</w:t>
      </w:r>
    </w:p>
    <w:p>
      <w:pPr>
        <w:autoSpaceDE w:val="0"/>
        <w:autoSpaceDN w:val="0"/>
        <w:adjustRightInd w:val="0"/>
        <w:spacing w:line="500" w:lineRule="exact"/>
        <w:jc w:val="left"/>
        <w:rPr>
          <w:rFonts w:cs="仿宋_GB2312" w:asciiTheme="minorEastAsia" w:hAnsiTheme="minorEastAsia"/>
          <w:b/>
          <w:color w:val="000000"/>
          <w:kern w:val="0"/>
          <w:sz w:val="28"/>
          <w:szCs w:val="28"/>
        </w:rPr>
      </w:pPr>
      <w:r>
        <w:rPr>
          <w:rFonts w:hint="eastAsia" w:cs="黑体" w:asciiTheme="minorEastAsia" w:hAnsiTheme="minorEastAsia"/>
          <w:b/>
          <w:color w:val="000000"/>
          <w:kern w:val="0"/>
          <w:sz w:val="28"/>
          <w:szCs w:val="28"/>
        </w:rPr>
        <w:t>第五部分附件</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rPr>
          <w:rFonts w:asciiTheme="minorEastAsia" w:hAnsiTheme="minorEastAsia"/>
          <w:sz w:val="72"/>
          <w:szCs w:val="72"/>
        </w:rPr>
      </w:pPr>
    </w:p>
    <w:p>
      <w:pPr>
        <w:pStyle w:val="10"/>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第一部分</w:t>
      </w:r>
      <w:r>
        <w:rPr>
          <w:rFonts w:asciiTheme="minorEastAsia" w:hAnsiTheme="minorEastAsia" w:eastAsiaTheme="minorEastAsia"/>
          <w:sz w:val="84"/>
          <w:szCs w:val="84"/>
        </w:rPr>
        <w:t xml:space="preserve"> </w:t>
      </w:r>
    </w:p>
    <w:p>
      <w:pPr>
        <w:pStyle w:val="10"/>
        <w:jc w:val="center"/>
        <w:rPr>
          <w:rFonts w:asciiTheme="minorEastAsia" w:hAnsiTheme="minorEastAsia" w:eastAsiaTheme="minorEastAsia"/>
          <w:sz w:val="84"/>
          <w:szCs w:val="84"/>
        </w:rPr>
      </w:pPr>
    </w:p>
    <w:p>
      <w:pPr>
        <w:pStyle w:val="10"/>
        <w:jc w:val="center"/>
        <w:rPr>
          <w:rFonts w:asciiTheme="minorEastAsia" w:hAnsiTheme="minorEastAsia" w:eastAsiaTheme="minorEastAsia"/>
          <w:sz w:val="84"/>
          <w:szCs w:val="84"/>
        </w:rPr>
      </w:pPr>
      <w:r>
        <w:rPr>
          <w:rFonts w:hint="eastAsia" w:asciiTheme="minorEastAsia" w:hAnsiTheme="minorEastAsia" w:eastAsiaTheme="minorEastAsia"/>
          <w:sz w:val="84"/>
          <w:szCs w:val="84"/>
        </w:rPr>
        <w:t>单位概况</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pStyle w:val="11"/>
        <w:ind w:left="720" w:firstLine="0" w:firstLineChars="0"/>
        <w:jc w:val="left"/>
        <w:rPr>
          <w:rFonts w:asciiTheme="minorEastAsia" w:hAnsiTheme="minorEastAsia"/>
          <w:sz w:val="32"/>
          <w:szCs w:val="32"/>
        </w:rPr>
      </w:pPr>
    </w:p>
    <w:p>
      <w:pPr>
        <w:pStyle w:val="11"/>
        <w:ind w:left="720" w:firstLine="0" w:firstLineChars="0"/>
        <w:jc w:val="left"/>
        <w:rPr>
          <w:rFonts w:asciiTheme="minorEastAsia" w:hAnsiTheme="minorEastAsia"/>
          <w:sz w:val="32"/>
          <w:szCs w:val="32"/>
        </w:rPr>
      </w:pPr>
    </w:p>
    <w:p>
      <w:pPr>
        <w:pStyle w:val="11"/>
        <w:ind w:left="720" w:firstLine="0" w:firstLineChars="0"/>
        <w:jc w:val="left"/>
        <w:rPr>
          <w:rFonts w:asciiTheme="minorEastAsia" w:hAnsiTheme="minorEastAsia"/>
          <w:sz w:val="32"/>
          <w:szCs w:val="32"/>
        </w:rPr>
      </w:pPr>
    </w:p>
    <w:p>
      <w:pPr>
        <w:pStyle w:val="11"/>
        <w:numPr>
          <w:ilvl w:val="0"/>
          <w:numId w:val="1"/>
        </w:numPr>
        <w:ind w:firstLineChars="0"/>
        <w:jc w:val="left"/>
        <w:rPr>
          <w:rFonts w:asciiTheme="minorEastAsia" w:hAnsiTheme="minorEastAsia"/>
          <w:sz w:val="32"/>
          <w:szCs w:val="32"/>
        </w:rPr>
      </w:pPr>
      <w:r>
        <w:rPr>
          <w:rFonts w:asciiTheme="minorEastAsia" w:hAnsiTheme="minorEastAsia"/>
          <w:sz w:val="32"/>
          <w:szCs w:val="32"/>
        </w:rPr>
        <w:t>部门职责</w:t>
      </w:r>
    </w:p>
    <w:p>
      <w:pPr>
        <w:ind w:firstLine="450" w:firstLineChars="150"/>
        <w:rPr>
          <w:rFonts w:cs="宋体" w:asciiTheme="minorEastAsia" w:hAnsiTheme="minorEastAsia"/>
          <w:sz w:val="30"/>
          <w:szCs w:val="30"/>
        </w:rPr>
      </w:pPr>
      <w:r>
        <w:rPr>
          <w:rFonts w:hint="eastAsia" w:cs="宋体" w:asciiTheme="minorEastAsia" w:hAnsiTheme="minorEastAsia"/>
          <w:sz w:val="30"/>
          <w:szCs w:val="30"/>
        </w:rPr>
        <w:t>（1）根据县委县政府规定，本单位主要工作职责是： 贯彻执行党中央、国务院及省、市、县有关新闻宣传、广播电视文艺宣传的法律法规和方针政策，把握正确舆论导向；不断提高节目质量和办台水平，当好党和人民的喉舌。</w:t>
      </w:r>
    </w:p>
    <w:p>
      <w:pPr>
        <w:ind w:firstLine="600" w:firstLineChars="200"/>
        <w:rPr>
          <w:rFonts w:cs="宋体" w:asciiTheme="minorEastAsia" w:hAnsiTheme="minorEastAsia"/>
          <w:sz w:val="30"/>
          <w:szCs w:val="30"/>
        </w:rPr>
      </w:pPr>
      <w:r>
        <w:rPr>
          <w:rFonts w:hint="eastAsia" w:cs="宋体" w:asciiTheme="minorEastAsia" w:hAnsiTheme="minorEastAsia"/>
          <w:sz w:val="30"/>
          <w:szCs w:val="30"/>
        </w:rPr>
        <w:t>(2）负责全县广播电视新闻宣传节目制作、对外合作交流、安全播出、安全传输发射、广电有线网络以及新媒体建设等任务。</w:t>
      </w:r>
    </w:p>
    <w:p>
      <w:pPr>
        <w:ind w:firstLine="600" w:firstLineChars="200"/>
        <w:rPr>
          <w:rFonts w:cs="宋体" w:asciiTheme="minorEastAsia" w:hAnsiTheme="minorEastAsia"/>
          <w:sz w:val="30"/>
          <w:szCs w:val="30"/>
        </w:rPr>
      </w:pPr>
      <w:r>
        <w:rPr>
          <w:rFonts w:hint="eastAsia" w:cs="宋体" w:asciiTheme="minorEastAsia" w:hAnsiTheme="minorEastAsia"/>
          <w:sz w:val="30"/>
          <w:szCs w:val="30"/>
        </w:rPr>
        <w:t>(3）负责拟定全县广播电视事业、产业发展规划，办好全县广播电视事业；负责组织审查广告播出，开展相关经营；负责广播电视有线传输网络的设计、建设、维护以及开发应用，发展壮大广播电视产业，促进广播电视事业发展。</w:t>
      </w:r>
    </w:p>
    <w:p>
      <w:pPr>
        <w:ind w:firstLine="600" w:firstLineChars="200"/>
        <w:rPr>
          <w:rFonts w:cs="宋体" w:asciiTheme="minorEastAsia" w:hAnsiTheme="minorEastAsia"/>
          <w:sz w:val="30"/>
          <w:szCs w:val="30"/>
        </w:rPr>
      </w:pPr>
      <w:r>
        <w:rPr>
          <w:rFonts w:hint="eastAsia" w:cs="宋体" w:asciiTheme="minorEastAsia" w:hAnsiTheme="minorEastAsia"/>
          <w:sz w:val="30"/>
          <w:szCs w:val="30"/>
        </w:rPr>
        <w:t>(4）受县人民政府的委托，管理、经营所属企事业单位占有（用）的全部国有资产并承担国有资产保值增值的责任。</w:t>
      </w:r>
    </w:p>
    <w:p>
      <w:pPr>
        <w:ind w:firstLine="600" w:firstLineChars="200"/>
        <w:rPr>
          <w:rFonts w:cs="宋体" w:asciiTheme="minorEastAsia" w:hAnsiTheme="minorEastAsia"/>
          <w:sz w:val="30"/>
          <w:szCs w:val="30"/>
        </w:rPr>
      </w:pPr>
      <w:r>
        <w:rPr>
          <w:rFonts w:hint="eastAsia" w:cs="宋体" w:asciiTheme="minorEastAsia" w:hAnsiTheme="minorEastAsia"/>
          <w:sz w:val="30"/>
          <w:szCs w:val="30"/>
        </w:rPr>
        <w:t>(5）负责全县广播电视新技术的科学研究和开发利用。</w:t>
      </w:r>
    </w:p>
    <w:p>
      <w:pPr>
        <w:ind w:firstLine="600" w:firstLineChars="200"/>
        <w:rPr>
          <w:rFonts w:cs="宋体" w:asciiTheme="minorEastAsia" w:hAnsiTheme="minorEastAsia"/>
          <w:sz w:val="30"/>
          <w:szCs w:val="30"/>
        </w:rPr>
      </w:pPr>
      <w:r>
        <w:rPr>
          <w:rFonts w:hint="eastAsia" w:cs="宋体" w:asciiTheme="minorEastAsia" w:hAnsiTheme="minorEastAsia"/>
          <w:sz w:val="30"/>
          <w:szCs w:val="30"/>
        </w:rPr>
        <w:t>(6）承办全县广播电视节目的评优评奖工作。</w:t>
      </w:r>
    </w:p>
    <w:p>
      <w:pPr>
        <w:ind w:firstLine="600" w:firstLineChars="200"/>
        <w:rPr>
          <w:rFonts w:cs="宋体" w:asciiTheme="minorEastAsia" w:hAnsiTheme="minorEastAsia"/>
          <w:sz w:val="30"/>
          <w:szCs w:val="30"/>
        </w:rPr>
      </w:pPr>
      <w:r>
        <w:rPr>
          <w:rFonts w:hint="eastAsia" w:cs="宋体" w:asciiTheme="minorEastAsia" w:hAnsiTheme="minorEastAsia"/>
          <w:sz w:val="30"/>
          <w:szCs w:val="30"/>
        </w:rPr>
        <w:t>(7）负责全县广播电视人才的培训、培养、引进和使用工作。</w:t>
      </w:r>
    </w:p>
    <w:p>
      <w:pPr>
        <w:ind w:firstLine="600" w:firstLineChars="200"/>
        <w:rPr>
          <w:rFonts w:asciiTheme="minorEastAsia" w:hAnsiTheme="minorEastAsia"/>
          <w:sz w:val="32"/>
          <w:szCs w:val="32"/>
        </w:rPr>
      </w:pPr>
      <w:r>
        <w:rPr>
          <w:rFonts w:hint="eastAsia" w:cs="宋体" w:asciiTheme="minorEastAsia" w:hAnsiTheme="minorEastAsia"/>
          <w:sz w:val="30"/>
          <w:szCs w:val="30"/>
        </w:rPr>
        <w:t>(8）承办县委、县人民政府及上级有关部门交办的其它事项。</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二、机构设置及决算单位构成</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rPr>
        <w:t>（一）内设机构设置。</w:t>
      </w:r>
    </w:p>
    <w:p>
      <w:pPr>
        <w:widowControl/>
        <w:spacing w:line="600" w:lineRule="exact"/>
        <w:ind w:firstLine="800" w:firstLineChars="250"/>
        <w:rPr>
          <w:rFonts w:cs="宋体" w:asciiTheme="minorEastAsia" w:hAnsiTheme="minorEastAsia"/>
          <w:sz w:val="30"/>
          <w:szCs w:val="30"/>
        </w:rPr>
      </w:pPr>
      <w:r>
        <w:rPr>
          <w:rFonts w:hint="eastAsia" w:asciiTheme="minorEastAsia" w:hAnsiTheme="minorEastAsia"/>
          <w:bCs/>
          <w:kern w:val="0"/>
          <w:sz w:val="32"/>
          <w:szCs w:val="32"/>
        </w:rPr>
        <w:t>单位内设机构包括：</w:t>
      </w:r>
      <w:r>
        <w:rPr>
          <w:rFonts w:hint="eastAsia" w:cs="宋体" w:asciiTheme="minorEastAsia" w:hAnsiTheme="minorEastAsia"/>
          <w:sz w:val="30"/>
          <w:szCs w:val="30"/>
        </w:rPr>
        <w:t>县广播电视台现设机构有办公室、财务室、总编室、新闻专题部、制作播控部、技术开发部、6个内部机构，另下辖湖南有线道县网络有限公司。</w:t>
      </w:r>
    </w:p>
    <w:p>
      <w:pPr>
        <w:widowControl/>
        <w:spacing w:line="600" w:lineRule="exact"/>
        <w:ind w:firstLine="800" w:firstLineChars="250"/>
        <w:rPr>
          <w:rFonts w:asciiTheme="minorEastAsia" w:hAnsiTheme="minorEastAsia"/>
          <w:bCs/>
          <w:kern w:val="0"/>
          <w:sz w:val="32"/>
          <w:szCs w:val="32"/>
        </w:rPr>
      </w:pPr>
      <w:r>
        <w:rPr>
          <w:rFonts w:hint="eastAsia" w:asciiTheme="minorEastAsia" w:hAnsiTheme="minorEastAsia"/>
          <w:bCs/>
          <w:kern w:val="0"/>
          <w:sz w:val="32"/>
          <w:szCs w:val="32"/>
        </w:rPr>
        <w:t>（二）决算单位构成。单位</w:t>
      </w:r>
      <w:r>
        <w:rPr>
          <w:rFonts w:asciiTheme="minorEastAsia" w:hAnsiTheme="minorEastAsia"/>
          <w:bCs/>
          <w:kern w:val="0"/>
          <w:sz w:val="32"/>
          <w:szCs w:val="32"/>
        </w:rPr>
        <w:t>20</w:t>
      </w:r>
      <w:r>
        <w:rPr>
          <w:rFonts w:hint="eastAsia" w:asciiTheme="minorEastAsia" w:hAnsiTheme="minorEastAsia"/>
          <w:bCs/>
          <w:kern w:val="0"/>
          <w:sz w:val="32"/>
          <w:szCs w:val="32"/>
        </w:rPr>
        <w:t>21年部门决算汇总公开单位构成包括：道县广播电视台单位本级。</w:t>
      </w:r>
    </w:p>
    <w:p>
      <w:pP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28"/>
          <w:szCs w:val="28"/>
        </w:rPr>
      </w:pPr>
    </w:p>
    <w:p>
      <w:pPr>
        <w:jc w:val="center"/>
        <w:rPr>
          <w:rFonts w:asciiTheme="minorEastAsia" w:hAnsiTheme="minorEastAsia"/>
          <w:sz w:val="72"/>
          <w:szCs w:val="72"/>
        </w:rPr>
      </w:pPr>
    </w:p>
    <w:p>
      <w:pPr>
        <w:jc w:val="center"/>
        <w:rPr>
          <w:rFonts w:asciiTheme="minorEastAsia" w:hAnsiTheme="minorEastAsia"/>
          <w:sz w:val="72"/>
          <w:szCs w:val="72"/>
        </w:rPr>
      </w:pPr>
      <w:r>
        <w:rPr>
          <w:rFonts w:hint="eastAsia" w:asciiTheme="minorEastAsia" w:hAnsiTheme="minorEastAsia"/>
          <w:sz w:val="72"/>
          <w:szCs w:val="72"/>
        </w:rPr>
        <w:t>第二部分</w:t>
      </w:r>
    </w:p>
    <w:p>
      <w:pPr>
        <w:jc w:val="center"/>
        <w:rPr>
          <w:rFonts w:asciiTheme="minorEastAsia" w:hAnsiTheme="minorEastAsia"/>
          <w:sz w:val="72"/>
          <w:szCs w:val="72"/>
        </w:rPr>
      </w:pPr>
    </w:p>
    <w:p>
      <w:pPr>
        <w:jc w:val="center"/>
        <w:rPr>
          <w:rFonts w:asciiTheme="minorEastAsia" w:hAnsiTheme="minorEastAsia"/>
          <w:sz w:val="72"/>
          <w:szCs w:val="72"/>
        </w:rPr>
      </w:pPr>
      <w:r>
        <w:rPr>
          <w:rFonts w:hint="eastAsia" w:asciiTheme="minorEastAsia" w:hAnsiTheme="minorEastAsia"/>
          <w:sz w:val="72"/>
          <w:szCs w:val="72"/>
        </w:rPr>
        <w:t>部门决算表</w:t>
      </w: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center"/>
        <w:rPr>
          <w:rFonts w:asciiTheme="minorEastAsia" w:hAnsiTheme="minorEastAsia"/>
          <w:sz w:val="72"/>
          <w:szCs w:val="72"/>
        </w:rPr>
      </w:pPr>
    </w:p>
    <w:p>
      <w:pPr>
        <w:jc w:val="left"/>
        <w:rPr>
          <w:rFonts w:asciiTheme="minorEastAsia" w:hAnsiTheme="minorEastAsia"/>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部门：</w:t>
            </w: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道县广播电视台</w:t>
            </w:r>
          </w:p>
        </w:tc>
        <w:tc>
          <w:tcPr>
            <w:tcW w:w="697"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cs="宋体" w:asciiTheme="minorEastAsia" w:hAnsiTheme="minorEastAsia"/>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cs="宋体" w:asciiTheme="minorEastAsia" w:hAnsiTheme="minorEastAsia"/>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2,083.99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18.48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2,063.86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1.66</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center"/>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0"/>
                <w:szCs w:val="20"/>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0"/>
                <w:szCs w:val="20"/>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0"/>
                <w:szCs w:val="20"/>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0"/>
                <w:szCs w:val="20"/>
              </w:rPr>
            </w:pPr>
            <w:r>
              <w:rPr>
                <w:rFonts w:hint="eastAsia" w:cs="宋体" w:asciiTheme="minorEastAsia" w:hAnsiTheme="minorEastAsia"/>
                <w:b/>
                <w:bCs/>
                <w:color w:val="000000"/>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2,083.99</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0"/>
                <w:szCs w:val="20"/>
              </w:rPr>
            </w:pPr>
            <w:r>
              <w:rPr>
                <w:rFonts w:hint="eastAsia" w:cs="宋体" w:asciiTheme="minorEastAsia" w:hAnsiTheme="minorEastAsia"/>
                <w:b/>
                <w:bCs/>
                <w:color w:val="000000"/>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b/>
                <w:bCs/>
                <w:kern w:val="0"/>
                <w:sz w:val="22"/>
              </w:rPr>
            </w:pPr>
            <w:r>
              <w:rPr>
                <w:rFonts w:hint="eastAsia" w:cs="宋体" w:asciiTheme="minorEastAsia" w:hAnsiTheme="minorEastAsia"/>
                <w:color w:val="000000"/>
                <w:kern w:val="0"/>
                <w:sz w:val="22"/>
              </w:rPr>
              <w:t>2,083.99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b/>
                <w:bCs/>
                <w:kern w:val="0"/>
                <w:sz w:val="22"/>
              </w:rPr>
            </w:pPr>
            <w:r>
              <w:rPr>
                <w:rFonts w:hint="eastAsia" w:cs="宋体" w:asciiTheme="minorEastAsia" w:hAnsiTheme="minorEastAsia"/>
                <w:color w:val="000000"/>
                <w:kern w:val="0"/>
                <w:sz w:val="22"/>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b/>
                <w:bCs/>
                <w:kern w:val="0"/>
                <w:sz w:val="22"/>
              </w:rPr>
            </w:pPr>
            <w:r>
              <w:rPr>
                <w:rFonts w:hint="eastAsia" w:cs="宋体" w:asciiTheme="minorEastAsia" w:hAnsiTheme="minorEastAsia"/>
                <w:color w:val="000000"/>
                <w:kern w:val="0"/>
                <w:sz w:val="22"/>
              </w:rPr>
              <w:t>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b/>
                <w:bCs/>
                <w:kern w:val="0"/>
                <w:sz w:val="22"/>
              </w:rPr>
            </w:pPr>
            <w:r>
              <w:rPr>
                <w:rFonts w:hint="eastAsia" w:cs="宋体" w:asciiTheme="minorEastAsia" w:hAnsiTheme="minorEastAsia"/>
                <w:b/>
                <w:bCs/>
                <w:color w:val="000000"/>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2,083.99</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b/>
                <w:bCs/>
                <w:kern w:val="0"/>
                <w:sz w:val="22"/>
              </w:rPr>
            </w:pPr>
            <w:r>
              <w:rPr>
                <w:rFonts w:hint="eastAsia" w:cs="宋体" w:asciiTheme="minorEastAsia" w:hAnsiTheme="minorEastAsia"/>
                <w:b/>
                <w:bCs/>
                <w:color w:val="000000"/>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b/>
                <w:bCs/>
                <w:kern w:val="0"/>
                <w:sz w:val="22"/>
              </w:rPr>
            </w:pPr>
            <w:r>
              <w:rPr>
                <w:rFonts w:hint="eastAsia" w:cs="宋体" w:asciiTheme="minorEastAsia" w:hAnsiTheme="minorEastAsia"/>
                <w:color w:val="000000"/>
                <w:kern w:val="0"/>
                <w:sz w:val="22"/>
              </w:rPr>
              <w:t>2,083.99</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注：1.本表反映部门本年度的总收支和年末结转结余情况。</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 2.本套报表金额单位转换时可能存在尾数误差。</w:t>
            </w:r>
          </w:p>
        </w:tc>
      </w:tr>
    </w:tbl>
    <w:p>
      <w:pPr>
        <w:jc w:val="center"/>
        <w:rPr>
          <w:rFonts w:asciiTheme="minorEastAsia" w:hAnsiTheme="minorEastAsia"/>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3224"/>
        <w:gridCol w:w="148"/>
        <w:gridCol w:w="712"/>
        <w:gridCol w:w="896"/>
        <w:gridCol w:w="896"/>
        <w:gridCol w:w="59"/>
        <w:gridCol w:w="810"/>
        <w:gridCol w:w="212"/>
        <w:gridCol w:w="574"/>
        <w:gridCol w:w="211"/>
        <w:gridCol w:w="2197"/>
        <w:gridCol w:w="2339"/>
        <w:gridCol w:w="29"/>
        <w:gridCol w:w="720"/>
        <w:gridCol w:w="1609"/>
        <w:gridCol w:w="792"/>
      </w:tblGrid>
      <w:tr>
        <w:tblPrEx>
          <w:tblCellMar>
            <w:top w:w="0" w:type="dxa"/>
            <w:left w:w="0" w:type="dxa"/>
            <w:bottom w:w="0" w:type="dxa"/>
            <w:right w:w="0" w:type="dxa"/>
          </w:tblCellMar>
        </w:tblPrEx>
        <w:trPr>
          <w:trHeight w:val="435" w:hRule="atLeast"/>
        </w:trPr>
        <w:tc>
          <w:tcPr>
            <w:tcW w:w="15428" w:type="dxa"/>
            <w:gridSpan w:val="16"/>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cs="宋体" w:asciiTheme="minorEastAsia" w:hAnsiTheme="minorEastAsia"/>
                <w:color w:val="000000"/>
                <w:sz w:val="32"/>
                <w:szCs w:val="32"/>
              </w:rPr>
            </w:pPr>
            <w:r>
              <w:rPr>
                <w:rFonts w:hint="eastAsia" w:asciiTheme="minorEastAsia" w:hAnsiTheme="minorEastAsia"/>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gridSpan w:val="3"/>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gridSpan w:val="2"/>
            <w:tcBorders>
              <w:top w:val="nil"/>
              <w:left w:val="nil"/>
              <w:bottom w:val="nil"/>
              <w:right w:val="nil"/>
            </w:tcBorders>
            <w:shd w:val="clear" w:color="000000" w:fill="FFFFFF"/>
            <w:noWrap/>
            <w:tcMar>
              <w:top w:w="15" w:type="dxa"/>
              <w:left w:w="15" w:type="dxa"/>
              <w:bottom w:w="0" w:type="dxa"/>
              <w:right w:w="15" w:type="dxa"/>
            </w:tcMar>
            <w:vAlign w:val="center"/>
          </w:tcPr>
          <w:p>
            <w:pPr>
              <w:ind w:right="105"/>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sz w:val="24"/>
                <w:szCs w:val="24"/>
              </w:rPr>
            </w:pPr>
            <w:r>
              <w:rPr>
                <w:rFonts w:hint="eastAsia" w:asciiTheme="minorEastAsia" w:hAnsiTheme="minorEastAsia"/>
              </w:rPr>
              <w:t>　</w:t>
            </w:r>
          </w:p>
        </w:tc>
        <w:tc>
          <w:tcPr>
            <w:tcW w:w="0" w:type="auto"/>
            <w:gridSpan w:val="4"/>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cs="宋体" w:asciiTheme="minorEastAsia" w:hAnsiTheme="minorEastAsia"/>
                <w:color w:val="000000"/>
                <w:sz w:val="20"/>
                <w:szCs w:val="20"/>
              </w:rPr>
            </w:pPr>
            <w:r>
              <w:rPr>
                <w:rFonts w:hint="eastAsia" w:asciiTheme="minorEastAsia" w:hAnsiTheme="minorEastAsia"/>
                <w:color w:val="000000"/>
                <w:sz w:val="20"/>
                <w:szCs w:val="20"/>
              </w:rPr>
              <w:t>公开02表</w:t>
            </w:r>
          </w:p>
        </w:tc>
      </w:tr>
      <w:tr>
        <w:tblPrEx>
          <w:tblCellMar>
            <w:top w:w="0" w:type="dxa"/>
            <w:left w:w="108" w:type="dxa"/>
            <w:bottom w:w="0" w:type="dxa"/>
            <w:right w:w="108" w:type="dxa"/>
          </w:tblCellMar>
        </w:tblPrEx>
        <w:trPr>
          <w:gridAfter w:val="1"/>
          <w:wAfter w:w="810" w:type="dxa"/>
          <w:trHeight w:val="300" w:hRule="atLeast"/>
        </w:trPr>
        <w:tc>
          <w:tcPr>
            <w:tcW w:w="5733" w:type="dxa"/>
            <w:gridSpan w:val="6"/>
            <w:tcBorders>
              <w:top w:val="nil"/>
              <w:left w:val="nil"/>
              <w:bottom w:val="nil"/>
              <w:right w:val="nil"/>
            </w:tcBorders>
            <w:shd w:val="clear" w:color="000000" w:fill="FFFFFF"/>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部门：</w:t>
            </w: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道县广播电视台</w:t>
            </w:r>
          </w:p>
        </w:tc>
        <w:tc>
          <w:tcPr>
            <w:tcW w:w="824"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800"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886" w:type="dxa"/>
            <w:gridSpan w:val="4"/>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73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43" w:type="dxa"/>
            <w:tcBorders>
              <w:top w:val="nil"/>
              <w:left w:val="nil"/>
              <w:bottom w:val="nil"/>
              <w:right w:val="nil"/>
            </w:tcBorders>
            <w:shd w:val="clear" w:color="000000" w:fill="FFFFFF"/>
            <w:noWrap/>
            <w:vAlign w:val="center"/>
          </w:tcPr>
          <w:p>
            <w:pPr>
              <w:widowControl/>
              <w:wordWrap w:val="0"/>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 xml:space="preserve">    单位：万元</w:t>
            </w:r>
          </w:p>
        </w:tc>
      </w:tr>
      <w:tr>
        <w:tblPrEx>
          <w:tblCellMar>
            <w:top w:w="0" w:type="dxa"/>
            <w:left w:w="0" w:type="dxa"/>
            <w:bottom w:w="0" w:type="dxa"/>
            <w:right w:w="0" w:type="dxa"/>
          </w:tblCellMar>
        </w:tblPrEx>
        <w:trPr>
          <w:trHeight w:val="450" w:hRule="atLeast"/>
        </w:trPr>
        <w:tc>
          <w:tcPr>
            <w:tcW w:w="417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项    目</w:t>
            </w:r>
          </w:p>
        </w:tc>
        <w:tc>
          <w:tcPr>
            <w:tcW w:w="7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本年收入合计</w:t>
            </w:r>
          </w:p>
        </w:tc>
        <w:tc>
          <w:tcPr>
            <w:tcW w:w="74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财政拨款收入</w:t>
            </w:r>
          </w:p>
        </w:tc>
        <w:tc>
          <w:tcPr>
            <w:tcW w:w="1100" w:type="dxa"/>
            <w:gridSpan w:val="3"/>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上级补助收入</w:t>
            </w:r>
          </w:p>
        </w:tc>
        <w:tc>
          <w:tcPr>
            <w:tcW w:w="80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事业收入</w:t>
            </w:r>
          </w:p>
        </w:tc>
        <w:tc>
          <w:tcPr>
            <w:tcW w:w="224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经营收入</w:t>
            </w:r>
          </w:p>
        </w:tc>
        <w:tc>
          <w:tcPr>
            <w:tcW w:w="239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附属单位上缴收入</w:t>
            </w:r>
          </w:p>
        </w:tc>
        <w:tc>
          <w:tcPr>
            <w:tcW w:w="3215" w:type="dxa"/>
            <w:gridSpan w:val="4"/>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其他收入</w:t>
            </w:r>
          </w:p>
        </w:tc>
      </w:tr>
      <w:tr>
        <w:tblPrEx>
          <w:tblCellMar>
            <w:top w:w="0" w:type="dxa"/>
            <w:left w:w="0" w:type="dxa"/>
            <w:bottom w:w="0" w:type="dxa"/>
            <w:right w:w="0" w:type="dxa"/>
          </w:tblCellMar>
        </w:tblPrEx>
        <w:trPr>
          <w:trHeight w:val="450" w:hRule="atLeast"/>
        </w:trPr>
        <w:tc>
          <w:tcPr>
            <w:tcW w:w="345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功能分类科目编码</w:t>
            </w:r>
          </w:p>
        </w:tc>
        <w:tc>
          <w:tcPr>
            <w:tcW w:w="728"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cs="宋体" w:asciiTheme="minorEastAsia" w:hAnsiTheme="minorEastAsia"/>
                <w:sz w:val="24"/>
                <w:szCs w:val="24"/>
              </w:rPr>
            </w:pPr>
            <w:r>
              <w:rPr>
                <w:rFonts w:hint="eastAsia" w:asciiTheme="minorEastAsia" w:hAnsiTheme="minor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gridSpan w:val="4"/>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c>
          <w:tcPr>
            <w:tcW w:w="0" w:type="auto"/>
            <w:gridSpan w:val="4"/>
            <w:vMerge w:val="continue"/>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417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cs="宋体" w:asciiTheme="minorEastAsia" w:hAnsiTheme="minorEastAsia"/>
                <w:sz w:val="24"/>
                <w:szCs w:val="24"/>
              </w:rPr>
            </w:pPr>
            <w:r>
              <w:rPr>
                <w:rFonts w:hint="eastAsia" w:cs="宋体" w:asciiTheme="minorEastAsia" w:hAnsiTheme="minorEastAsia"/>
                <w:color w:val="000000"/>
                <w:kern w:val="0"/>
                <w:sz w:val="22"/>
              </w:rPr>
              <w:t>栏次</w:t>
            </w:r>
          </w:p>
        </w:tc>
        <w:tc>
          <w:tcPr>
            <w:tcW w:w="7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cs="宋体" w:asciiTheme="minorEastAsia" w:hAnsiTheme="minorEastAsia"/>
                <w:sz w:val="24"/>
                <w:szCs w:val="24"/>
              </w:rPr>
            </w:pPr>
            <w:r>
              <w:rPr>
                <w:rFonts w:hint="eastAsia" w:cs="宋体" w:asciiTheme="minorEastAsia" w:hAnsiTheme="minorEastAsia"/>
                <w:color w:val="000000"/>
                <w:kern w:val="0"/>
                <w:sz w:val="22"/>
              </w:rPr>
              <w:t>1</w:t>
            </w:r>
          </w:p>
        </w:tc>
        <w:tc>
          <w:tcPr>
            <w:tcW w:w="7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cs="宋体" w:asciiTheme="minorEastAsia" w:hAnsiTheme="minorEastAsia"/>
                <w:sz w:val="24"/>
                <w:szCs w:val="24"/>
              </w:rPr>
            </w:pPr>
            <w:r>
              <w:rPr>
                <w:rFonts w:hint="eastAsia" w:cs="宋体" w:asciiTheme="minorEastAsia" w:hAnsiTheme="minorEastAsia"/>
                <w:color w:val="000000"/>
                <w:kern w:val="0"/>
                <w:sz w:val="22"/>
              </w:rPr>
              <w:t>2</w:t>
            </w:r>
          </w:p>
        </w:tc>
        <w:tc>
          <w:tcPr>
            <w:tcW w:w="1100" w:type="dxa"/>
            <w:gridSpan w:val="3"/>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cs="宋体" w:asciiTheme="minorEastAsia" w:hAnsiTheme="minorEastAsia"/>
                <w:sz w:val="24"/>
                <w:szCs w:val="24"/>
              </w:rPr>
            </w:pPr>
            <w:r>
              <w:rPr>
                <w:rFonts w:hint="eastAsia" w:cs="宋体" w:asciiTheme="minorEastAsia" w:hAnsiTheme="minorEastAsia"/>
                <w:color w:val="000000"/>
                <w:kern w:val="0"/>
                <w:sz w:val="22"/>
              </w:rPr>
              <w:t>3</w:t>
            </w:r>
          </w:p>
        </w:tc>
        <w:tc>
          <w:tcPr>
            <w:tcW w:w="800"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cs="宋体" w:asciiTheme="minorEastAsia" w:hAnsiTheme="minorEastAsia"/>
                <w:sz w:val="24"/>
                <w:szCs w:val="24"/>
              </w:rPr>
            </w:pPr>
            <w:r>
              <w:rPr>
                <w:rFonts w:hint="eastAsia" w:cs="宋体" w:asciiTheme="minorEastAsia" w:hAnsiTheme="minorEastAsia"/>
                <w:color w:val="000000"/>
                <w:kern w:val="0"/>
                <w:sz w:val="22"/>
              </w:rPr>
              <w:t>4</w:t>
            </w:r>
          </w:p>
        </w:tc>
        <w:tc>
          <w:tcPr>
            <w:tcW w:w="224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cs="宋体" w:asciiTheme="minorEastAsia" w:hAnsiTheme="minorEastAsia"/>
                <w:sz w:val="24"/>
                <w:szCs w:val="24"/>
              </w:rPr>
            </w:pPr>
            <w:r>
              <w:rPr>
                <w:rFonts w:hint="eastAsia" w:cs="宋体" w:asciiTheme="minorEastAsia" w:hAnsiTheme="minorEastAsia"/>
                <w:color w:val="000000"/>
                <w:kern w:val="0"/>
                <w:sz w:val="22"/>
              </w:rPr>
              <w:t>5</w:t>
            </w:r>
          </w:p>
        </w:tc>
        <w:tc>
          <w:tcPr>
            <w:tcW w:w="239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cs="宋体" w:asciiTheme="minorEastAsia" w:hAnsiTheme="minorEastAsia"/>
                <w:sz w:val="24"/>
                <w:szCs w:val="24"/>
              </w:rPr>
            </w:pPr>
            <w:r>
              <w:rPr>
                <w:rFonts w:hint="eastAsia" w:cs="宋体" w:asciiTheme="minorEastAsia" w:hAnsiTheme="minorEastAsia"/>
                <w:color w:val="000000"/>
                <w:kern w:val="0"/>
                <w:sz w:val="22"/>
              </w:rPr>
              <w:t>6</w:t>
            </w:r>
          </w:p>
        </w:tc>
        <w:tc>
          <w:tcPr>
            <w:tcW w:w="3215" w:type="dxa"/>
            <w:gridSpan w:val="4"/>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cs="宋体" w:asciiTheme="minorEastAsia" w:hAnsiTheme="minorEastAsia"/>
                <w:sz w:val="24"/>
                <w:szCs w:val="24"/>
              </w:rPr>
            </w:pPr>
            <w:r>
              <w:rPr>
                <w:rFonts w:hint="eastAsia" w:cs="宋体" w:asciiTheme="minorEastAsia" w:hAnsiTheme="minorEastAsia"/>
                <w:color w:val="000000"/>
                <w:kern w:val="0"/>
                <w:sz w:val="22"/>
              </w:rPr>
              <w:t>7</w:t>
            </w:r>
          </w:p>
        </w:tc>
      </w:tr>
      <w:tr>
        <w:tblPrEx>
          <w:tblCellMar>
            <w:top w:w="0" w:type="dxa"/>
            <w:left w:w="0" w:type="dxa"/>
            <w:bottom w:w="0" w:type="dxa"/>
            <w:right w:w="0" w:type="dxa"/>
          </w:tblCellMar>
        </w:tblPrEx>
        <w:trPr>
          <w:trHeight w:val="450" w:hRule="atLeast"/>
        </w:trPr>
        <w:tc>
          <w:tcPr>
            <w:tcW w:w="4179"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center"/>
              <w:textAlignment w:val="center"/>
              <w:rPr>
                <w:rFonts w:cs="宋体" w:asciiTheme="minorEastAsia" w:hAnsiTheme="minorEastAsia"/>
                <w:sz w:val="24"/>
                <w:szCs w:val="24"/>
              </w:rPr>
            </w:pPr>
            <w:r>
              <w:rPr>
                <w:rFonts w:hint="eastAsia" w:cs="宋体" w:asciiTheme="minorEastAsia" w:hAnsiTheme="minorEastAsia"/>
                <w:color w:val="000000"/>
                <w:kern w:val="0"/>
                <w:sz w:val="22"/>
              </w:rPr>
              <w:t>合计</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cs="宋体" w:asciiTheme="minorEastAsia" w:hAnsiTheme="minorEastAsia"/>
                <w:sz w:val="24"/>
                <w:szCs w:val="24"/>
              </w:rPr>
            </w:pPr>
            <w:r>
              <w:rPr>
                <w:rFonts w:hint="eastAsia" w:cs="宋体" w:asciiTheme="minorEastAsia" w:hAnsiTheme="minorEastAsia"/>
                <w:b/>
                <w:bCs/>
                <w:color w:val="000000"/>
                <w:kern w:val="0"/>
                <w:sz w:val="22"/>
              </w:rPr>
              <w:t>2,083.99</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cs="宋体" w:asciiTheme="minorEastAsia" w:hAnsiTheme="minorEastAsia"/>
                <w:sz w:val="24"/>
                <w:szCs w:val="24"/>
              </w:rPr>
            </w:pPr>
            <w:r>
              <w:rPr>
                <w:rFonts w:hint="eastAsia" w:cs="宋体" w:asciiTheme="minorEastAsia" w:hAnsiTheme="minorEastAsia"/>
                <w:b/>
                <w:bCs/>
                <w:color w:val="000000"/>
                <w:kern w:val="0"/>
                <w:sz w:val="22"/>
              </w:rPr>
              <w:t>2,083.99</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宋体" w:asciiTheme="minorEastAsia" w:hAnsiTheme="minorEastAsia"/>
                <w:sz w:val="24"/>
                <w:szCs w:val="24"/>
              </w:rPr>
            </w:pPr>
            <w:r>
              <w:rPr>
                <w:rFonts w:hint="eastAsia" w:cs="宋体" w:asciiTheme="minorEastAsia" w:hAnsiTheme="minorEastAsia"/>
                <w:color w:val="000000"/>
                <w:kern w:val="0"/>
                <w:sz w:val="22"/>
              </w:rPr>
              <w:t>201</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宋体" w:asciiTheme="minorEastAsia" w:hAnsiTheme="minorEastAsia"/>
                <w:sz w:val="24"/>
                <w:szCs w:val="24"/>
              </w:rPr>
            </w:pPr>
            <w:r>
              <w:rPr>
                <w:rFonts w:hint="eastAsia" w:cs="宋体" w:asciiTheme="minorEastAsia" w:hAnsiTheme="minorEastAsia"/>
                <w:color w:val="000000"/>
                <w:kern w:val="0"/>
                <w:sz w:val="22"/>
              </w:rPr>
              <w:t>一般公共服务支出</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cs="宋体" w:asciiTheme="minorEastAsia" w:hAnsiTheme="minorEastAsia"/>
                <w:sz w:val="24"/>
                <w:szCs w:val="24"/>
              </w:rPr>
            </w:pPr>
            <w:r>
              <w:rPr>
                <w:rFonts w:hint="eastAsia" w:cs="宋体" w:asciiTheme="minorEastAsia" w:hAnsiTheme="minorEastAsia"/>
                <w:color w:val="000000"/>
                <w:kern w:val="0"/>
                <w:sz w:val="22"/>
              </w:rPr>
              <w:t>18.48</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cs="宋体" w:asciiTheme="minorEastAsia" w:hAnsiTheme="minorEastAsia"/>
                <w:sz w:val="24"/>
                <w:szCs w:val="24"/>
              </w:rPr>
            </w:pPr>
            <w:r>
              <w:rPr>
                <w:rFonts w:hint="eastAsia" w:cs="宋体" w:asciiTheme="minorEastAsia" w:hAnsiTheme="minorEastAsia"/>
                <w:color w:val="000000"/>
                <w:kern w:val="0"/>
                <w:sz w:val="22"/>
              </w:rPr>
              <w:t>18.48</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r>
      <w:tr>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宋体" w:asciiTheme="minorEastAsia" w:hAnsiTheme="minorEastAsia"/>
                <w:sz w:val="24"/>
                <w:szCs w:val="24"/>
              </w:rPr>
            </w:pPr>
            <w:r>
              <w:rPr>
                <w:rFonts w:hint="eastAsia" w:cs="宋体" w:asciiTheme="minorEastAsia" w:hAnsiTheme="minorEastAsia"/>
                <w:color w:val="000000"/>
                <w:kern w:val="0"/>
                <w:sz w:val="22"/>
              </w:rPr>
              <w:t>20103</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宋体" w:asciiTheme="minorEastAsia" w:hAnsiTheme="minorEastAsia"/>
                <w:sz w:val="24"/>
                <w:szCs w:val="24"/>
              </w:rPr>
            </w:pPr>
            <w:r>
              <w:rPr>
                <w:rFonts w:hint="eastAsia" w:cs="宋体" w:asciiTheme="minorEastAsia" w:hAnsiTheme="minorEastAsia"/>
                <w:color w:val="000000"/>
                <w:kern w:val="0"/>
                <w:sz w:val="22"/>
              </w:rPr>
              <w:t>政府办公厅（室）及相关机构事务</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cs="宋体" w:asciiTheme="minorEastAsia" w:hAnsiTheme="minorEastAsia"/>
                <w:sz w:val="24"/>
                <w:szCs w:val="24"/>
              </w:rPr>
            </w:pPr>
            <w:r>
              <w:rPr>
                <w:rFonts w:hint="eastAsia" w:cs="宋体" w:asciiTheme="minorEastAsia" w:hAnsiTheme="minorEastAsia"/>
                <w:color w:val="000000"/>
                <w:kern w:val="0"/>
                <w:sz w:val="22"/>
              </w:rPr>
              <w:t>18.48</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cs="宋体" w:asciiTheme="minorEastAsia" w:hAnsiTheme="minorEastAsia"/>
                <w:sz w:val="24"/>
                <w:szCs w:val="24"/>
              </w:rPr>
            </w:pPr>
            <w:r>
              <w:rPr>
                <w:rFonts w:hint="eastAsia" w:cs="宋体" w:asciiTheme="minorEastAsia" w:hAnsiTheme="minorEastAsia"/>
                <w:color w:val="000000"/>
                <w:kern w:val="0"/>
                <w:sz w:val="22"/>
              </w:rPr>
              <w:t>18.48</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宋体" w:asciiTheme="minorEastAsia" w:hAnsiTheme="minorEastAsia"/>
                <w:sz w:val="24"/>
                <w:szCs w:val="24"/>
              </w:rPr>
            </w:pPr>
            <w:r>
              <w:rPr>
                <w:rFonts w:hint="eastAsia" w:cs="宋体" w:asciiTheme="minorEastAsia" w:hAnsiTheme="minorEastAsia"/>
                <w:color w:val="000000"/>
                <w:kern w:val="0"/>
                <w:sz w:val="22"/>
              </w:rPr>
              <w:t>2010399</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宋体" w:asciiTheme="minorEastAsia" w:hAnsiTheme="minorEastAsia"/>
                <w:sz w:val="24"/>
                <w:szCs w:val="24"/>
              </w:rPr>
            </w:pPr>
            <w:r>
              <w:rPr>
                <w:rFonts w:hint="eastAsia" w:cs="宋体" w:asciiTheme="minorEastAsia" w:hAnsiTheme="minorEastAsia"/>
                <w:color w:val="000000"/>
                <w:kern w:val="0"/>
                <w:sz w:val="22"/>
              </w:rPr>
              <w:t xml:space="preserve">  其他政府办公厅（室）及相关机构事务支出</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cs="宋体" w:asciiTheme="minorEastAsia" w:hAnsiTheme="minorEastAsia"/>
                <w:sz w:val="24"/>
                <w:szCs w:val="24"/>
              </w:rPr>
            </w:pPr>
            <w:r>
              <w:rPr>
                <w:rFonts w:hint="eastAsia" w:cs="宋体" w:asciiTheme="minorEastAsia" w:hAnsiTheme="minorEastAsia"/>
                <w:color w:val="000000"/>
                <w:kern w:val="0"/>
                <w:sz w:val="22"/>
              </w:rPr>
              <w:t>18.48</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cs="宋体" w:asciiTheme="minorEastAsia" w:hAnsiTheme="minorEastAsia"/>
                <w:sz w:val="24"/>
                <w:szCs w:val="24"/>
              </w:rPr>
            </w:pPr>
            <w:r>
              <w:rPr>
                <w:rFonts w:hint="eastAsia" w:cs="宋体" w:asciiTheme="minorEastAsia" w:hAnsiTheme="minorEastAsia"/>
                <w:color w:val="000000"/>
                <w:kern w:val="0"/>
                <w:sz w:val="22"/>
              </w:rPr>
              <w:t>18.48</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宋体" w:asciiTheme="minorEastAsia" w:hAnsiTheme="minorEastAsia"/>
                <w:sz w:val="24"/>
                <w:szCs w:val="24"/>
              </w:rPr>
            </w:pPr>
            <w:r>
              <w:rPr>
                <w:rFonts w:hint="eastAsia" w:cs="宋体" w:asciiTheme="minorEastAsia" w:hAnsiTheme="minorEastAsia"/>
                <w:color w:val="000000"/>
                <w:kern w:val="0"/>
                <w:sz w:val="22"/>
              </w:rPr>
              <w:t>207</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宋体" w:asciiTheme="minorEastAsia" w:hAnsiTheme="minorEastAsia"/>
                <w:sz w:val="24"/>
                <w:szCs w:val="24"/>
              </w:rPr>
            </w:pPr>
            <w:r>
              <w:rPr>
                <w:rFonts w:hint="eastAsia" w:cs="宋体" w:asciiTheme="minorEastAsia" w:hAnsiTheme="minorEastAsia"/>
                <w:color w:val="000000"/>
                <w:kern w:val="0"/>
                <w:sz w:val="22"/>
              </w:rPr>
              <w:t>文化旅游体育与传媒支出</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cs="宋体" w:asciiTheme="minorEastAsia" w:hAnsiTheme="minorEastAsia"/>
                <w:sz w:val="24"/>
                <w:szCs w:val="24"/>
              </w:rPr>
            </w:pPr>
            <w:r>
              <w:rPr>
                <w:rFonts w:hint="eastAsia" w:cs="宋体" w:asciiTheme="minorEastAsia" w:hAnsiTheme="minorEastAsia"/>
                <w:color w:val="000000"/>
                <w:kern w:val="0"/>
                <w:sz w:val="22"/>
              </w:rPr>
              <w:t>2,063.86</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cs="宋体" w:asciiTheme="minorEastAsia" w:hAnsiTheme="minorEastAsia"/>
                <w:sz w:val="24"/>
                <w:szCs w:val="24"/>
              </w:rPr>
            </w:pPr>
            <w:r>
              <w:rPr>
                <w:rFonts w:hint="eastAsia" w:cs="宋体" w:asciiTheme="minorEastAsia" w:hAnsiTheme="minorEastAsia"/>
                <w:color w:val="000000"/>
                <w:kern w:val="0"/>
                <w:sz w:val="22"/>
              </w:rPr>
              <w:t>2,063.86</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宋体" w:asciiTheme="minorEastAsia" w:hAnsiTheme="minorEastAsia"/>
                <w:sz w:val="24"/>
                <w:szCs w:val="24"/>
              </w:rPr>
            </w:pPr>
            <w:r>
              <w:rPr>
                <w:rFonts w:hint="eastAsia" w:cs="宋体" w:asciiTheme="minorEastAsia" w:hAnsiTheme="minorEastAsia"/>
                <w:color w:val="000000"/>
                <w:kern w:val="0"/>
                <w:sz w:val="22"/>
              </w:rPr>
              <w:t>20701</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cs="宋体" w:asciiTheme="minorEastAsia" w:hAnsiTheme="minorEastAsia"/>
                <w:sz w:val="24"/>
                <w:szCs w:val="24"/>
              </w:rPr>
            </w:pPr>
            <w:r>
              <w:rPr>
                <w:rFonts w:hint="eastAsia" w:cs="宋体" w:asciiTheme="minorEastAsia" w:hAnsiTheme="minorEastAsia"/>
                <w:color w:val="000000"/>
                <w:kern w:val="0"/>
                <w:sz w:val="22"/>
              </w:rPr>
              <w:t>文化和旅游</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cs="宋体" w:asciiTheme="minorEastAsia" w:hAnsiTheme="minorEastAsia"/>
                <w:sz w:val="24"/>
                <w:szCs w:val="24"/>
              </w:rPr>
            </w:pPr>
            <w:r>
              <w:rPr>
                <w:rFonts w:hint="eastAsia" w:cs="宋体" w:asciiTheme="minorEastAsia" w:hAnsiTheme="minorEastAsia"/>
                <w:color w:val="000000"/>
                <w:kern w:val="0"/>
                <w:sz w:val="22"/>
              </w:rPr>
              <w:t>175.79</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cs="宋体" w:asciiTheme="minorEastAsia" w:hAnsiTheme="minorEastAsia"/>
                <w:sz w:val="24"/>
                <w:szCs w:val="24"/>
              </w:rPr>
            </w:pPr>
            <w:r>
              <w:rPr>
                <w:rFonts w:hint="eastAsia" w:cs="宋体" w:asciiTheme="minorEastAsia" w:hAnsiTheme="minorEastAsia"/>
                <w:color w:val="000000"/>
                <w:kern w:val="0"/>
                <w:sz w:val="22"/>
              </w:rPr>
              <w:t>175.79</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cs="宋体" w:asciiTheme="minorEastAsia" w:hAnsiTheme="minorEastAsia"/>
                <w:sz w:val="24"/>
                <w:szCs w:val="24"/>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2070199</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 xml:space="preserve">  其他文化和旅游支出</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175.79</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175.79</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20708</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广播电视</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1,289.00</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1,289.00</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2070801</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 xml:space="preserve">  行政运行</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663.98</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663.98</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2070808</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 xml:space="preserve">  广播电视事务</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625.02</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625.02</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20799</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其他文化旅游体育与传媒支出</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599.06</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599.06</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2079999</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 xml:space="preserve">  其他文化旅游体育与传媒支出</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599.06</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599.06</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208</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社会保障和就业支出</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1.66</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1.66</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20808</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抚恤</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1.66</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1.66</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450" w:hRule="atLeast"/>
        </w:trPr>
        <w:tc>
          <w:tcPr>
            <w:tcW w:w="330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2080801</w:t>
            </w:r>
          </w:p>
        </w:tc>
        <w:tc>
          <w:tcPr>
            <w:tcW w:w="879"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widowControl/>
              <w:jc w:val="left"/>
              <w:textAlignment w:val="center"/>
              <w:rPr>
                <w:rFonts w:asciiTheme="minorEastAsia" w:hAnsiTheme="minorEastAsia"/>
              </w:rPr>
            </w:pPr>
            <w:r>
              <w:rPr>
                <w:rFonts w:hint="eastAsia" w:cs="宋体" w:asciiTheme="minorEastAsia" w:hAnsiTheme="minorEastAsia"/>
                <w:color w:val="000000"/>
                <w:kern w:val="0"/>
                <w:sz w:val="22"/>
              </w:rPr>
              <w:t xml:space="preserve">  死亡抚恤</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1.66</w:t>
            </w:r>
          </w:p>
        </w:tc>
        <w:tc>
          <w:tcPr>
            <w:tcW w:w="7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widowControl/>
              <w:jc w:val="right"/>
              <w:textAlignment w:val="center"/>
              <w:rPr>
                <w:rFonts w:asciiTheme="minorEastAsia" w:hAnsiTheme="minorEastAsia"/>
              </w:rPr>
            </w:pPr>
            <w:r>
              <w:rPr>
                <w:rFonts w:hint="eastAsia" w:cs="宋体" w:asciiTheme="minorEastAsia" w:hAnsiTheme="minorEastAsia"/>
                <w:color w:val="000000"/>
                <w:kern w:val="0"/>
                <w:sz w:val="22"/>
              </w:rPr>
              <w:t>1.66</w:t>
            </w:r>
          </w:p>
        </w:tc>
        <w:tc>
          <w:tcPr>
            <w:tcW w:w="1100" w:type="dxa"/>
            <w:gridSpan w:val="3"/>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800" w:type="dxa"/>
            <w:gridSpan w:val="2"/>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24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239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c>
          <w:tcPr>
            <w:tcW w:w="3215" w:type="dxa"/>
            <w:gridSpan w:val="4"/>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Theme="minorEastAsia" w:hAnsiTheme="minorEastAsia"/>
              </w:rPr>
            </w:pPr>
          </w:p>
        </w:tc>
      </w:tr>
      <w:tr>
        <w:tblPrEx>
          <w:tblCellMar>
            <w:top w:w="0" w:type="dxa"/>
            <w:left w:w="0" w:type="dxa"/>
            <w:bottom w:w="0" w:type="dxa"/>
            <w:right w:w="0" w:type="dxa"/>
          </w:tblCellMar>
        </w:tblPrEx>
        <w:trPr>
          <w:trHeight w:val="615" w:hRule="atLeast"/>
        </w:trPr>
        <w:tc>
          <w:tcPr>
            <w:tcW w:w="15428" w:type="dxa"/>
            <w:gridSpan w:val="16"/>
            <w:tcBorders>
              <w:top w:val="nil"/>
              <w:left w:val="nil"/>
              <w:bottom w:val="nil"/>
              <w:right w:val="nil"/>
            </w:tcBorders>
            <w:shd w:val="clear" w:color="auto" w:fill="auto"/>
            <w:tcMar>
              <w:top w:w="15" w:type="dxa"/>
              <w:left w:w="15" w:type="dxa"/>
              <w:bottom w:w="0" w:type="dxa"/>
              <w:right w:w="15" w:type="dxa"/>
            </w:tcMar>
            <w:vAlign w:val="center"/>
          </w:tcPr>
          <w:p>
            <w:pPr>
              <w:rPr>
                <w:rFonts w:cs="宋体" w:asciiTheme="minorEastAsia" w:hAnsiTheme="minorEastAsia"/>
                <w:sz w:val="24"/>
                <w:szCs w:val="24"/>
              </w:rPr>
            </w:pPr>
            <w:r>
              <w:rPr>
                <w:rFonts w:hint="eastAsia" w:asciiTheme="minorEastAsia" w:hAnsiTheme="minorEastAsia"/>
              </w:rPr>
              <w:t>注：本表反映部门本年度取得的各项收入情况。</w:t>
            </w:r>
          </w:p>
        </w:tc>
      </w:tr>
    </w:tbl>
    <w:p>
      <w:pPr>
        <w:widowControl/>
        <w:jc w:val="left"/>
        <w:rPr>
          <w:rFonts w:cs="Times New Roman" w:asciiTheme="minorEastAsia" w:hAnsiTheme="minorEastAsia"/>
          <w:bCs/>
          <w:kern w:val="0"/>
          <w:sz w:val="32"/>
          <w:szCs w:val="32"/>
        </w:rPr>
      </w:pPr>
      <w:r>
        <w:rPr>
          <w:rFonts w:cs="Times New Roman" w:asciiTheme="minorEastAsia" w:hAnsiTheme="minorEastAsia"/>
          <w:bCs/>
          <w:kern w:val="0"/>
          <w:sz w:val="32"/>
          <w:szCs w:val="32"/>
        </w:rPr>
        <w:t xml:space="preserve"> </w:t>
      </w:r>
      <w:r>
        <w:rPr>
          <w:rFonts w:cs="Times New Roman" w:asciiTheme="minorEastAsia" w:hAnsiTheme="minorEastAsia"/>
          <w:bCs/>
          <w:kern w:val="0"/>
          <w:sz w:val="32"/>
          <w:szCs w:val="32"/>
        </w:rPr>
        <w:br w:type="page"/>
      </w:r>
    </w:p>
    <w:p>
      <w:pPr>
        <w:widowControl/>
        <w:rPr>
          <w:rFonts w:cs="Times New Roman" w:asciiTheme="minorEastAsia" w:hAnsiTheme="minorEastAsia"/>
          <w:color w:val="000000"/>
          <w:kern w:val="0"/>
          <w:sz w:val="36"/>
          <w:szCs w:val="36"/>
        </w:rPr>
      </w:pPr>
    </w:p>
    <w:tbl>
      <w:tblPr>
        <w:tblStyle w:val="6"/>
        <w:tblW w:w="14093" w:type="dxa"/>
        <w:tblInd w:w="93" w:type="dxa"/>
        <w:tblLayout w:type="autofit"/>
        <w:tblCellMar>
          <w:top w:w="0" w:type="dxa"/>
          <w:left w:w="108" w:type="dxa"/>
          <w:bottom w:w="0" w:type="dxa"/>
          <w:right w:w="108" w:type="dxa"/>
        </w:tblCellMar>
      </w:tblPr>
      <w:tblGrid>
        <w:gridCol w:w="986"/>
        <w:gridCol w:w="804"/>
        <w:gridCol w:w="222"/>
        <w:gridCol w:w="1411"/>
        <w:gridCol w:w="1646"/>
        <w:gridCol w:w="137"/>
        <w:gridCol w:w="697"/>
        <w:gridCol w:w="232"/>
        <w:gridCol w:w="613"/>
        <w:gridCol w:w="1679"/>
        <w:gridCol w:w="1679"/>
        <w:gridCol w:w="1679"/>
        <w:gridCol w:w="123"/>
        <w:gridCol w:w="657"/>
        <w:gridCol w:w="1516"/>
        <w:gridCol w:w="12"/>
      </w:tblGrid>
      <w:tr>
        <w:trPr>
          <w:trHeight w:val="435" w:hRule="atLeast"/>
        </w:trPr>
        <w:tc>
          <w:tcPr>
            <w:tcW w:w="14093" w:type="dxa"/>
            <w:gridSpan w:val="16"/>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790"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79" w:type="dxa"/>
            <w:gridSpan w:val="4"/>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308" w:type="dxa"/>
            <w:gridSpan w:val="4"/>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公开03表</w:t>
            </w:r>
          </w:p>
        </w:tc>
      </w:tr>
      <w:tr>
        <w:tblPrEx>
          <w:tblCellMar>
            <w:top w:w="0" w:type="dxa"/>
            <w:left w:w="108" w:type="dxa"/>
            <w:bottom w:w="0" w:type="dxa"/>
            <w:right w:w="108" w:type="dxa"/>
          </w:tblCellMar>
        </w:tblPrEx>
        <w:trPr>
          <w:gridAfter w:val="1"/>
          <w:wAfter w:w="12" w:type="dxa"/>
          <w:trHeight w:val="300" w:hRule="atLeast"/>
        </w:trPr>
        <w:tc>
          <w:tcPr>
            <w:tcW w:w="5206" w:type="dxa"/>
            <w:gridSpan w:val="6"/>
            <w:tcBorders>
              <w:top w:val="nil"/>
              <w:left w:val="nil"/>
              <w:bottom w:val="nil"/>
              <w:right w:val="nil"/>
            </w:tcBorders>
            <w:shd w:val="clear" w:color="000000" w:fill="FFFFFF"/>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部门：</w:t>
            </w: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道县广播电视台</w:t>
            </w:r>
          </w:p>
        </w:tc>
        <w:tc>
          <w:tcPr>
            <w:tcW w:w="697"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73" w:type="dxa"/>
            <w:gridSpan w:val="5"/>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本年支出合计</w:t>
            </w:r>
          </w:p>
        </w:tc>
        <w:tc>
          <w:tcPr>
            <w:tcW w:w="1679"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经营支出</w:t>
            </w:r>
          </w:p>
        </w:tc>
        <w:tc>
          <w:tcPr>
            <w:tcW w:w="2308" w:type="dxa"/>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对附属单位补助支出</w:t>
            </w:r>
          </w:p>
        </w:tc>
      </w:tr>
      <w:tr>
        <w:tblPrEx>
          <w:tblCellMar>
            <w:top w:w="0" w:type="dxa"/>
            <w:left w:w="108" w:type="dxa"/>
            <w:bottom w:w="0" w:type="dxa"/>
            <w:right w:w="108" w:type="dxa"/>
          </w:tblCellMar>
        </w:tblPrEx>
        <w:trPr>
          <w:trHeight w:val="450" w:hRule="atLeast"/>
        </w:trPr>
        <w:tc>
          <w:tcPr>
            <w:tcW w:w="2012"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6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230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201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679"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2308"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栏次</w:t>
            </w:r>
          </w:p>
        </w:tc>
        <w:tc>
          <w:tcPr>
            <w:tcW w:w="164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w:t>
            </w:r>
          </w:p>
        </w:tc>
        <w:tc>
          <w:tcPr>
            <w:tcW w:w="1679" w:type="dxa"/>
            <w:gridSpan w:val="4"/>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5</w:t>
            </w:r>
          </w:p>
        </w:tc>
        <w:tc>
          <w:tcPr>
            <w:tcW w:w="2308" w:type="dxa"/>
            <w:gridSpan w:val="4"/>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6</w:t>
            </w:r>
          </w:p>
        </w:tc>
      </w:tr>
      <w:tr>
        <w:tblPrEx>
          <w:tblCellMar>
            <w:top w:w="0" w:type="dxa"/>
            <w:left w:w="108" w:type="dxa"/>
            <w:bottom w:w="0" w:type="dxa"/>
            <w:right w:w="108" w:type="dxa"/>
          </w:tblCellMar>
        </w:tblPrEx>
        <w:trPr>
          <w:trHeight w:val="450" w:hRule="atLeast"/>
        </w:trPr>
        <w:tc>
          <w:tcPr>
            <w:tcW w:w="3423"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合计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b/>
                <w:bCs/>
                <w:color w:val="000000"/>
                <w:kern w:val="0"/>
                <w:sz w:val="22"/>
              </w:rPr>
              <w:t>2,083.99</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b/>
                <w:bCs/>
                <w:color w:val="000000"/>
                <w:kern w:val="0"/>
                <w:sz w:val="22"/>
              </w:rPr>
              <w:t>1,133.07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b/>
                <w:bCs/>
                <w:color w:val="000000"/>
                <w:kern w:val="0"/>
                <w:sz w:val="22"/>
              </w:rPr>
              <w:t>950.92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18.48</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18.48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20103</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18.48</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18.48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2010399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 xml:space="preserve">  其他政府办公厅（室）及相关机构事务支出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18.48</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18.48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207</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2,063.86</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1,112.94</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950.92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20701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文化和旅游</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175.79</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175.79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2070199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 xml:space="preserve">  其他文化和旅游支出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175.79</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175.79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20708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广播电视</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1,289.00</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729.98</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559.02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2070801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663.98</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663.98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2070808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 xml:space="preserve">  广播电视事务</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625.02</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66.00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559.02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20799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其他文化旅游体育与传媒支出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599.06</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207.16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391.90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2079999</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 xml:space="preserve">  其他文化旅游体育与传媒支出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599.06</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207.16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391.90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社会保障和就业支出</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1.66</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1.66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20808</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1.66</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1.66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2080801</w:t>
            </w:r>
          </w:p>
        </w:tc>
        <w:tc>
          <w:tcPr>
            <w:tcW w:w="2437" w:type="dxa"/>
            <w:gridSpan w:val="3"/>
            <w:tcBorders>
              <w:top w:val="nil"/>
              <w:left w:val="nil"/>
              <w:bottom w:val="single" w:color="auto" w:sz="4" w:space="0"/>
              <w:right w:val="single" w:color="auto" w:sz="4" w:space="0"/>
            </w:tcBorders>
            <w:shd w:val="clear" w:color="000000" w:fill="FFFFFF"/>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 xml:space="preserve">  死亡抚恤</w:t>
            </w:r>
          </w:p>
        </w:tc>
        <w:tc>
          <w:tcPr>
            <w:tcW w:w="164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1.66</w:t>
            </w:r>
          </w:p>
        </w:tc>
        <w:tc>
          <w:tcPr>
            <w:tcW w:w="1679" w:type="dxa"/>
            <w:gridSpan w:val="4"/>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1.66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c>
          <w:tcPr>
            <w:tcW w:w="2308" w:type="dxa"/>
            <w:gridSpan w:val="4"/>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630" w:hRule="atLeast"/>
        </w:trPr>
        <w:tc>
          <w:tcPr>
            <w:tcW w:w="14093" w:type="dxa"/>
            <w:gridSpan w:val="16"/>
            <w:tcBorders>
              <w:top w:val="nil"/>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注：本表反映部门本年度各项支出情况。</w:t>
            </w:r>
          </w:p>
        </w:tc>
      </w:tr>
    </w:tbl>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p>
      <w:pPr>
        <w:widowControl/>
        <w:ind w:left="93"/>
        <w:jc w:val="center"/>
        <w:rPr>
          <w:rFonts w:cs="Times New Roman" w:asciiTheme="minorEastAsia" w:hAnsiTheme="minorEastAsia"/>
          <w:color w:val="000000"/>
          <w:kern w:val="0"/>
          <w:sz w:val="36"/>
          <w:szCs w:val="21"/>
        </w:rPr>
      </w:pPr>
    </w:p>
    <w:tbl>
      <w:tblPr>
        <w:tblStyle w:val="6"/>
        <w:tblW w:w="15521" w:type="dxa"/>
        <w:tblInd w:w="93" w:type="dxa"/>
        <w:tblLayout w:type="autofit"/>
        <w:tblCellMar>
          <w:top w:w="0" w:type="dxa"/>
          <w:left w:w="108" w:type="dxa"/>
          <w:bottom w:w="0" w:type="dxa"/>
          <w:right w:w="108" w:type="dxa"/>
        </w:tblCellMar>
      </w:tblPr>
      <w:tblGrid>
        <w:gridCol w:w="3590"/>
        <w:gridCol w:w="436"/>
        <w:gridCol w:w="1096"/>
        <w:gridCol w:w="84"/>
        <w:gridCol w:w="412"/>
        <w:gridCol w:w="285"/>
        <w:gridCol w:w="232"/>
        <w:gridCol w:w="2394"/>
        <w:gridCol w:w="631"/>
        <w:gridCol w:w="435"/>
        <w:gridCol w:w="1571"/>
        <w:gridCol w:w="742"/>
        <w:gridCol w:w="650"/>
        <w:gridCol w:w="7"/>
        <w:gridCol w:w="1385"/>
        <w:gridCol w:w="131"/>
        <w:gridCol w:w="1440"/>
      </w:tblGrid>
      <w:tr>
        <w:tblPrEx>
          <w:tblCellMar>
            <w:top w:w="0" w:type="dxa"/>
            <w:left w:w="108" w:type="dxa"/>
            <w:bottom w:w="0" w:type="dxa"/>
            <w:right w:w="108" w:type="dxa"/>
          </w:tblCellMar>
        </w:tblPrEx>
        <w:trPr>
          <w:trHeight w:val="285" w:hRule="atLeast"/>
        </w:trPr>
        <w:tc>
          <w:tcPr>
            <w:tcW w:w="3590" w:type="dxa"/>
            <w:tcBorders>
              <w:top w:val="nil"/>
              <w:left w:val="nil"/>
              <w:bottom w:val="nil"/>
              <w:right w:val="nil"/>
            </w:tcBorders>
            <w:shd w:val="clear" w:color="auto" w:fill="auto"/>
            <w:noWrap/>
            <w:vAlign w:val="center"/>
          </w:tcPr>
          <w:p>
            <w:pPr>
              <w:widowControl/>
              <w:jc w:val="left"/>
              <w:rPr>
                <w:rFonts w:cs="宋体" w:asciiTheme="minorEastAsia" w:hAnsiTheme="minorEastAsia"/>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592" w:type="dxa"/>
            <w:gridSpan w:val="3"/>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3542" w:type="dxa"/>
            <w:gridSpan w:val="4"/>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392" w:type="dxa"/>
            <w:gridSpan w:val="2"/>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392" w:type="dxa"/>
            <w:gridSpan w:val="2"/>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c>
          <w:tcPr>
            <w:tcW w:w="1571" w:type="dxa"/>
            <w:gridSpan w:val="2"/>
            <w:tcBorders>
              <w:top w:val="nil"/>
              <w:left w:val="nil"/>
              <w:bottom w:val="nil"/>
              <w:right w:val="nil"/>
            </w:tcBorders>
            <w:shd w:val="clear" w:color="auto" w:fill="auto"/>
            <w:noWrap/>
            <w:vAlign w:val="center"/>
          </w:tcPr>
          <w:p>
            <w:pPr>
              <w:widowControl/>
              <w:jc w:val="righ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360" w:hRule="atLeast"/>
        </w:trPr>
        <w:tc>
          <w:tcPr>
            <w:tcW w:w="15521" w:type="dxa"/>
            <w:gridSpan w:val="17"/>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 w:val="32"/>
                <w:szCs w:val="32"/>
              </w:rPr>
            </w:pPr>
            <w:r>
              <w:rPr>
                <w:rFonts w:hint="eastAsia" w:cs="宋体" w:asciiTheme="minorEastAsia" w:hAnsiTheme="minorEastAsia"/>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0"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096"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038" w:type="dxa"/>
            <w:gridSpan w:val="6"/>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2"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392"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71"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公开04表</w:t>
            </w:r>
          </w:p>
        </w:tc>
      </w:tr>
      <w:tr>
        <w:tblPrEx>
          <w:tblCellMar>
            <w:top w:w="0" w:type="dxa"/>
            <w:left w:w="108" w:type="dxa"/>
            <w:bottom w:w="0" w:type="dxa"/>
            <w:right w:w="108" w:type="dxa"/>
          </w:tblCellMar>
        </w:tblPrEx>
        <w:trPr>
          <w:gridAfter w:val="1"/>
          <w:wAfter w:w="1440" w:type="dxa"/>
          <w:trHeight w:val="300" w:hRule="atLeast"/>
        </w:trPr>
        <w:tc>
          <w:tcPr>
            <w:tcW w:w="5206" w:type="dxa"/>
            <w:gridSpan w:val="4"/>
            <w:tcBorders>
              <w:top w:val="nil"/>
              <w:left w:val="nil"/>
              <w:bottom w:val="nil"/>
              <w:right w:val="nil"/>
            </w:tcBorders>
            <w:shd w:val="clear" w:color="000000" w:fill="FFFFFF"/>
            <w:noWrap/>
            <w:vAlign w:val="center"/>
          </w:tcPr>
          <w:p>
            <w:pPr>
              <w:widowControl/>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部门：</w:t>
            </w: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道县广播电视台</w:t>
            </w:r>
          </w:p>
        </w:tc>
        <w:tc>
          <w:tcPr>
            <w:tcW w:w="697"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73" w:type="dxa"/>
            <w:gridSpan w:val="5"/>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57"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16" w:type="dxa"/>
            <w:gridSpan w:val="2"/>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2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收入</w:t>
            </w:r>
          </w:p>
        </w:tc>
        <w:tc>
          <w:tcPr>
            <w:tcW w:w="10399" w:type="dxa"/>
            <w:gridSpan w:val="1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支出</w:t>
            </w:r>
          </w:p>
        </w:tc>
      </w:tr>
      <w:tr>
        <w:tblPrEx>
          <w:tblCellMar>
            <w:top w:w="0" w:type="dxa"/>
            <w:left w:w="108" w:type="dxa"/>
            <w:bottom w:w="0" w:type="dxa"/>
            <w:right w:w="108" w:type="dxa"/>
          </w:tblCellMar>
        </w:tblPrEx>
        <w:trPr>
          <w:trHeight w:val="630"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金额</w:t>
            </w: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0"/>
                <w:szCs w:val="20"/>
              </w:rPr>
            </w:pPr>
            <w:r>
              <w:rPr>
                <w:rFonts w:hint="eastAsia" w:cs="宋体" w:asciiTheme="minorEastAsia" w:hAnsiTheme="minorEastAsia"/>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1392"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一般公共预算财政拨款</w:t>
            </w:r>
          </w:p>
        </w:tc>
        <w:tc>
          <w:tcPr>
            <w:tcW w:w="1392"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政府性基金预算财政拨款</w:t>
            </w:r>
          </w:p>
        </w:tc>
        <w:tc>
          <w:tcPr>
            <w:tcW w:w="1571" w:type="dxa"/>
            <w:gridSpan w:val="2"/>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kern w:val="0"/>
                <w:sz w:val="24"/>
                <w:szCs w:val="24"/>
              </w:rPr>
            </w:pPr>
          </w:p>
        </w:tc>
        <w:tc>
          <w:tcPr>
            <w:tcW w:w="109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1</w:t>
            </w: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栏次</w:t>
            </w:r>
          </w:p>
        </w:tc>
        <w:tc>
          <w:tcPr>
            <w:tcW w:w="1066" w:type="dxa"/>
            <w:gridSpan w:val="2"/>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kern w:val="0"/>
                <w:sz w:val="24"/>
                <w:szCs w:val="24"/>
              </w:rPr>
            </w:pP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2</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3</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4</w:t>
            </w:r>
          </w:p>
        </w:tc>
        <w:tc>
          <w:tcPr>
            <w:tcW w:w="1571"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5</w:t>
            </w: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2,083.99</w:t>
            </w: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33</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18.48</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18.48</w:t>
            </w: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6</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7</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4"/>
                <w:szCs w:val="24"/>
              </w:rPr>
            </w:pPr>
            <w:r>
              <w:rPr>
                <w:rFonts w:hint="eastAsia" w:cs="宋体" w:asciiTheme="minorEastAsia" w:hAnsiTheme="minorEastAsia"/>
                <w:color w:val="000000"/>
                <w:kern w:val="0"/>
                <w:sz w:val="22"/>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39</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2,063.86</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2,063.86</w:t>
            </w: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8</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40</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1.66</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1.66</w:t>
            </w: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9</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41</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10</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11</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12</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13</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14</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15</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16</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17</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49</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18</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19</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51</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20</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21</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22</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54</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23</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55</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center"/>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24</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56</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25</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57</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26</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58</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b/>
                <w:bCs/>
                <w:kern w:val="0"/>
                <w:sz w:val="22"/>
              </w:rPr>
            </w:pPr>
            <w:r>
              <w:rPr>
                <w:rFonts w:hint="eastAsia" w:cs="宋体" w:asciiTheme="minorEastAsia" w:hAnsiTheme="minorEastAsia"/>
                <w:b/>
                <w:bCs/>
                <w:color w:val="000000"/>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27</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2,083.99</w:t>
            </w: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b/>
                <w:bCs/>
                <w:kern w:val="0"/>
                <w:sz w:val="22"/>
              </w:rPr>
            </w:pPr>
            <w:r>
              <w:rPr>
                <w:rFonts w:hint="eastAsia" w:cs="宋体" w:asciiTheme="minorEastAsia" w:hAnsiTheme="minorEastAsia"/>
                <w:b/>
                <w:bCs/>
                <w:color w:val="000000"/>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59</w:t>
            </w:r>
          </w:p>
        </w:tc>
        <w:tc>
          <w:tcPr>
            <w:tcW w:w="1571"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2,083.99</w:t>
            </w:r>
          </w:p>
        </w:tc>
        <w:tc>
          <w:tcPr>
            <w:tcW w:w="1392" w:type="dxa"/>
            <w:gridSpan w:val="2"/>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2,083.99</w:t>
            </w: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b/>
                <w:bCs/>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28</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60</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29</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61</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30</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62</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kern w:val="0"/>
                <w:sz w:val="22"/>
              </w:rPr>
            </w:pPr>
            <w:r>
              <w:rPr>
                <w:rFonts w:hint="eastAsia" w:cs="宋体" w:asciiTheme="minorEastAsia" w:hAnsiTheme="minorEastAsia"/>
                <w:color w:val="000000"/>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31</w:t>
            </w:r>
          </w:p>
        </w:tc>
        <w:tc>
          <w:tcPr>
            <w:tcW w:w="1096"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3407" w:type="dxa"/>
            <w:gridSpan w:val="5"/>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kern w:val="0"/>
                <w:sz w:val="22"/>
              </w:rPr>
            </w:pP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63</w:t>
            </w:r>
          </w:p>
        </w:tc>
        <w:tc>
          <w:tcPr>
            <w:tcW w:w="1571"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kern w:val="0"/>
                <w:sz w:val="22"/>
              </w:rPr>
            </w:pPr>
          </w:p>
        </w:tc>
      </w:tr>
      <w:tr>
        <w:tblPrEx>
          <w:tblCellMar>
            <w:top w:w="0" w:type="dxa"/>
            <w:left w:w="108" w:type="dxa"/>
            <w:bottom w:w="0" w:type="dxa"/>
            <w:right w:w="108" w:type="dxa"/>
          </w:tblCellMar>
        </w:tblPrEx>
        <w:trPr>
          <w:trHeight w:val="402" w:hRule="atLeast"/>
        </w:trPr>
        <w:tc>
          <w:tcPr>
            <w:tcW w:w="359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b/>
                <w:bCs/>
                <w:kern w:val="0"/>
                <w:sz w:val="22"/>
              </w:rPr>
            </w:pPr>
            <w:r>
              <w:rPr>
                <w:rFonts w:hint="eastAsia" w:cs="宋体" w:asciiTheme="minorEastAsia" w:hAnsiTheme="minorEastAsia"/>
                <w:b/>
                <w:bCs/>
                <w:color w:val="000000"/>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32</w:t>
            </w:r>
          </w:p>
        </w:tc>
        <w:tc>
          <w:tcPr>
            <w:tcW w:w="1096"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2,083.99</w:t>
            </w:r>
          </w:p>
        </w:tc>
        <w:tc>
          <w:tcPr>
            <w:tcW w:w="3407" w:type="dxa"/>
            <w:gridSpan w:val="5"/>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b/>
                <w:bCs/>
                <w:kern w:val="0"/>
                <w:sz w:val="22"/>
              </w:rPr>
            </w:pPr>
            <w:r>
              <w:rPr>
                <w:rFonts w:hint="eastAsia" w:cs="宋体" w:asciiTheme="minorEastAsia" w:hAnsiTheme="minorEastAsia"/>
                <w:b/>
                <w:bCs/>
                <w:color w:val="000000"/>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textAlignment w:val="center"/>
              <w:rPr>
                <w:rFonts w:cs="宋体" w:asciiTheme="minorEastAsia" w:hAnsiTheme="minorEastAsia"/>
                <w:kern w:val="0"/>
                <w:sz w:val="22"/>
              </w:rPr>
            </w:pPr>
            <w:r>
              <w:rPr>
                <w:rFonts w:hint="eastAsia" w:cs="宋体" w:asciiTheme="minorEastAsia" w:hAnsiTheme="minorEastAsia"/>
                <w:color w:val="000000"/>
                <w:kern w:val="0"/>
                <w:sz w:val="22"/>
              </w:rPr>
              <w:t>64</w:t>
            </w:r>
          </w:p>
        </w:tc>
        <w:tc>
          <w:tcPr>
            <w:tcW w:w="1571" w:type="dxa"/>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2,083.99</w:t>
            </w:r>
          </w:p>
        </w:tc>
        <w:tc>
          <w:tcPr>
            <w:tcW w:w="1392" w:type="dxa"/>
            <w:gridSpan w:val="2"/>
            <w:tcBorders>
              <w:top w:val="nil"/>
              <w:left w:val="nil"/>
              <w:bottom w:val="single" w:color="auto" w:sz="4" w:space="0"/>
              <w:right w:val="single" w:color="auto" w:sz="4" w:space="0"/>
            </w:tcBorders>
            <w:shd w:val="clear" w:color="000000" w:fill="FFFFFF"/>
            <w:noWrap/>
            <w:vAlign w:val="center"/>
          </w:tcPr>
          <w:p>
            <w:pPr>
              <w:widowControl/>
              <w:jc w:val="right"/>
              <w:textAlignment w:val="center"/>
              <w:rPr>
                <w:rFonts w:cs="宋体" w:asciiTheme="minorEastAsia" w:hAnsiTheme="minorEastAsia"/>
                <w:kern w:val="0"/>
                <w:sz w:val="22"/>
              </w:rPr>
            </w:pPr>
            <w:r>
              <w:rPr>
                <w:rFonts w:hint="eastAsia" w:cs="宋体" w:asciiTheme="minorEastAsia" w:hAnsiTheme="minorEastAsia"/>
                <w:color w:val="000000"/>
                <w:kern w:val="0"/>
                <w:sz w:val="22"/>
              </w:rPr>
              <w:t>2,083.99</w:t>
            </w:r>
          </w:p>
        </w:tc>
        <w:tc>
          <w:tcPr>
            <w:tcW w:w="1392"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b/>
                <w:bCs/>
                <w:kern w:val="0"/>
                <w:sz w:val="22"/>
              </w:rPr>
            </w:pPr>
          </w:p>
        </w:tc>
        <w:tc>
          <w:tcPr>
            <w:tcW w:w="1571" w:type="dxa"/>
            <w:gridSpan w:val="2"/>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b/>
                <w:bCs/>
                <w:kern w:val="0"/>
                <w:sz w:val="22"/>
              </w:rPr>
            </w:pPr>
          </w:p>
        </w:tc>
      </w:tr>
      <w:tr>
        <w:tblPrEx>
          <w:tblCellMar>
            <w:top w:w="0" w:type="dxa"/>
            <w:left w:w="108" w:type="dxa"/>
            <w:bottom w:w="0" w:type="dxa"/>
            <w:right w:w="108" w:type="dxa"/>
          </w:tblCellMar>
        </w:tblPrEx>
        <w:trPr>
          <w:trHeight w:val="585" w:hRule="atLeast"/>
        </w:trPr>
        <w:tc>
          <w:tcPr>
            <w:tcW w:w="15521" w:type="dxa"/>
            <w:gridSpan w:val="17"/>
            <w:tcBorders>
              <w:top w:val="nil"/>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p>
    <w:p>
      <w:pPr>
        <w:widowControl/>
        <w:jc w:val="center"/>
        <w:rPr>
          <w:rFonts w:hint="eastAsia"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p>
    <w:p>
      <w:pPr>
        <w:widowControl/>
        <w:jc w:val="center"/>
        <w:rPr>
          <w:rFonts w:cs="Times New Roman" w:asciiTheme="minorEastAsia" w:hAnsiTheme="minorEastAsia"/>
          <w:kern w:val="0"/>
          <w:sz w:val="36"/>
          <w:szCs w:val="36"/>
        </w:rPr>
      </w:pPr>
      <w:r>
        <w:rPr>
          <w:rFonts w:cs="Times New Roman" w:asciiTheme="minorEastAsia" w:hAnsiTheme="minorEastAsia"/>
          <w:kern w:val="0"/>
          <w:sz w:val="36"/>
          <w:szCs w:val="36"/>
        </w:rPr>
        <w:t>一般公共预算财政拨款支出决算表</w:t>
      </w:r>
      <w:bookmarkEnd w:id="1"/>
    </w:p>
    <w:p>
      <w:pPr>
        <w:widowControl/>
        <w:spacing w:beforeLines="50"/>
        <w:jc w:val="left"/>
        <w:rPr>
          <w:rFonts w:cs="Times New Roman" w:asciiTheme="minorEastAsia" w:hAnsiTheme="minorEastAsia"/>
          <w:color w:val="000000"/>
          <w:kern w:val="0"/>
          <w:szCs w:val="21"/>
        </w:rPr>
      </w:pP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公开05表</w:t>
      </w:r>
    </w:p>
    <w:tbl>
      <w:tblPr>
        <w:tblStyle w:val="6"/>
        <w:tblW w:w="14081" w:type="dxa"/>
        <w:tblInd w:w="93" w:type="dxa"/>
        <w:tblLayout w:type="autofit"/>
        <w:tblCellMar>
          <w:top w:w="0" w:type="dxa"/>
          <w:left w:w="108" w:type="dxa"/>
          <w:bottom w:w="0" w:type="dxa"/>
          <w:right w:w="108" w:type="dxa"/>
        </w:tblCellMar>
      </w:tblPr>
      <w:tblGrid>
        <w:gridCol w:w="986"/>
        <w:gridCol w:w="979"/>
        <w:gridCol w:w="3241"/>
        <w:gridCol w:w="697"/>
        <w:gridCol w:w="232"/>
        <w:gridCol w:w="1913"/>
        <w:gridCol w:w="3293"/>
        <w:gridCol w:w="567"/>
        <w:gridCol w:w="657"/>
        <w:gridCol w:w="1516"/>
      </w:tblGrid>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ind w:firstLine="700" w:firstLineChars="350"/>
              <w:jc w:val="lef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部门：</w:t>
            </w:r>
            <w:r>
              <w:rPr>
                <w:rFonts w:cs="宋体" w:asciiTheme="minorEastAsia" w:hAnsiTheme="minorEastAsia"/>
                <w:color w:val="000000"/>
                <w:kern w:val="0"/>
                <w:sz w:val="20"/>
                <w:szCs w:val="20"/>
              </w:rPr>
              <w:t xml:space="preserve"> </w:t>
            </w:r>
            <w:r>
              <w:rPr>
                <w:rFonts w:hint="eastAsia" w:cs="宋体" w:asciiTheme="minorEastAsia" w:hAnsiTheme="minorEastAsia"/>
                <w:color w:val="000000"/>
                <w:kern w:val="0"/>
                <w:sz w:val="20"/>
                <w:szCs w:val="20"/>
              </w:rPr>
              <w:t>道县广播电视台</w:t>
            </w:r>
          </w:p>
        </w:tc>
        <w:tc>
          <w:tcPr>
            <w:tcW w:w="697"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cs="宋体" w:asciiTheme="minorEastAsia" w:hAnsiTheme="minorEastAsia"/>
                <w:color w:val="000000"/>
                <w:kern w:val="0"/>
                <w:sz w:val="20"/>
                <w:szCs w:val="20"/>
              </w:rPr>
            </w:pPr>
            <w:r>
              <w:rPr>
                <w:rFonts w:hint="eastAsia" w:cs="宋体" w:asciiTheme="minorEastAsia" w:hAnsiTheme="minorEastAsia"/>
                <w:color w:val="000000"/>
                <w:kern w:val="0"/>
                <w:sz w:val="20"/>
                <w:szCs w:val="20"/>
              </w:rPr>
              <w:t>单位：万元</w:t>
            </w:r>
          </w:p>
        </w:tc>
      </w:tr>
      <w:tr>
        <w:tblPrEx>
          <w:tblCellMar>
            <w:top w:w="0" w:type="dxa"/>
            <w:left w:w="108" w:type="dxa"/>
            <w:bottom w:w="0" w:type="dxa"/>
            <w:right w:w="108" w:type="dxa"/>
          </w:tblCellMar>
        </w:tblPrEx>
        <w:trPr>
          <w:trHeight w:val="405" w:hRule="atLeast"/>
          <w:jc w:val="center"/>
        </w:trPr>
        <w:tc>
          <w:tcPr>
            <w:tcW w:w="5260"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8959" w:type="dxa"/>
            <w:gridSpan w:val="7"/>
            <w:tcBorders>
              <w:top w:val="single" w:color="auto" w:sz="8" w:space="0"/>
              <w:left w:val="nil"/>
              <w:bottom w:val="single" w:color="auto" w:sz="4" w:space="0"/>
              <w:right w:val="single" w:color="000000" w:sz="8"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r>
      <w:tr>
        <w:tblPrEx>
          <w:tblCellMar>
            <w:top w:w="0" w:type="dxa"/>
            <w:left w:w="108" w:type="dxa"/>
            <w:bottom w:w="0" w:type="dxa"/>
            <w:right w:w="108" w:type="dxa"/>
          </w:tblCellMar>
        </w:tblPrEx>
        <w:trPr>
          <w:trHeight w:val="495" w:hRule="atLeast"/>
          <w:jc w:val="center"/>
        </w:trPr>
        <w:tc>
          <w:tcPr>
            <w:tcW w:w="1965"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329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2842" w:type="dxa"/>
            <w:gridSpan w:val="3"/>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329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基本支出</w:t>
            </w:r>
          </w:p>
        </w:tc>
        <w:tc>
          <w:tcPr>
            <w:tcW w:w="2824" w:type="dxa"/>
            <w:gridSpan w:val="3"/>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r>
      <w:tr>
        <w:tblPrEx>
          <w:tblCellMar>
            <w:top w:w="0" w:type="dxa"/>
            <w:left w:w="108" w:type="dxa"/>
            <w:bottom w:w="0" w:type="dxa"/>
            <w:right w:w="108" w:type="dxa"/>
          </w:tblCellMar>
        </w:tblPrEx>
        <w:trPr>
          <w:trHeight w:val="360" w:hRule="atLeast"/>
          <w:jc w:val="center"/>
        </w:trPr>
        <w:tc>
          <w:tcPr>
            <w:tcW w:w="196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2842"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3293"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2824" w:type="dxa"/>
            <w:gridSpan w:val="3"/>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1965"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3295" w:type="dxa"/>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2842" w:type="dxa"/>
            <w:gridSpan w:val="3"/>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3293"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2824" w:type="dxa"/>
            <w:gridSpan w:val="3"/>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526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栏次</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w:t>
            </w:r>
          </w:p>
        </w:tc>
        <w:tc>
          <w:tcPr>
            <w:tcW w:w="3293"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w:t>
            </w:r>
          </w:p>
        </w:tc>
        <w:tc>
          <w:tcPr>
            <w:tcW w:w="2824" w:type="dxa"/>
            <w:gridSpan w:val="3"/>
            <w:tcBorders>
              <w:top w:val="nil"/>
              <w:left w:val="nil"/>
              <w:bottom w:val="single" w:color="auto" w:sz="4" w:space="0"/>
              <w:right w:val="single" w:color="auto" w:sz="8" w:space="0"/>
            </w:tcBorders>
            <w:shd w:val="clear" w:color="auto" w:fill="auto"/>
            <w:vAlign w:val="center"/>
          </w:tcPr>
          <w:p>
            <w:pPr>
              <w:widowControl/>
              <w:jc w:val="center"/>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3</w:t>
            </w:r>
          </w:p>
        </w:tc>
      </w:tr>
      <w:tr>
        <w:tblPrEx>
          <w:tblCellMar>
            <w:top w:w="0" w:type="dxa"/>
            <w:left w:w="108" w:type="dxa"/>
            <w:bottom w:w="0" w:type="dxa"/>
            <w:right w:w="108" w:type="dxa"/>
          </w:tblCellMar>
        </w:tblPrEx>
        <w:trPr>
          <w:trHeight w:val="450" w:hRule="atLeast"/>
          <w:jc w:val="center"/>
        </w:trPr>
        <w:tc>
          <w:tcPr>
            <w:tcW w:w="5260"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合计</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b/>
                <w:bCs/>
                <w:color w:val="000000"/>
                <w:kern w:val="0"/>
                <w:sz w:val="22"/>
              </w:rPr>
              <w:t>2,083.99</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b/>
                <w:bCs/>
                <w:color w:val="000000"/>
                <w:kern w:val="0"/>
                <w:sz w:val="22"/>
              </w:rPr>
              <w:t>1,133.07</w:t>
            </w:r>
          </w:p>
        </w:tc>
        <w:tc>
          <w:tcPr>
            <w:tcW w:w="2824" w:type="dxa"/>
            <w:gridSpan w:val="3"/>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b/>
                <w:bCs/>
                <w:color w:val="000000"/>
                <w:kern w:val="0"/>
                <w:sz w:val="22"/>
              </w:rPr>
              <w:t>950.92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201</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一般公共服务支出</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18.48</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18.48</w:t>
            </w:r>
          </w:p>
        </w:tc>
        <w:tc>
          <w:tcPr>
            <w:tcW w:w="2824" w:type="dxa"/>
            <w:gridSpan w:val="3"/>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20103</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政府办公厅（室）及相关机构事务</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18.48</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18.48</w:t>
            </w:r>
          </w:p>
        </w:tc>
        <w:tc>
          <w:tcPr>
            <w:tcW w:w="2824" w:type="dxa"/>
            <w:gridSpan w:val="3"/>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2010399</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 xml:space="preserve">  其他政府办公厅（室）及相关机构事务支出</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18.48</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18.48</w:t>
            </w:r>
          </w:p>
        </w:tc>
        <w:tc>
          <w:tcPr>
            <w:tcW w:w="2824" w:type="dxa"/>
            <w:gridSpan w:val="3"/>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207</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文化旅游体育与传媒支出</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2,063.86</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1,112.94</w:t>
            </w:r>
          </w:p>
        </w:tc>
        <w:tc>
          <w:tcPr>
            <w:tcW w:w="2824" w:type="dxa"/>
            <w:gridSpan w:val="3"/>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950.92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20701</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文化和旅游</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175.79</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175.79</w:t>
            </w:r>
          </w:p>
        </w:tc>
        <w:tc>
          <w:tcPr>
            <w:tcW w:w="2824" w:type="dxa"/>
            <w:gridSpan w:val="3"/>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2070199</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 xml:space="preserve">  其他文化和旅游支出</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175.79</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175.79</w:t>
            </w:r>
          </w:p>
        </w:tc>
        <w:tc>
          <w:tcPr>
            <w:tcW w:w="2824" w:type="dxa"/>
            <w:gridSpan w:val="3"/>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20708</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广播电视</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1,289.00</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729.98</w:t>
            </w:r>
          </w:p>
        </w:tc>
        <w:tc>
          <w:tcPr>
            <w:tcW w:w="2824" w:type="dxa"/>
            <w:gridSpan w:val="3"/>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559.02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2070801</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 xml:space="preserve">  行政运行</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663.98</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663.98</w:t>
            </w:r>
          </w:p>
        </w:tc>
        <w:tc>
          <w:tcPr>
            <w:tcW w:w="2824" w:type="dxa"/>
            <w:gridSpan w:val="3"/>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2070808</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 xml:space="preserve">  广播电视事务</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625.02</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66.00</w:t>
            </w:r>
          </w:p>
        </w:tc>
        <w:tc>
          <w:tcPr>
            <w:tcW w:w="2824" w:type="dxa"/>
            <w:gridSpan w:val="3"/>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559.02</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20799</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其他文化旅游体育与传媒支出</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599.06</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207.16</w:t>
            </w:r>
          </w:p>
        </w:tc>
        <w:tc>
          <w:tcPr>
            <w:tcW w:w="2824" w:type="dxa"/>
            <w:gridSpan w:val="3"/>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391.90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2079999</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 xml:space="preserve">  其他文化旅游体育与传媒支出</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599.06</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207.16</w:t>
            </w:r>
          </w:p>
        </w:tc>
        <w:tc>
          <w:tcPr>
            <w:tcW w:w="2824" w:type="dxa"/>
            <w:gridSpan w:val="3"/>
            <w:tcBorders>
              <w:top w:val="nil"/>
              <w:left w:val="nil"/>
              <w:bottom w:val="single" w:color="auto" w:sz="4"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391.90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208</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社会保障和就业支出</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1.66</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1.66</w:t>
            </w:r>
          </w:p>
        </w:tc>
        <w:tc>
          <w:tcPr>
            <w:tcW w:w="2824" w:type="dxa"/>
            <w:gridSpan w:val="3"/>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20808</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抚恤</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1.66</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1.66</w:t>
            </w:r>
          </w:p>
        </w:tc>
        <w:tc>
          <w:tcPr>
            <w:tcW w:w="2824" w:type="dxa"/>
            <w:gridSpan w:val="3"/>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2080801</w:t>
            </w:r>
          </w:p>
        </w:tc>
        <w:tc>
          <w:tcPr>
            <w:tcW w:w="4274" w:type="dxa"/>
            <w:gridSpan w:val="2"/>
            <w:tcBorders>
              <w:top w:val="nil"/>
              <w:left w:val="nil"/>
              <w:bottom w:val="single" w:color="auto" w:sz="4" w:space="0"/>
              <w:right w:val="single" w:color="auto" w:sz="4" w:space="0"/>
            </w:tcBorders>
            <w:shd w:val="clear" w:color="auto" w:fill="auto"/>
            <w:vAlign w:val="center"/>
          </w:tcPr>
          <w:p>
            <w:pPr>
              <w:widowControl/>
              <w:jc w:val="lef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 xml:space="preserve">  死亡抚恤</w:t>
            </w:r>
          </w:p>
        </w:tc>
        <w:tc>
          <w:tcPr>
            <w:tcW w:w="2842" w:type="dxa"/>
            <w:gridSpan w:val="3"/>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1.66</w:t>
            </w:r>
          </w:p>
        </w:tc>
        <w:tc>
          <w:tcPr>
            <w:tcW w:w="3293" w:type="dxa"/>
            <w:tcBorders>
              <w:top w:val="nil"/>
              <w:left w:val="nil"/>
              <w:bottom w:val="single" w:color="auto" w:sz="4"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1.66</w:t>
            </w:r>
          </w:p>
        </w:tc>
        <w:tc>
          <w:tcPr>
            <w:tcW w:w="2824" w:type="dxa"/>
            <w:gridSpan w:val="3"/>
            <w:tcBorders>
              <w:top w:val="nil"/>
              <w:left w:val="nil"/>
              <w:bottom w:val="single" w:color="auto" w:sz="4" w:space="0"/>
              <w:right w:val="single" w:color="auto" w:sz="8" w:space="0"/>
            </w:tcBorders>
            <w:shd w:val="clear" w:color="auto" w:fill="auto"/>
            <w:vAlign w:val="center"/>
          </w:tcPr>
          <w:p>
            <w:pPr>
              <w:jc w:val="right"/>
              <w:rPr>
                <w:rFonts w:cs="Times New Roman" w:asciiTheme="minorEastAsia" w:hAnsiTheme="minorEastAsia"/>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10"/>
            <w:tcBorders>
              <w:top w:val="nil"/>
              <w:left w:val="nil"/>
              <w:bottom w:val="nil"/>
              <w:right w:val="nil"/>
            </w:tcBorders>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注：本表反映部门本年度一般公共预算财政拨款支出情况。</w:t>
            </w:r>
          </w:p>
        </w:tc>
      </w:tr>
    </w:tbl>
    <w:p>
      <w:pPr>
        <w:widowControl/>
        <w:jc w:val="left"/>
        <w:rPr>
          <w:rFonts w:cs="Times New Roman" w:asciiTheme="minorEastAsia" w:hAnsiTheme="minorEastAsia"/>
          <w:bCs/>
          <w:kern w:val="0"/>
          <w:szCs w:val="21"/>
        </w:rPr>
      </w:pPr>
    </w:p>
    <w:p>
      <w:pPr>
        <w:widowControl/>
        <w:jc w:val="left"/>
        <w:rPr>
          <w:rFonts w:cs="Times New Roman" w:asciiTheme="minorEastAsia" w:hAnsiTheme="minorEastAsia"/>
          <w:bCs/>
          <w:kern w:val="0"/>
          <w:szCs w:val="21"/>
        </w:rPr>
      </w:pPr>
      <w:r>
        <w:rPr>
          <w:rFonts w:cs="Times New Roman" w:asciiTheme="minorEastAsia" w:hAnsiTheme="minorEastAsia"/>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286"/>
        <w:gridCol w:w="3208"/>
        <w:gridCol w:w="849"/>
        <w:gridCol w:w="1177"/>
        <w:gridCol w:w="2213"/>
        <w:gridCol w:w="849"/>
        <w:gridCol w:w="1178"/>
        <w:gridCol w:w="4005"/>
        <w:gridCol w:w="849"/>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cs="宋体" w:asciiTheme="minorEastAsia" w:hAnsiTheme="minorEastAsia"/>
                <w:color w:val="000000"/>
                <w:kern w:val="0"/>
                <w:szCs w:val="32"/>
              </w:rPr>
            </w:pPr>
            <w:bookmarkStart w:id="2" w:name="RANGE!A1:I34"/>
            <w:r>
              <w:rPr>
                <w:rFonts w:hint="eastAsia" w:cs="宋体" w:asciiTheme="minorEastAsia" w:hAnsiTheme="minorEastAsia"/>
                <w:color w:val="000000"/>
                <w:kern w:val="0"/>
                <w:szCs w:val="32"/>
              </w:rPr>
              <w:t>一般公共预算财政拨款基本支出决算明细表</w:t>
            </w:r>
            <w:bookmarkEnd w:id="2"/>
          </w:p>
          <w:p>
            <w:pPr>
              <w:widowControl/>
              <w:wordWrap w:val="0"/>
              <w:jc w:val="right"/>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部门：</w:t>
            </w:r>
            <w:r>
              <w:rPr>
                <w:rFonts w:hint="eastAsia" w:cs="Times New Roman" w:asciiTheme="minorEastAsia" w:hAnsiTheme="minorEastAsia"/>
                <w:color w:val="000000"/>
                <w:kern w:val="0"/>
                <w:szCs w:val="21"/>
              </w:rPr>
              <w:t>道县广播电视台</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公开06表</w:t>
            </w:r>
          </w:p>
          <w:p>
            <w:pPr>
              <w:widowControl/>
              <w:jc w:val="right"/>
              <w:rPr>
                <w:rFonts w:cs="宋体" w:asciiTheme="minorEastAsia" w:hAnsiTheme="minorEastAsia"/>
                <w:color w:val="000000"/>
                <w:kern w:val="0"/>
                <w:szCs w:val="32"/>
              </w:rPr>
            </w:pPr>
            <w:r>
              <w:rPr>
                <w:rFonts w:hint="eastAsia" w:cs="Times New Roman" w:asciiTheme="minorEastAsia" w:hAnsiTheme="minorEastAsia"/>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0"/>
              </w:rPr>
            </w:pPr>
            <w:r>
              <w:rPr>
                <w:rFonts w:hint="eastAsia" w:cs="宋体" w:asciiTheme="minorEastAsia" w:hAnsiTheme="minorEastAsia"/>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995.92</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商品和服务支出</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135.49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债务利息及费用支出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基本工资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256.96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30201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办公费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15.09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30701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国内债务付息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津贴补贴</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39.05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30202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印刷费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30702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国外债务付息</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奖金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118.80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30203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咨询费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46.50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伙食补助费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12.40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30204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手续费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0.45</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31001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房屋建筑物购建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绩效工资</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141.89</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30205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水费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2.80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31002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办公设备购置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机关事业单位基本养老保险缴费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174.11</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30206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10.31</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31003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专用设备购置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职业年金缴费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66.60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30207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邮电费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1.50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31005</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基础设施建设</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职工基本医疗保险缴费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86.15</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30208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取暖费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大型修缮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公务员医疗补助缴费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30209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物业管理费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信息网络及软件购置更新</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其他社会保障缴费</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4.50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30211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差旅费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4.27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物资储备</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住房公积金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85.46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30212</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因公出国（境）费用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31009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土地补偿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医疗费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30213</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维修（护）费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31010</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安置补助</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其他工资福利支出</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10.00</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30214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租赁费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5.79</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31011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地上附着物和青苗补偿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1.66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30215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会议费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1.17</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31012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拆迁补偿</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离休费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30216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培训费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0.88</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31013</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公务用车购置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退休费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30217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公务接待费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11.94</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31019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其他交通工具购置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退职（役）费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30218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专用材料费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31021</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文物和陈列品购置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抚恤金</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1.66</w:t>
            </w: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30224</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被装购置费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31022</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无形资产购置</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生活补助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30225</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专用燃料费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0.80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31099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其他资本性支出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救济费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30226</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劳务费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8.00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医疗费补助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30227</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委托业务费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39906</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赠与</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助学金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30228</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工会经费</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25.00</w:t>
            </w: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39907</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国家赔偿费用支出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奖励金</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30229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福利费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39908</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对民间非营利组织和群众性自治组织补贴</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个人农业生产补贴</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30231</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公务用车运行维护费</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39999</w:t>
            </w:r>
          </w:p>
        </w:tc>
        <w:tc>
          <w:tcPr>
            <w:tcW w:w="420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其他支出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代缴社会保险费</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30239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其他交通费用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其他对个人和家庭的补助</w:t>
            </w: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30240</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税金及附加费用</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jc w:val="left"/>
              <w:rPr>
                <w:rFonts w:cs="宋体" w:asciiTheme="minorEastAsia" w:hAnsiTheme="minorEastAsia"/>
                <w:color w:val="000000"/>
                <w:kern w:val="0"/>
                <w:szCs w:val="20"/>
              </w:rPr>
            </w:pPr>
          </w:p>
        </w:tc>
        <w:tc>
          <w:tcPr>
            <w:tcW w:w="3366" w:type="dxa"/>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color w:val="000000"/>
                <w:kern w:val="0"/>
                <w:szCs w:val="20"/>
              </w:rPr>
            </w:pPr>
          </w:p>
        </w:tc>
        <w:tc>
          <w:tcPr>
            <w:tcW w:w="647"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30299</w:t>
            </w:r>
          </w:p>
        </w:tc>
        <w:tc>
          <w:tcPr>
            <w:tcW w:w="2316"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 xml:space="preserve">  其他商品和服务支出</w:t>
            </w: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c>
          <w:tcPr>
            <w:tcW w:w="1223" w:type="dxa"/>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color w:val="000000"/>
                <w:kern w:val="0"/>
                <w:szCs w:val="18"/>
              </w:rPr>
            </w:pPr>
          </w:p>
        </w:tc>
        <w:tc>
          <w:tcPr>
            <w:tcW w:w="4206" w:type="dxa"/>
            <w:tcBorders>
              <w:top w:val="nil"/>
              <w:left w:val="nil"/>
              <w:bottom w:val="single" w:color="auto" w:sz="4" w:space="0"/>
              <w:right w:val="single" w:color="auto" w:sz="4" w:space="0"/>
            </w:tcBorders>
            <w:shd w:val="clear" w:color="auto" w:fill="auto"/>
            <w:noWrap/>
            <w:vAlign w:val="center"/>
          </w:tcPr>
          <w:p>
            <w:pPr>
              <w:jc w:val="left"/>
              <w:rPr>
                <w:rFonts w:cs="宋体" w:asciiTheme="minorEastAsia" w:hAnsiTheme="minorEastAsia"/>
                <w:color w:val="000000"/>
                <w:kern w:val="0"/>
                <w:szCs w:val="18"/>
              </w:rPr>
            </w:pPr>
          </w:p>
        </w:tc>
        <w:tc>
          <w:tcPr>
            <w:tcW w:w="648" w:type="dxa"/>
            <w:tcBorders>
              <w:top w:val="nil"/>
              <w:left w:val="nil"/>
              <w:bottom w:val="single" w:color="auto" w:sz="4" w:space="0"/>
              <w:right w:val="single" w:color="auto" w:sz="4" w:space="0"/>
            </w:tcBorders>
            <w:shd w:val="clear" w:color="auto" w:fill="auto"/>
            <w:noWrap/>
            <w:vAlign w:val="center"/>
          </w:tcPr>
          <w:p>
            <w:pPr>
              <w:jc w:val="right"/>
              <w:rPr>
                <w:rFonts w:cs="宋体" w:asciiTheme="minorEastAsia" w:hAnsiTheme="minorEastAsia"/>
                <w:color w:val="000000"/>
                <w:kern w:val="0"/>
                <w:szCs w:val="20"/>
              </w:rPr>
            </w:pPr>
          </w:p>
        </w:tc>
      </w:tr>
      <w:tr>
        <w:tblPrEx>
          <w:tblCellMar>
            <w:top w:w="0" w:type="dxa"/>
            <w:left w:w="108" w:type="dxa"/>
            <w:bottom w:w="0" w:type="dxa"/>
            <w:right w:w="108" w:type="dxa"/>
          </w:tblCellMar>
        </w:tblPrEx>
        <w:trPr>
          <w:trHeight w:val="284" w:hRule="exact"/>
        </w:trPr>
        <w:tc>
          <w:tcPr>
            <w:tcW w:w="4704"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人员经费合计</w:t>
            </w:r>
          </w:p>
        </w:tc>
        <w:tc>
          <w:tcPr>
            <w:tcW w:w="647"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997.58</w:t>
            </w:r>
          </w:p>
        </w:tc>
        <w:tc>
          <w:tcPr>
            <w:tcW w:w="961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cs="宋体" w:asciiTheme="minorEastAsia" w:hAnsiTheme="minorEastAsia"/>
                <w:color w:val="000000"/>
                <w:kern w:val="0"/>
                <w:szCs w:val="20"/>
              </w:rPr>
            </w:pPr>
            <w:r>
              <w:rPr>
                <w:rFonts w:hint="eastAsia" w:cs="宋体" w:asciiTheme="minorEastAsia" w:hAnsiTheme="minorEastAsia"/>
                <w:color w:val="000000"/>
                <w:kern w:val="0"/>
                <w:sz w:val="22"/>
              </w:rPr>
              <w:t>公用经费合计</w:t>
            </w:r>
          </w:p>
        </w:tc>
        <w:tc>
          <w:tcPr>
            <w:tcW w:w="648" w:type="dxa"/>
            <w:tcBorders>
              <w:top w:val="nil"/>
              <w:left w:val="nil"/>
              <w:bottom w:val="single" w:color="auto" w:sz="4" w:space="0"/>
              <w:right w:val="single" w:color="auto" w:sz="4" w:space="0"/>
            </w:tcBorders>
            <w:shd w:val="clear" w:color="auto" w:fill="auto"/>
            <w:noWrap/>
            <w:vAlign w:val="center"/>
          </w:tcPr>
          <w:p>
            <w:pPr>
              <w:widowControl/>
              <w:jc w:val="right"/>
              <w:textAlignment w:val="center"/>
              <w:rPr>
                <w:rFonts w:cs="宋体" w:asciiTheme="minorEastAsia" w:hAnsiTheme="minorEastAsia"/>
                <w:color w:val="000000"/>
                <w:kern w:val="0"/>
                <w:szCs w:val="18"/>
              </w:rPr>
            </w:pPr>
            <w:r>
              <w:rPr>
                <w:rFonts w:hint="eastAsia" w:cs="宋体" w:asciiTheme="minorEastAsia" w:hAnsiTheme="minorEastAsia"/>
                <w:color w:val="000000"/>
                <w:kern w:val="0"/>
                <w:sz w:val="22"/>
              </w:rPr>
              <w:t>135.49</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cs="宋体" w:asciiTheme="minorEastAsia" w:hAnsiTheme="minorEastAsia"/>
                <w:color w:val="000000"/>
                <w:kern w:val="0"/>
                <w:szCs w:val="24"/>
              </w:rPr>
            </w:pPr>
            <w:r>
              <w:rPr>
                <w:rFonts w:hint="eastAsia" w:cs="宋体" w:asciiTheme="minorEastAsia" w:hAnsiTheme="minorEastAsia"/>
                <w:color w:val="000000"/>
                <w:kern w:val="0"/>
                <w:szCs w:val="24"/>
              </w:rPr>
              <w:t>注：本表反映部门本年度一般公共预算财政拨款基本支出明细情况。</w:t>
            </w:r>
          </w:p>
        </w:tc>
      </w:tr>
    </w:tbl>
    <w:p>
      <w:pPr>
        <w:widowControl/>
        <w:jc w:val="center"/>
        <w:rPr>
          <w:rFonts w:cs="Times New Roman" w:asciiTheme="minorEastAsia" w:hAnsiTheme="minorEastAsia"/>
          <w:color w:val="000000"/>
          <w:kern w:val="0"/>
          <w:sz w:val="36"/>
          <w:szCs w:val="36"/>
        </w:rPr>
      </w:pPr>
      <w:r>
        <w:rPr>
          <w:rFonts w:hint="eastAsia" w:cs="Times New Roman" w:asciiTheme="minorEastAsia" w:hAnsiTheme="minorEastAsia"/>
          <w:color w:val="000000"/>
          <w:kern w:val="0"/>
          <w:sz w:val="36"/>
          <w:szCs w:val="36"/>
        </w:rPr>
        <w:t>一般公共预算财政拨款“三公”经费支出决算表</w:t>
      </w:r>
    </w:p>
    <w:p>
      <w:pPr>
        <w:widowControl/>
        <w:ind w:left="13965" w:hanging="13965" w:hangingChars="6650"/>
        <w:jc w:val="left"/>
        <w:rPr>
          <w:rFonts w:cs="Times New Roman" w:asciiTheme="minorEastAsia" w:hAnsiTheme="minorEastAsia"/>
          <w:color w:val="000000"/>
          <w:kern w:val="0"/>
          <w:szCs w:val="21"/>
        </w:rPr>
      </w:pPr>
      <w:r>
        <w:rPr>
          <w:rFonts w:cs="Times New Roman" w:asciiTheme="minorEastAsia" w:hAnsiTheme="minorEastAsia"/>
          <w:color w:val="000000"/>
          <w:kern w:val="0"/>
          <w:szCs w:val="21"/>
        </w:rPr>
        <w:t>部门：</w:t>
      </w:r>
      <w:r>
        <w:rPr>
          <w:rFonts w:hint="eastAsia" w:cs="Times New Roman" w:asciiTheme="minorEastAsia" w:hAnsiTheme="minorEastAsia"/>
          <w:color w:val="000000"/>
          <w:kern w:val="0"/>
          <w:szCs w:val="21"/>
        </w:rPr>
        <w:t>道县广播电视台</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公开0</w:t>
      </w:r>
      <w:r>
        <w:rPr>
          <w:rFonts w:hint="eastAsia" w:cs="Times New Roman" w:asciiTheme="minorEastAsia" w:hAnsiTheme="minorEastAsia"/>
          <w:color w:val="000000"/>
          <w:kern w:val="0"/>
          <w:szCs w:val="21"/>
        </w:rPr>
        <w:t>7</w:t>
      </w:r>
      <w:r>
        <w:rPr>
          <w:rFonts w:cs="Times New Roman" w:asciiTheme="minorEastAsia" w:hAnsiTheme="minorEastAsia"/>
          <w:color w:val="000000"/>
          <w:kern w:val="0"/>
          <w:szCs w:val="21"/>
        </w:rPr>
        <w:t>表</w:t>
      </w:r>
    </w:p>
    <w:p>
      <w:pPr>
        <w:widowControl/>
        <w:ind w:right="420"/>
        <w:jc w:val="right"/>
        <w:rPr>
          <w:rFonts w:cs="Times New Roman" w:asciiTheme="minorEastAsia" w:hAnsiTheme="minorEastAsia"/>
          <w:color w:val="000000"/>
          <w:kern w:val="0"/>
          <w:szCs w:val="21"/>
        </w:rPr>
      </w:pPr>
      <w:r>
        <w:rPr>
          <w:rFonts w:cs="Times New Roman" w:asciiTheme="minorEastAsia" w:hAnsiTheme="minorEastAsia"/>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cs="Times New Roman" w:asciiTheme="minorEastAsia" w:hAnsiTheme="minorEastAsia"/>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公务用车</w:t>
            </w:r>
          </w:p>
          <w:p>
            <w:pPr>
              <w:widowControl/>
              <w:jc w:val="center"/>
              <w:rPr>
                <w:rFonts w:cs="Times New Roman" w:asciiTheme="minorEastAsia" w:hAnsiTheme="minorEastAsia"/>
                <w:kern w:val="0"/>
                <w:szCs w:val="21"/>
              </w:rPr>
            </w:pPr>
            <w:r>
              <w:rPr>
                <w:rFonts w:cs="Times New Roman" w:asciiTheme="minorEastAsia" w:hAnsiTheme="minorEastAsia"/>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cs="Times New Roman" w:asciiTheme="minorEastAsia" w:hAnsiTheme="minorEastAsia"/>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27.50</w:t>
            </w:r>
          </w:p>
        </w:tc>
        <w:tc>
          <w:tcPr>
            <w:tcW w:w="1220" w:type="dxa"/>
            <w:tcBorders>
              <w:top w:val="nil"/>
              <w:left w:val="nil"/>
              <w:bottom w:val="single" w:color="auto" w:sz="8"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5.50</w:t>
            </w:r>
          </w:p>
        </w:tc>
        <w:tc>
          <w:tcPr>
            <w:tcW w:w="1220" w:type="dxa"/>
            <w:tcBorders>
              <w:top w:val="nil"/>
              <w:left w:val="nil"/>
              <w:bottom w:val="single" w:color="auto" w:sz="8"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5.50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22.00</w:t>
            </w: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23.48</w:t>
            </w:r>
          </w:p>
        </w:tc>
        <w:tc>
          <w:tcPr>
            <w:tcW w:w="1220" w:type="dxa"/>
            <w:tcBorders>
              <w:top w:val="nil"/>
              <w:left w:val="nil"/>
              <w:bottom w:val="single" w:color="auto" w:sz="8"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5.50</w:t>
            </w:r>
          </w:p>
        </w:tc>
        <w:tc>
          <w:tcPr>
            <w:tcW w:w="1220" w:type="dxa"/>
            <w:tcBorders>
              <w:top w:val="nil"/>
              <w:left w:val="nil"/>
              <w:bottom w:val="single" w:color="auto" w:sz="8" w:space="0"/>
              <w:right w:val="single" w:color="auto" w:sz="4" w:space="0"/>
            </w:tcBorders>
            <w:shd w:val="clear" w:color="auto" w:fill="auto"/>
            <w:vAlign w:val="center"/>
          </w:tcPr>
          <w:p>
            <w:pPr>
              <w:jc w:val="right"/>
              <w:rPr>
                <w:rFonts w:cs="Times New Roman" w:asciiTheme="minorEastAsia" w:hAnsiTheme="minorEastAsia"/>
                <w:kern w:val="0"/>
                <w:szCs w:val="21"/>
              </w:rPr>
            </w:pPr>
          </w:p>
        </w:tc>
        <w:tc>
          <w:tcPr>
            <w:tcW w:w="1220" w:type="dxa"/>
            <w:tcBorders>
              <w:top w:val="nil"/>
              <w:left w:val="nil"/>
              <w:bottom w:val="single" w:color="auto" w:sz="8" w:space="0"/>
              <w:right w:val="nil"/>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5.50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right"/>
              <w:textAlignment w:val="center"/>
              <w:rPr>
                <w:rFonts w:cs="Times New Roman" w:asciiTheme="minorEastAsia" w:hAnsiTheme="minorEastAsia"/>
                <w:kern w:val="0"/>
                <w:szCs w:val="21"/>
              </w:rPr>
            </w:pPr>
            <w:r>
              <w:rPr>
                <w:rFonts w:hint="eastAsia" w:cs="宋体" w:asciiTheme="minorEastAsia" w:hAnsiTheme="minorEastAsia"/>
                <w:color w:val="000000"/>
                <w:kern w:val="0"/>
                <w:sz w:val="22"/>
              </w:rPr>
              <w:t>17.98</w:t>
            </w:r>
          </w:p>
        </w:tc>
      </w:tr>
    </w:tbl>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cs="宋体" w:asciiTheme="minorEastAsia" w:hAnsiTheme="minorEastAsia"/>
          <w:kern w:val="0"/>
          <w:sz w:val="24"/>
          <w:szCs w:val="24"/>
        </w:rPr>
        <w:br w:type="page"/>
      </w:r>
    </w:p>
    <w:p>
      <w:pPr>
        <w:autoSpaceDE w:val="0"/>
        <w:autoSpaceDN w:val="0"/>
        <w:adjustRightInd w:val="0"/>
        <w:ind w:left="315" w:leftChars="150"/>
        <w:jc w:val="left"/>
        <w:rPr>
          <w:rFonts w:cs="宋体" w:asciiTheme="minorEastAsia" w:hAnsiTheme="minorEastAsia"/>
          <w:kern w:val="0"/>
          <w:sz w:val="24"/>
          <w:szCs w:val="24"/>
        </w:rPr>
      </w:pPr>
    </w:p>
    <w:p>
      <w:pPr>
        <w:widowControl/>
        <w:jc w:val="center"/>
        <w:rPr>
          <w:rFonts w:cs="Times New Roman" w:asciiTheme="minorEastAsia" w:hAnsiTheme="minorEastAsia"/>
          <w:kern w:val="0"/>
          <w:sz w:val="36"/>
          <w:szCs w:val="36"/>
        </w:rPr>
      </w:pPr>
      <w:r>
        <w:rPr>
          <w:rFonts w:cs="Times New Roman" w:asciiTheme="minorEastAsia" w:hAnsiTheme="minorEastAsia"/>
          <w:kern w:val="0"/>
          <w:sz w:val="36"/>
          <w:szCs w:val="36"/>
        </w:rPr>
        <w:t>政府性基金预算财政拨款收入支出决算表</w:t>
      </w:r>
    </w:p>
    <w:p>
      <w:pPr>
        <w:widowControl/>
        <w:wordWrap w:val="0"/>
        <w:jc w:val="right"/>
        <w:rPr>
          <w:rFonts w:cs="Times New Roman" w:asciiTheme="minorEastAsia" w:hAnsiTheme="minorEastAsia"/>
          <w:color w:val="000000"/>
          <w:kern w:val="0"/>
          <w:szCs w:val="21"/>
        </w:rPr>
      </w:pPr>
      <w:r>
        <w:rPr>
          <w:rFonts w:cs="Times New Roman" w:asciiTheme="minorEastAsia" w:hAnsiTheme="minorEastAsia"/>
          <w:color w:val="000000"/>
          <w:kern w:val="0"/>
          <w:szCs w:val="21"/>
        </w:rPr>
        <w:t>部门：</w:t>
      </w:r>
      <w:r>
        <w:rPr>
          <w:rFonts w:hint="eastAsia" w:cs="Times New Roman" w:asciiTheme="minorEastAsia" w:hAnsiTheme="minorEastAsia"/>
          <w:color w:val="000000"/>
          <w:kern w:val="0"/>
          <w:szCs w:val="21"/>
        </w:rPr>
        <w:t>道县广播电视台</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公开08表</w:t>
      </w:r>
    </w:p>
    <w:p>
      <w:pPr>
        <w:widowControl/>
        <w:ind w:right="420"/>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项 </w:t>
            </w:r>
            <w:r>
              <w:rPr>
                <w:rFonts w:cs="Times New Roman" w:asciiTheme="minorEastAsia" w:hAnsiTheme="minorEastAsia"/>
                <w:b/>
                <w:color w:val="000000"/>
                <w:kern w:val="0"/>
                <w:szCs w:val="21"/>
              </w:rPr>
              <w:t xml:space="preserve">   </w:t>
            </w:r>
            <w:r>
              <w:rPr>
                <w:rFonts w:cs="Times New Roman" w:asciiTheme="minorEastAsia" w:hAnsiTheme="minorEastAsia"/>
                <w:b/>
                <w:kern w:val="0"/>
                <w:szCs w:val="21"/>
              </w:rPr>
              <w:t>目</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年初结转和结余</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本年收入</w:t>
            </w:r>
          </w:p>
        </w:tc>
        <w:tc>
          <w:tcPr>
            <w:tcW w:w="6000" w:type="dxa"/>
            <w:gridSpan w:val="3"/>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本年支出</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功能分类科目编码</w:t>
            </w:r>
          </w:p>
        </w:tc>
        <w:tc>
          <w:tcPr>
            <w:tcW w:w="132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科目名称</w:t>
            </w:r>
          </w:p>
        </w:tc>
        <w:tc>
          <w:tcPr>
            <w:tcW w:w="2000" w:type="dxa"/>
            <w:vMerge w:val="continue"/>
            <w:vAlign w:val="center"/>
          </w:tcPr>
          <w:p>
            <w:pPr>
              <w:widowControl/>
              <w:jc w:val="left"/>
              <w:rPr>
                <w:rFonts w:cs="Times New Roman" w:asciiTheme="minorEastAsia" w:hAnsiTheme="minorEastAsia"/>
                <w:b/>
                <w:kern w:val="0"/>
                <w:szCs w:val="21"/>
              </w:rPr>
            </w:pPr>
          </w:p>
        </w:tc>
        <w:tc>
          <w:tcPr>
            <w:tcW w:w="2000" w:type="dxa"/>
            <w:vMerge w:val="continue"/>
            <w:vAlign w:val="center"/>
          </w:tcPr>
          <w:p>
            <w:pPr>
              <w:widowControl/>
              <w:jc w:val="left"/>
              <w:rPr>
                <w:rFonts w:cs="Times New Roman" w:asciiTheme="minorEastAsia" w:hAnsiTheme="minorEastAsia"/>
                <w:b/>
                <w:kern w:val="0"/>
                <w:szCs w:val="21"/>
              </w:rPr>
            </w:pP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小计</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 xml:space="preserve">基本支出  </w:t>
            </w:r>
          </w:p>
        </w:tc>
        <w:tc>
          <w:tcPr>
            <w:tcW w:w="2000" w:type="dxa"/>
            <w:vMerge w:val="restart"/>
            <w:shd w:val="clear" w:color="auto" w:fill="auto"/>
            <w:vAlign w:val="center"/>
          </w:tcPr>
          <w:p>
            <w:pPr>
              <w:widowControl/>
              <w:jc w:val="center"/>
              <w:rPr>
                <w:rFonts w:cs="Times New Roman" w:asciiTheme="minorEastAsia" w:hAnsiTheme="minorEastAsia"/>
                <w:b/>
                <w:kern w:val="0"/>
                <w:szCs w:val="21"/>
              </w:rPr>
            </w:pPr>
            <w:r>
              <w:rPr>
                <w:rFonts w:cs="Times New Roman" w:asciiTheme="minorEastAsia" w:hAnsiTheme="minorEastAsia"/>
                <w:b/>
                <w:kern w:val="0"/>
                <w:szCs w:val="21"/>
              </w:rPr>
              <w:t>项目支出</w:t>
            </w:r>
          </w:p>
        </w:tc>
        <w:tc>
          <w:tcPr>
            <w:tcW w:w="2000" w:type="dxa"/>
            <w:vMerge w:val="continue"/>
            <w:vAlign w:val="center"/>
          </w:tcPr>
          <w:p>
            <w:pPr>
              <w:widowControl/>
              <w:jc w:val="left"/>
              <w:rPr>
                <w:rFonts w:cs="Times New Roman" w:asciiTheme="minorEastAsia" w:hAnsiTheme="minorEastAsia"/>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cs="Times New Roman" w:asciiTheme="minorEastAsia" w:hAnsiTheme="minorEastAsia"/>
                <w:kern w:val="0"/>
                <w:szCs w:val="21"/>
              </w:rPr>
            </w:pPr>
          </w:p>
        </w:tc>
        <w:tc>
          <w:tcPr>
            <w:tcW w:w="132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cs="Times New Roman" w:asciiTheme="minorEastAsia" w:hAnsiTheme="minorEastAsia"/>
                <w:kern w:val="0"/>
                <w:szCs w:val="21"/>
              </w:rPr>
            </w:pPr>
          </w:p>
        </w:tc>
        <w:tc>
          <w:tcPr>
            <w:tcW w:w="132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c>
          <w:tcPr>
            <w:tcW w:w="2000" w:type="dxa"/>
            <w:vMerge w:val="continue"/>
            <w:vAlign w:val="center"/>
          </w:tcPr>
          <w:p>
            <w:pPr>
              <w:widowControl/>
              <w:jc w:val="left"/>
              <w:rPr>
                <w:rFonts w:cs="Times New Roman" w:asciiTheme="minorEastAsia" w:hAnsiTheme="minorEastAsia"/>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栏次</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1</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2</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3</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4</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5</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合计</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cs="Times New Roman" w:asciiTheme="minorEastAsia" w:hAnsiTheme="minorEastAsia"/>
                <w:kern w:val="0"/>
                <w:szCs w:val="21"/>
              </w:rPr>
            </w:pPr>
            <w:r>
              <w:rPr>
                <w:rFonts w:cs="Times New Roman" w:asciiTheme="minorEastAsia" w:hAnsiTheme="minorEastAsia"/>
                <w:kern w:val="0"/>
                <w:szCs w:val="21"/>
              </w:rPr>
              <w:t>　</w:t>
            </w:r>
          </w:p>
        </w:tc>
        <w:tc>
          <w:tcPr>
            <w:tcW w:w="132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c>
          <w:tcPr>
            <w:tcW w:w="2000" w:type="dxa"/>
            <w:shd w:val="clear" w:color="auto" w:fill="auto"/>
            <w:vAlign w:val="center"/>
          </w:tcPr>
          <w:p>
            <w:pPr>
              <w:widowControl/>
              <w:jc w:val="left"/>
              <w:rPr>
                <w:rFonts w:cs="Times New Roman" w:asciiTheme="minorEastAsia" w:hAnsiTheme="minorEastAsia"/>
                <w:kern w:val="0"/>
                <w:szCs w:val="21"/>
              </w:rPr>
            </w:pPr>
            <w:r>
              <w:rPr>
                <w:rFonts w:cs="Times New Roman" w:asciiTheme="minorEastAsia" w:hAnsiTheme="minorEastAsia"/>
                <w:kern w:val="0"/>
                <w:szCs w:val="21"/>
              </w:rPr>
              <w:t>　</w:t>
            </w:r>
          </w:p>
        </w:tc>
      </w:tr>
    </w:tbl>
    <w:p>
      <w:pPr>
        <w:widowControl/>
        <w:jc w:val="left"/>
        <w:rPr>
          <w:rFonts w:cs="Times New Roman" w:asciiTheme="minorEastAsia" w:hAnsiTheme="minorEastAsia"/>
          <w:kern w:val="0"/>
          <w:szCs w:val="21"/>
        </w:rPr>
      </w:pPr>
      <w:r>
        <w:rPr>
          <w:rFonts w:cs="Times New Roman" w:asciiTheme="minorEastAsia" w:hAnsiTheme="minorEastAsia"/>
          <w:kern w:val="0"/>
          <w:szCs w:val="21"/>
        </w:rPr>
        <w:t>注：本表反映部门本年度政府性基金预算财政拨款收入、支出及结转和结余情况</w:t>
      </w:r>
    </w:p>
    <w:p>
      <w:pPr>
        <w:widowControl/>
        <w:jc w:val="left"/>
        <w:rPr>
          <w:rFonts w:cs="Times New Roman" w:asciiTheme="minorEastAsia" w:hAnsiTheme="minorEastAsia"/>
          <w:kern w:val="0"/>
          <w:szCs w:val="21"/>
        </w:rPr>
      </w:pPr>
      <w:r>
        <w:rPr>
          <w:rFonts w:hint="eastAsia" w:cs="Times New Roman" w:asciiTheme="minorEastAsia" w:hAnsiTheme="minorEastAsia"/>
          <w:kern w:val="0"/>
          <w:szCs w:val="21"/>
        </w:rPr>
        <w:t>道县广播电视台部门单位无政府性基金收入，也没有安排政府性基金安排的支出，故本表无数据</w:t>
      </w:r>
      <w:r>
        <w:rPr>
          <w:rFonts w:cs="Times New Roman" w:asciiTheme="minorEastAsia" w:hAnsiTheme="minorEastAsia"/>
          <w:kern w:val="0"/>
          <w:szCs w:val="21"/>
        </w:rPr>
        <w:t>。</w:t>
      </w:r>
    </w:p>
    <w:p>
      <w:pPr>
        <w:widowControl/>
        <w:jc w:val="left"/>
        <w:rPr>
          <w:rFonts w:asciiTheme="minorEastAsia" w:hAnsiTheme="minorEastAsia"/>
          <w:szCs w:val="21"/>
        </w:rPr>
      </w:pPr>
      <w:r>
        <w:rPr>
          <w:rFonts w:asciiTheme="minorEastAsia" w:hAnsiTheme="minorEastAsia"/>
          <w:szCs w:val="21"/>
        </w:rPr>
        <w:br w:type="page"/>
      </w:r>
    </w:p>
    <w:tbl>
      <w:tblPr>
        <w:tblStyle w:val="6"/>
        <w:tblW w:w="14190" w:type="dxa"/>
        <w:tblInd w:w="93" w:type="dxa"/>
        <w:tblLayout w:type="autofit"/>
        <w:tblCellMar>
          <w:top w:w="0" w:type="dxa"/>
          <w:left w:w="108" w:type="dxa"/>
          <w:bottom w:w="0" w:type="dxa"/>
          <w:right w:w="108" w:type="dxa"/>
        </w:tblCellMar>
      </w:tblPr>
      <w:tblGrid>
        <w:gridCol w:w="1620"/>
        <w:gridCol w:w="1089"/>
        <w:gridCol w:w="2126"/>
        <w:gridCol w:w="2551"/>
        <w:gridCol w:w="2977"/>
        <w:gridCol w:w="3827"/>
      </w:tblGrid>
      <w:tr>
        <w:tblPrEx>
          <w:tblCellMar>
            <w:top w:w="0" w:type="dxa"/>
            <w:left w:w="108" w:type="dxa"/>
            <w:bottom w:w="0" w:type="dxa"/>
            <w:right w:w="108" w:type="dxa"/>
          </w:tblCellMar>
        </w:tblPrEx>
        <w:trPr>
          <w:trHeight w:val="720" w:hRule="atLeast"/>
        </w:trPr>
        <w:tc>
          <w:tcPr>
            <w:tcW w:w="14190" w:type="dxa"/>
            <w:gridSpan w:val="6"/>
            <w:tcBorders>
              <w:top w:val="nil"/>
              <w:left w:val="nil"/>
              <w:bottom w:val="nil"/>
              <w:right w:val="nil"/>
            </w:tcBorders>
            <w:shd w:val="clear" w:color="000000" w:fill="FFFFFF"/>
            <w:vAlign w:val="center"/>
          </w:tcPr>
          <w:p>
            <w:pPr>
              <w:widowControl/>
              <w:jc w:val="center"/>
              <w:rPr>
                <w:rFonts w:cs="宋体" w:asciiTheme="minorEastAsia" w:hAnsiTheme="minorEastAsia"/>
                <w:kern w:val="0"/>
                <w:sz w:val="32"/>
                <w:szCs w:val="32"/>
              </w:rPr>
            </w:pPr>
            <w:r>
              <w:rPr>
                <w:rFonts w:hint="eastAsia" w:cs="宋体" w:asciiTheme="minorEastAsia" w:hAnsiTheme="minorEastAsia"/>
                <w:kern w:val="0"/>
                <w:sz w:val="32"/>
                <w:szCs w:val="32"/>
              </w:rPr>
              <w:t>国有资本经营预算财政拨款支出决算表</w:t>
            </w:r>
          </w:p>
          <w:p>
            <w:pPr>
              <w:widowControl/>
              <w:wordWrap w:val="0"/>
              <w:ind w:right="420"/>
              <w:rPr>
                <w:rFonts w:cs="Times New Roman" w:asciiTheme="minorEastAsia" w:hAnsiTheme="minorEastAsia"/>
                <w:color w:val="000000"/>
                <w:kern w:val="0"/>
                <w:szCs w:val="21"/>
              </w:rPr>
            </w:pPr>
            <w:r>
              <w:rPr>
                <w:rFonts w:cs="Times New Roman" w:asciiTheme="minorEastAsia" w:hAnsiTheme="minorEastAsia"/>
                <w:color w:val="000000"/>
                <w:kern w:val="0"/>
                <w:szCs w:val="21"/>
              </w:rPr>
              <w:t>部门：</w:t>
            </w:r>
            <w:r>
              <w:rPr>
                <w:rFonts w:hint="eastAsia" w:cs="Times New Roman" w:asciiTheme="minorEastAsia" w:hAnsiTheme="minorEastAsia"/>
                <w:color w:val="000000"/>
                <w:kern w:val="0"/>
                <w:szCs w:val="21"/>
              </w:rPr>
              <w:t>道县广播电视台</w:t>
            </w:r>
            <w:r>
              <w:rPr>
                <w:rFonts w:cs="Times New Roman" w:asciiTheme="minorEastAsia" w:hAnsiTheme="minorEastAsia"/>
                <w:color w:val="000000"/>
                <w:kern w:val="0"/>
                <w:szCs w:val="21"/>
              </w:rPr>
              <w:t xml:space="preserve">                                                                                      </w:t>
            </w: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 xml:space="preserve">         公开0</w:t>
            </w:r>
            <w:r>
              <w:rPr>
                <w:rFonts w:hint="eastAsia" w:cs="Times New Roman" w:asciiTheme="minorEastAsia" w:hAnsiTheme="minorEastAsia"/>
                <w:color w:val="000000"/>
                <w:kern w:val="0"/>
                <w:szCs w:val="21"/>
              </w:rPr>
              <w:t>9</w:t>
            </w:r>
            <w:r>
              <w:rPr>
                <w:rFonts w:cs="Times New Roman" w:asciiTheme="minorEastAsia" w:hAnsiTheme="minorEastAsia"/>
                <w:color w:val="000000"/>
                <w:kern w:val="0"/>
                <w:szCs w:val="21"/>
              </w:rPr>
              <w:t>表</w:t>
            </w:r>
          </w:p>
          <w:p>
            <w:pPr>
              <w:widowControl/>
              <w:ind w:right="420"/>
              <w:jc w:val="center"/>
              <w:rPr>
                <w:rFonts w:cs="Times New Roman" w:asciiTheme="minorEastAsia" w:hAnsiTheme="minorEastAsia"/>
                <w:color w:val="000000"/>
                <w:kern w:val="0"/>
                <w:szCs w:val="21"/>
              </w:rPr>
            </w:pPr>
            <w:r>
              <w:rPr>
                <w:rFonts w:hint="eastAsia" w:cs="Times New Roman" w:asciiTheme="minorEastAsia" w:hAnsiTheme="minorEastAsia"/>
                <w:color w:val="000000"/>
                <w:kern w:val="0"/>
                <w:szCs w:val="21"/>
              </w:rPr>
              <w:t xml:space="preserve">                                                                                                                        </w:t>
            </w:r>
            <w:r>
              <w:rPr>
                <w:rFonts w:cs="Times New Roman" w:asciiTheme="minorEastAsia" w:hAnsiTheme="minorEastAsia"/>
                <w:color w:val="000000"/>
                <w:kern w:val="0"/>
                <w:szCs w:val="21"/>
              </w:rPr>
              <w:t>单位：万元</w:t>
            </w:r>
          </w:p>
        </w:tc>
      </w:tr>
      <w:tr>
        <w:tblPrEx>
          <w:tblCellMar>
            <w:top w:w="0" w:type="dxa"/>
            <w:left w:w="108" w:type="dxa"/>
            <w:bottom w:w="0" w:type="dxa"/>
            <w:right w:w="108" w:type="dxa"/>
          </w:tblCellMar>
        </w:tblPrEx>
        <w:trPr>
          <w:trHeight w:val="402" w:hRule="atLeast"/>
        </w:trPr>
        <w:tc>
          <w:tcPr>
            <w:tcW w:w="4835"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项 </w:t>
            </w:r>
            <w:r>
              <w:rPr>
                <w:rFonts w:hint="eastAsia" w:cs="宋体" w:asciiTheme="minorEastAsia" w:hAnsiTheme="minorEastAsia"/>
                <w:color w:val="000000"/>
                <w:kern w:val="0"/>
                <w:sz w:val="22"/>
              </w:rPr>
              <w:t xml:space="preserve">   </w:t>
            </w:r>
            <w:r>
              <w:rPr>
                <w:rFonts w:hint="eastAsia" w:cs="宋体" w:asciiTheme="minorEastAsia" w:hAnsiTheme="minorEastAsia"/>
                <w:kern w:val="0"/>
                <w:sz w:val="24"/>
                <w:szCs w:val="24"/>
              </w:rPr>
              <w:t>目</w:t>
            </w:r>
          </w:p>
        </w:tc>
        <w:tc>
          <w:tcPr>
            <w:tcW w:w="9355" w:type="dxa"/>
            <w:gridSpan w:val="3"/>
            <w:tcBorders>
              <w:top w:val="single" w:color="auto" w:sz="8" w:space="0"/>
              <w:left w:val="nil"/>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科目名称</w:t>
            </w:r>
          </w:p>
        </w:tc>
        <w:tc>
          <w:tcPr>
            <w:tcW w:w="25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297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2551"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02" w:hRule="atLeast"/>
        </w:trPr>
        <w:tc>
          <w:tcPr>
            <w:tcW w:w="2709"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24"/>
                <w:szCs w:val="24"/>
              </w:rPr>
            </w:pPr>
          </w:p>
        </w:tc>
        <w:tc>
          <w:tcPr>
            <w:tcW w:w="2551"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2977"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kern w:val="0"/>
                <w:sz w:val="24"/>
                <w:szCs w:val="24"/>
              </w:rPr>
            </w:pPr>
          </w:p>
        </w:tc>
      </w:tr>
      <w:tr>
        <w:tblPrEx>
          <w:tblCellMar>
            <w:top w:w="0" w:type="dxa"/>
            <w:left w:w="108" w:type="dxa"/>
            <w:bottom w:w="0" w:type="dxa"/>
            <w:right w:w="108" w:type="dxa"/>
          </w:tblCellMar>
        </w:tblPrEx>
        <w:trPr>
          <w:trHeight w:val="402" w:hRule="atLeast"/>
        </w:trPr>
        <w:tc>
          <w:tcPr>
            <w:tcW w:w="4835" w:type="dxa"/>
            <w:gridSpan w:val="3"/>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栏次</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1</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3</w:t>
            </w:r>
          </w:p>
        </w:tc>
      </w:tr>
      <w:tr>
        <w:tblPrEx>
          <w:tblCellMar>
            <w:top w:w="0" w:type="dxa"/>
            <w:left w:w="108" w:type="dxa"/>
            <w:bottom w:w="0" w:type="dxa"/>
            <w:right w:w="108" w:type="dxa"/>
          </w:tblCellMar>
        </w:tblPrEx>
        <w:trPr>
          <w:trHeight w:val="402" w:hRule="atLeast"/>
        </w:trPr>
        <w:tc>
          <w:tcPr>
            <w:tcW w:w="4835" w:type="dxa"/>
            <w:gridSpan w:val="3"/>
            <w:tcBorders>
              <w:top w:val="nil"/>
              <w:left w:val="single" w:color="auto" w:sz="8" w:space="0"/>
              <w:bottom w:val="single" w:color="auto" w:sz="4" w:space="0"/>
              <w:right w:val="single" w:color="000000"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合计</w:t>
            </w:r>
          </w:p>
        </w:tc>
        <w:tc>
          <w:tcPr>
            <w:tcW w:w="2551"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0"/>
                <w:szCs w:val="20"/>
              </w:rPr>
            </w:pPr>
            <w:r>
              <w:rPr>
                <w:rFonts w:hint="eastAsia" w:cs="宋体" w:asciiTheme="minorEastAsia" w:hAnsiTheme="minorEastAsia"/>
                <w:kern w:val="0"/>
                <w:sz w:val="20"/>
                <w:szCs w:val="20"/>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551"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402" w:hRule="atLeast"/>
        </w:trPr>
        <w:tc>
          <w:tcPr>
            <w:tcW w:w="1620"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551" w:type="dxa"/>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2977" w:type="dxa"/>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6"/>
            <w:tcBorders>
              <w:top w:val="single" w:color="auto" w:sz="8" w:space="0"/>
              <w:left w:val="nil"/>
              <w:bottom w:val="nil"/>
              <w:right w:val="nil"/>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注：本表反映部门本年度国有资本经营预算财政拨款支出情况。</w:t>
            </w:r>
          </w:p>
        </w:tc>
      </w:tr>
    </w:tbl>
    <w:p>
      <w:pPr>
        <w:widowControl/>
        <w:jc w:val="left"/>
        <w:rPr>
          <w:rFonts w:cs="Times New Roman" w:asciiTheme="minorEastAsia" w:hAnsiTheme="minorEastAsia"/>
          <w:kern w:val="0"/>
          <w:szCs w:val="21"/>
        </w:rPr>
      </w:pPr>
      <w:r>
        <w:rPr>
          <w:rFonts w:hint="eastAsia" w:cs="Times New Roman" w:asciiTheme="minorEastAsia" w:hAnsiTheme="minorEastAsia"/>
          <w:kern w:val="0"/>
          <w:szCs w:val="21"/>
        </w:rPr>
        <w:t>道县广播电视台部门单位无国有资本经营收入，也没有安排国有资本经营安排的支出，故本表无数据</w:t>
      </w:r>
      <w:r>
        <w:rPr>
          <w:rFonts w:cs="Times New Roman" w:asciiTheme="minorEastAsia" w:hAnsiTheme="minorEastAsia"/>
          <w:kern w:val="0"/>
          <w:szCs w:val="21"/>
        </w:rPr>
        <w:t>。</w:t>
      </w:r>
    </w:p>
    <w:p>
      <w:pPr>
        <w:pStyle w:val="10"/>
        <w:rPr>
          <w:rFonts w:asciiTheme="minorEastAsia" w:hAnsiTheme="minorEastAsia" w:eastAsiaTheme="minorEastAsia"/>
          <w:sz w:val="72"/>
          <w:szCs w:val="72"/>
        </w:rPr>
        <w:sectPr>
          <w:pgSz w:w="16838" w:h="11906" w:orient="landscape"/>
          <w:pgMar w:top="720" w:right="720" w:bottom="720" w:left="720" w:header="851" w:footer="992" w:gutter="0"/>
          <w:cols w:space="425" w:num="1"/>
          <w:docGrid w:type="lines" w:linePitch="312" w:charSpace="0"/>
        </w:sectPr>
      </w:pPr>
    </w:p>
    <w:p>
      <w:pPr>
        <w:pStyle w:val="10"/>
        <w:rPr>
          <w:rFonts w:asciiTheme="minorEastAsia" w:hAnsiTheme="minorEastAsia" w:eastAsiaTheme="minorEastAsia"/>
          <w:sz w:val="72"/>
          <w:szCs w:val="72"/>
        </w:rPr>
      </w:pPr>
    </w:p>
    <w:p>
      <w:pPr>
        <w:pStyle w:val="10"/>
        <w:rPr>
          <w:rFonts w:asciiTheme="minorEastAsia" w:hAnsiTheme="minorEastAsia" w:eastAsiaTheme="minorEastAsia"/>
          <w:sz w:val="72"/>
          <w:szCs w:val="72"/>
        </w:rPr>
      </w:pPr>
    </w:p>
    <w:p>
      <w:pPr>
        <w:pStyle w:val="10"/>
        <w:rPr>
          <w:rFonts w:asciiTheme="minorEastAsia" w:hAnsiTheme="minorEastAsia" w:eastAsiaTheme="minorEastAsia"/>
          <w:sz w:val="72"/>
          <w:szCs w:val="72"/>
        </w:rPr>
      </w:pPr>
    </w:p>
    <w:p>
      <w:pPr>
        <w:pStyle w:val="10"/>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r>
        <w:rPr>
          <w:rFonts w:hint="eastAsia" w:asciiTheme="minorEastAsia" w:hAnsiTheme="minorEastAsia" w:eastAsiaTheme="minorEastAsia"/>
          <w:sz w:val="72"/>
          <w:szCs w:val="72"/>
        </w:rPr>
        <w:t>第三部分</w:t>
      </w:r>
    </w:p>
    <w:p>
      <w:pPr>
        <w:pStyle w:val="10"/>
        <w:jc w:val="center"/>
        <w:rPr>
          <w:rFonts w:asciiTheme="minorEastAsia" w:hAnsiTheme="minorEastAsia" w:eastAsiaTheme="minorEastAsia"/>
          <w:sz w:val="70"/>
          <w:szCs w:val="70"/>
        </w:rPr>
      </w:pPr>
    </w:p>
    <w:p>
      <w:pPr>
        <w:pStyle w:val="10"/>
        <w:jc w:val="center"/>
        <w:rPr>
          <w:rFonts w:asciiTheme="minorEastAsia" w:hAnsiTheme="minorEastAsia" w:eastAsiaTheme="minorEastAsia"/>
          <w:sz w:val="70"/>
          <w:szCs w:val="70"/>
        </w:rPr>
      </w:pPr>
      <w:r>
        <w:rPr>
          <w:rFonts w:asciiTheme="minorEastAsia" w:hAnsiTheme="minorEastAsia" w:eastAsiaTheme="minorEastAsia"/>
          <w:sz w:val="70"/>
          <w:szCs w:val="70"/>
        </w:rPr>
        <w:t>20</w:t>
      </w:r>
      <w:r>
        <w:rPr>
          <w:rFonts w:hint="eastAsia" w:asciiTheme="minorEastAsia" w:hAnsiTheme="minorEastAsia" w:eastAsiaTheme="minorEastAsia"/>
          <w:sz w:val="70"/>
          <w:szCs w:val="70"/>
        </w:rPr>
        <w:t>21年度部门决算情况说明</w:t>
      </w:r>
    </w:p>
    <w:p>
      <w:pPr>
        <w:widowControl/>
        <w:jc w:val="left"/>
        <w:rPr>
          <w:rFonts w:cs="黑体" w:asciiTheme="minorEastAsia" w:hAnsiTheme="minorEastAsia"/>
          <w:color w:val="000000"/>
          <w:kern w:val="0"/>
          <w:sz w:val="70"/>
          <w:szCs w:val="70"/>
        </w:rPr>
      </w:pPr>
      <w:r>
        <w:rPr>
          <w:rFonts w:asciiTheme="minorEastAsia" w:hAnsiTheme="minorEastAsia"/>
          <w:sz w:val="70"/>
          <w:szCs w:val="70"/>
        </w:rPr>
        <w:br w:type="page"/>
      </w:r>
    </w:p>
    <w:p>
      <w:pPr>
        <w:pStyle w:val="10"/>
        <w:rPr>
          <w:rFonts w:asciiTheme="minorEastAsia" w:hAnsiTheme="minorEastAsia" w:eastAsiaTheme="minorEastAsia"/>
          <w:sz w:val="32"/>
          <w:szCs w:val="32"/>
        </w:rPr>
      </w:pP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一、收入支出决算总体情况说明</w:t>
      </w:r>
    </w:p>
    <w:p>
      <w:pPr>
        <w:snapToGrid w:val="0"/>
        <w:spacing w:line="520" w:lineRule="exact"/>
        <w:ind w:firstLine="640" w:firstLineChars="200"/>
        <w:rPr>
          <w:rFonts w:asciiTheme="minorEastAsia" w:hAnsiTheme="minorEastAsia"/>
          <w:sz w:val="32"/>
          <w:szCs w:val="32"/>
        </w:rPr>
      </w:pPr>
      <w:r>
        <w:rPr>
          <w:rFonts w:hint="eastAsia" w:asciiTheme="minorEastAsia" w:hAnsiTheme="minorEastAsia"/>
          <w:sz w:val="32"/>
          <w:szCs w:val="32"/>
        </w:rPr>
        <w:t>2021年度收、支总计2083.99万元。与上年相比，增加815.94万元，增长39%，主要是因为增加了县级融媒体中心建设项目，村村响项目，融媒体软件技术平台项目资金等。</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2021年度收入合计2083.99万元，其中：财政拨款收入2083.99万元，占100%。</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2021年度支出合计2083.99万元，其中：基本支出1133.07万元，占54.37%；项目支出950.92万元，占45.63%。</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四、财政拨款收入支出决算总体情况说明</w:t>
      </w:r>
    </w:p>
    <w:p>
      <w:pPr>
        <w:pStyle w:val="10"/>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2021年度财政拨款收、支总计2083.99万元，与上年相比，增加815.94万元,增长39%，主要是因为增加了县级融媒体中心建设项目，村村响项目，融媒体软件技术平台项目资金等。</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2021年度财政拨款支出2083.99万元，占本年支出合计的100%，与上年相比，财政拨款支出增加815.94万元，增长39%，主要是因为增加了县级融媒体中心建设项目，村村响项目，融媒体软件技术平台项目资金等。</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2021年度财政拨款支出2083.99万元，主要用于以下方面：一般公共服务（类）支出18.48万元，占0.89%；文化旅游体育与传媒（类）支出2063.86万元，占99.03%；社会保障和就业（类）支出1.66万元，占0.08%。</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2021年度财政拨款支出年初预算数为2197.81万元，支出决算数为2083.99万元，完成年初预算的94.82%，其中：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1、一般公共服务支出（类）</w:t>
      </w:r>
      <w:r>
        <w:rPr>
          <w:rFonts w:hint="eastAsia" w:cs="宋体" w:asciiTheme="minorEastAsia" w:hAnsiTheme="minorEastAsia" w:eastAsiaTheme="minorEastAsia"/>
          <w:sz w:val="32"/>
          <w:szCs w:val="32"/>
        </w:rPr>
        <w:t>政府办公厅（室）及相关机构事务</w:t>
      </w:r>
      <w:r>
        <w:rPr>
          <w:rFonts w:hint="eastAsia" w:asciiTheme="minorEastAsia" w:hAnsiTheme="minorEastAsia" w:eastAsiaTheme="minorEastAsia"/>
          <w:sz w:val="32"/>
          <w:szCs w:val="32"/>
        </w:rPr>
        <w:t>（款）</w:t>
      </w:r>
      <w:r>
        <w:rPr>
          <w:rFonts w:hint="eastAsia" w:cs="宋体" w:asciiTheme="minorEastAsia" w:hAnsiTheme="minorEastAsia" w:eastAsiaTheme="minorEastAsia"/>
          <w:sz w:val="22"/>
        </w:rPr>
        <w:t xml:space="preserve">  </w:t>
      </w:r>
      <w:r>
        <w:rPr>
          <w:rFonts w:hint="eastAsia" w:cs="宋体" w:asciiTheme="minorEastAsia" w:hAnsiTheme="minorEastAsia" w:eastAsiaTheme="minorEastAsia"/>
          <w:sz w:val="32"/>
          <w:szCs w:val="32"/>
        </w:rPr>
        <w:t>其他政府办公厅（室）及相关机构事务支出</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年初预算为0万元，支出决算为18.48万元，年初预算为0万元，无法计算完成比例，决算数大于年初预算数的主要原因是：专项经费未列入预算，都是年中进行专批。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w:t>
      </w:r>
      <w:r>
        <w:rPr>
          <w:rFonts w:hint="eastAsia" w:cs="宋体"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rPr>
        <w:t>（类）</w:t>
      </w:r>
      <w:r>
        <w:rPr>
          <w:rFonts w:hint="eastAsia" w:cs="宋体" w:asciiTheme="minorEastAsia" w:hAnsiTheme="minorEastAsia" w:eastAsiaTheme="minorEastAsia"/>
          <w:sz w:val="32"/>
          <w:szCs w:val="32"/>
        </w:rPr>
        <w:t>文化和旅游</w:t>
      </w:r>
      <w:r>
        <w:rPr>
          <w:rFonts w:hint="eastAsia" w:asciiTheme="minorEastAsia" w:hAnsiTheme="minorEastAsia" w:eastAsiaTheme="minorEastAsia"/>
          <w:sz w:val="32"/>
          <w:szCs w:val="32"/>
        </w:rPr>
        <w:t>（款）</w:t>
      </w:r>
      <w:r>
        <w:rPr>
          <w:rFonts w:hint="eastAsia" w:cs="宋体" w:asciiTheme="minorEastAsia" w:hAnsiTheme="minorEastAsia" w:eastAsiaTheme="minorEastAsia"/>
          <w:sz w:val="32"/>
          <w:szCs w:val="32"/>
        </w:rPr>
        <w:t>其他文化和旅游支出</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年初预算为0万元，支出决算为175.79万元，年初预算为0万元，无法计算完成比例，决算数大于年初预算数的主要原因是：大部分专项经费都未列入预算，都是年中进行专批。</w:t>
      </w:r>
    </w:p>
    <w:p>
      <w:pPr>
        <w:pStyle w:val="10"/>
        <w:ind w:firstLine="800" w:firstLineChars="250"/>
        <w:rPr>
          <w:rFonts w:cs="宋体" w:asciiTheme="minorEastAsia" w:hAnsiTheme="minorEastAsia" w:eastAsiaTheme="minorEastAsia"/>
          <w:sz w:val="32"/>
          <w:szCs w:val="32"/>
        </w:rPr>
      </w:pPr>
      <w:r>
        <w:rPr>
          <w:rFonts w:hint="eastAsia" w:asciiTheme="minorEastAsia" w:hAnsiTheme="minorEastAsia" w:eastAsiaTheme="minorEastAsia"/>
          <w:sz w:val="32"/>
          <w:szCs w:val="32"/>
        </w:rPr>
        <w:t>3、</w:t>
      </w:r>
      <w:r>
        <w:rPr>
          <w:rFonts w:hint="eastAsia" w:cs="宋体"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rPr>
        <w:t>（类）</w:t>
      </w:r>
      <w:r>
        <w:rPr>
          <w:rFonts w:hint="eastAsia" w:cs="宋体" w:asciiTheme="minorEastAsia" w:hAnsiTheme="minorEastAsia" w:eastAsiaTheme="minorEastAsia"/>
          <w:sz w:val="32"/>
          <w:szCs w:val="32"/>
        </w:rPr>
        <w:t>广播电视</w:t>
      </w:r>
      <w:r>
        <w:rPr>
          <w:rFonts w:hint="eastAsia" w:asciiTheme="minorEastAsia" w:hAnsiTheme="minorEastAsia" w:eastAsiaTheme="minorEastAsia"/>
          <w:sz w:val="32"/>
          <w:szCs w:val="32"/>
        </w:rPr>
        <w:t>（款）</w:t>
      </w:r>
      <w:r>
        <w:rPr>
          <w:rFonts w:hint="eastAsia" w:cs="宋体" w:asciiTheme="minorEastAsia" w:hAnsiTheme="minorEastAsia" w:eastAsiaTheme="minorEastAsia"/>
          <w:sz w:val="32"/>
          <w:szCs w:val="32"/>
        </w:rPr>
        <w:t>行政运行</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年初预算为2197.81万元，支出决算为663.98万元，完成年初预算的30%，决算数小于年初预算数的主要原因是：年初预算全部划分到该科目，没有细分到其他科目。</w:t>
      </w:r>
    </w:p>
    <w:p>
      <w:pPr>
        <w:pStyle w:val="10"/>
        <w:ind w:firstLine="800" w:firstLineChars="250"/>
        <w:rPr>
          <w:rFonts w:cs="宋体" w:asciiTheme="minorEastAsia" w:hAnsiTheme="minorEastAsia" w:eastAsiaTheme="minorEastAsia"/>
          <w:sz w:val="32"/>
          <w:szCs w:val="32"/>
        </w:rPr>
      </w:pPr>
      <w:r>
        <w:rPr>
          <w:rFonts w:hint="eastAsia" w:asciiTheme="minorEastAsia" w:hAnsiTheme="minorEastAsia" w:eastAsiaTheme="minorEastAsia"/>
          <w:sz w:val="32"/>
          <w:szCs w:val="32"/>
        </w:rPr>
        <w:t>4、</w:t>
      </w:r>
      <w:r>
        <w:rPr>
          <w:rFonts w:hint="eastAsia" w:cs="宋体"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rPr>
        <w:t>（类）</w:t>
      </w:r>
      <w:r>
        <w:rPr>
          <w:rFonts w:hint="eastAsia" w:cs="宋体" w:asciiTheme="minorEastAsia" w:hAnsiTheme="minorEastAsia" w:eastAsiaTheme="minorEastAsia"/>
          <w:sz w:val="32"/>
          <w:szCs w:val="32"/>
        </w:rPr>
        <w:t>广播电视</w:t>
      </w:r>
      <w:r>
        <w:rPr>
          <w:rFonts w:hint="eastAsia" w:asciiTheme="minorEastAsia" w:hAnsiTheme="minorEastAsia" w:eastAsiaTheme="minorEastAsia"/>
          <w:sz w:val="32"/>
          <w:szCs w:val="32"/>
        </w:rPr>
        <w:t>（款）</w:t>
      </w:r>
      <w:r>
        <w:rPr>
          <w:rFonts w:hint="eastAsia" w:cs="宋体" w:asciiTheme="minorEastAsia" w:hAnsiTheme="minorEastAsia" w:eastAsiaTheme="minorEastAsia"/>
          <w:sz w:val="32"/>
          <w:szCs w:val="32"/>
        </w:rPr>
        <w:t>广播电视事务</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年初预算为0万元，支出决算为625.02万元，年初预算为0万元，无法计算完成比例，决算数大于年初预算数的主要原因是：年初预算没有细分到该科目。</w:t>
      </w:r>
    </w:p>
    <w:p>
      <w:pPr>
        <w:pStyle w:val="10"/>
        <w:ind w:firstLine="800" w:firstLineChars="250"/>
        <w:rPr>
          <w:rFonts w:cs="宋体" w:asciiTheme="minorEastAsia" w:hAnsiTheme="minorEastAsia" w:eastAsiaTheme="minorEastAsia"/>
          <w:sz w:val="32"/>
          <w:szCs w:val="32"/>
        </w:rPr>
      </w:pPr>
      <w:r>
        <w:rPr>
          <w:rFonts w:hint="eastAsia" w:asciiTheme="minorEastAsia" w:hAnsiTheme="minorEastAsia" w:eastAsiaTheme="minorEastAsia"/>
          <w:sz w:val="32"/>
          <w:szCs w:val="32"/>
        </w:rPr>
        <w:t>5、</w:t>
      </w:r>
      <w:r>
        <w:rPr>
          <w:rFonts w:hint="eastAsia" w:cs="宋体" w:asciiTheme="minorEastAsia" w:hAnsiTheme="minorEastAsia" w:eastAsiaTheme="minorEastAsia"/>
          <w:sz w:val="32"/>
          <w:szCs w:val="32"/>
        </w:rPr>
        <w:t>文化旅游体育与传媒支出</w:t>
      </w:r>
      <w:r>
        <w:rPr>
          <w:rFonts w:hint="eastAsia" w:asciiTheme="minorEastAsia" w:hAnsiTheme="minorEastAsia" w:eastAsiaTheme="minorEastAsia"/>
          <w:sz w:val="32"/>
          <w:szCs w:val="32"/>
        </w:rPr>
        <w:t>（类）</w:t>
      </w:r>
      <w:r>
        <w:rPr>
          <w:rFonts w:hint="eastAsia" w:cs="宋体" w:asciiTheme="minorEastAsia" w:hAnsiTheme="minorEastAsia" w:eastAsiaTheme="minorEastAsia"/>
          <w:sz w:val="32"/>
          <w:szCs w:val="32"/>
        </w:rPr>
        <w:t>广播电视</w:t>
      </w:r>
      <w:r>
        <w:rPr>
          <w:rFonts w:hint="eastAsia" w:asciiTheme="minorEastAsia" w:hAnsiTheme="minorEastAsia" w:eastAsiaTheme="minorEastAsia"/>
          <w:sz w:val="32"/>
          <w:szCs w:val="32"/>
        </w:rPr>
        <w:t>（款）</w:t>
      </w:r>
      <w:r>
        <w:rPr>
          <w:rFonts w:hint="eastAsia" w:cs="宋体" w:asciiTheme="minorEastAsia" w:hAnsiTheme="minorEastAsia" w:eastAsiaTheme="minorEastAsia"/>
          <w:sz w:val="32"/>
          <w:szCs w:val="32"/>
        </w:rPr>
        <w:t>其他广播电视支出</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年初预算为0万元，支出决算为599.06万元，年初预算为0万元，无法计算完成比例，决算数大于年初预算数的主要原因是：年初预算没有细分到该科目。</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6、</w:t>
      </w:r>
      <w:r>
        <w:rPr>
          <w:rFonts w:hint="eastAsia" w:cs="宋体" w:asciiTheme="minorEastAsia" w:hAnsiTheme="minorEastAsia" w:eastAsiaTheme="minorEastAsia"/>
          <w:sz w:val="32"/>
          <w:szCs w:val="32"/>
        </w:rPr>
        <w:t>社会保障和就业支出</w:t>
      </w:r>
      <w:r>
        <w:rPr>
          <w:rFonts w:hint="eastAsia" w:asciiTheme="minorEastAsia" w:hAnsiTheme="minorEastAsia" w:eastAsiaTheme="minorEastAsia"/>
          <w:sz w:val="32"/>
          <w:szCs w:val="32"/>
        </w:rPr>
        <w:t>（类）</w:t>
      </w:r>
      <w:r>
        <w:rPr>
          <w:rFonts w:hint="eastAsia" w:cs="宋体" w:asciiTheme="minorEastAsia" w:hAnsiTheme="minorEastAsia" w:eastAsiaTheme="minorEastAsia"/>
          <w:sz w:val="32"/>
          <w:szCs w:val="32"/>
        </w:rPr>
        <w:t>抚恤</w:t>
      </w:r>
      <w:r>
        <w:rPr>
          <w:rFonts w:hint="eastAsia" w:asciiTheme="minorEastAsia" w:hAnsiTheme="minorEastAsia" w:eastAsiaTheme="minorEastAsia"/>
          <w:sz w:val="32"/>
          <w:szCs w:val="32"/>
        </w:rPr>
        <w:t>（款）</w:t>
      </w:r>
      <w:r>
        <w:rPr>
          <w:rFonts w:hint="eastAsia" w:cs="宋体" w:asciiTheme="minorEastAsia" w:hAnsiTheme="minorEastAsia" w:eastAsiaTheme="minorEastAsia"/>
          <w:sz w:val="32"/>
          <w:szCs w:val="32"/>
        </w:rPr>
        <w:t>死亡抚恤</w:t>
      </w:r>
      <w:r>
        <w:rPr>
          <w:rFonts w:hint="eastAsia" w:asciiTheme="minorEastAsia" w:hAnsiTheme="minorEastAsia" w:eastAsiaTheme="minorEastAsia"/>
          <w:sz w:val="32"/>
          <w:szCs w:val="32"/>
        </w:rPr>
        <w:t>（项）。</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年初预算为0万元，支出决算为1.66万元，年初预算为0万元，无法计算完成比例，决算数大于年初预算数的主要原因是：死亡抚恤金在年初未列入预算，由财政直接拨付。</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六、一般公共预算财政拨款基本支出决算情况说明</w:t>
      </w:r>
    </w:p>
    <w:p>
      <w:pPr>
        <w:pStyle w:val="10"/>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1133.07万元，其中：人员经费997.58万元，占基本支出的88%,主要包括基本工资、津贴补贴、奖金、伙食补助费；公用经费135.5万元，占基本支出的12%，主要包括办公费、印刷费、咨询费、手续费。</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2021年度“三公”经费财政拨款支出预算为27.5万元，支出决算为23.48万元，完成预算的85.38%，其中：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2021年度我单位未开展因公出国（境）活动。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公务接待费支出预算22万元，支出决算为17.98万元，完成预算的81.73%，与上年相比减少0.13万元，减少0.7%。</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公务用车购置费支出预算为0万元，支出决算为0万元，由于预算数为0，无法计算百分比</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本年度本单位无公务用车购置</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bookmarkStart w:id="3" w:name="_GoBack"/>
      <w:bookmarkEnd w:id="3"/>
      <w:r>
        <w:rPr>
          <w:rFonts w:hint="eastAsia" w:asciiTheme="minorEastAsia" w:hAnsiTheme="minorEastAsia" w:eastAsiaTheme="minorEastAsia"/>
          <w:sz w:val="32"/>
          <w:szCs w:val="32"/>
        </w:rPr>
        <w:t>公务用车运行维护费支出预算为5.5万元，支出决算为5.5万元，完成预算的100%，与上年相比增加0.1万元，增长1.8%。</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2021年度“三公”经费财政拨款支出决算中，公务接待费支出决算17.98万元，占76.58%,因公出国（境）费支出决算0万元，公务用车购置费及运行维护费支出决算5.5万元，占23.42%。其中：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1、因公出国（境）费支出决算为0万元，受疫情影响，2021年度我单位未开展因公出国（境）活动。</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2、公务接待费支出决算为17.98万元，全年共接待来访团组235个、来宾2400人次，主要是其他县市级融媒体参观学习，上级单位调研考察，业务单位来县拍摄宣传视频等发生的接待支出。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5.5万元，其中：公务用车购置费0万元，公务用车购置0辆，公务用车运行维护费5.5万元，主要是保险，加油，车辆维修及维护支出，截止2021年12月31日，我单位开支财政拨款的公务用车保有量为1辆。</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八、政府性基金预算收入支出决算情况</w:t>
      </w:r>
    </w:p>
    <w:p>
      <w:pPr>
        <w:pStyle w:val="10"/>
        <w:rPr>
          <w:rFonts w:asciiTheme="minorEastAsia" w:hAnsiTheme="minorEastAsia" w:eastAsiaTheme="minorEastAsia"/>
          <w:color w:val="auto"/>
          <w:sz w:val="32"/>
          <w:szCs w:val="32"/>
        </w:rPr>
      </w:pPr>
      <w:r>
        <w:rPr>
          <w:rFonts w:hint="eastAsia" w:asciiTheme="minorEastAsia" w:hAnsiTheme="minorEastAsia" w:eastAsiaTheme="minorEastAsia"/>
          <w:sz w:val="32"/>
          <w:szCs w:val="32"/>
        </w:rPr>
        <w:t xml:space="preserve">    </w:t>
      </w:r>
      <w:r>
        <w:rPr>
          <w:rFonts w:hint="eastAsia" w:asciiTheme="minorEastAsia" w:hAnsiTheme="minorEastAsia" w:eastAsiaTheme="minorEastAsia"/>
          <w:color w:val="auto"/>
          <w:sz w:val="32"/>
          <w:szCs w:val="32"/>
        </w:rPr>
        <w:t xml:space="preserve"> 本单位无政府性基金收支。</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九、机关运行经费支出说明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本部门2021年度机关运行经费支出135.5万元，比年初预算数减少45.7 万元，降低33.7%。主要原因是：非税任务未完成，公用经费下降。</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十、一般性支出情况说明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2.67万元，用于召开培训会议，人数100人左右，内容为新媒体协会等；开支培训费9.3万元，用于开展外出学习培训，人数50人，内容为到省内外参加网络安全播出培训，视频制作培训，新媒传播培训，小视频制作培训，党校中青班培训等。</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十一、政府采购支出说明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本部门2021年度政府采购支出总额0万元，其中：政府采购货物支出0万元、政府采购工程支出0万元、政府采购服务支出0万元。授予中小企业合同金额0万元。</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十二、国有资产占用情况说明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1辆，其中，主要领导干部用车0辆，机要通信用车0辆、应急保障用车0辆、执法执勤用车0辆、特种专业技术用车0辆、其他用车1辆，其他用车主要是宜山岭发射台工具用车；单位价值50万元以上通用设备0台（套）；单位价值100万元以上专用设备0台（套）。</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十三、2021年度预算绩效情况说明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本部门预算绩效管理开展情况、绩效目标和绩效评价报告等见附件。</w:t>
      </w: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rPr>
          <w:rFonts w:asciiTheme="minorEastAsia" w:hAnsiTheme="minorEastAsia" w:eastAsiaTheme="minorEastAsia"/>
          <w:sz w:val="72"/>
          <w:szCs w:val="72"/>
        </w:rPr>
      </w:pPr>
    </w:p>
    <w:p>
      <w:pPr>
        <w:pStyle w:val="10"/>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r>
        <w:rPr>
          <w:rFonts w:hint="eastAsia" w:asciiTheme="minorEastAsia" w:hAnsiTheme="minorEastAsia" w:eastAsiaTheme="minorEastAsia"/>
          <w:sz w:val="72"/>
          <w:szCs w:val="72"/>
        </w:rPr>
        <w:t>第四部分</w:t>
      </w:r>
    </w:p>
    <w:p>
      <w:pPr>
        <w:jc w:val="center"/>
        <w:rPr>
          <w:rFonts w:cs="黑体" w:asciiTheme="minorEastAsia" w:hAnsiTheme="minorEastAsia"/>
          <w:color w:val="000000"/>
          <w:kern w:val="0"/>
          <w:sz w:val="70"/>
          <w:szCs w:val="70"/>
        </w:rPr>
      </w:pPr>
    </w:p>
    <w:p>
      <w:pPr>
        <w:jc w:val="center"/>
        <w:rPr>
          <w:rFonts w:cs="黑体" w:asciiTheme="minorEastAsia" w:hAnsiTheme="minorEastAsia"/>
          <w:color w:val="000000"/>
          <w:kern w:val="0"/>
          <w:sz w:val="70"/>
          <w:szCs w:val="70"/>
        </w:rPr>
      </w:pPr>
      <w:r>
        <w:rPr>
          <w:rFonts w:hint="eastAsia" w:cs="黑体" w:asciiTheme="minorEastAsia" w:hAnsiTheme="minorEastAsia"/>
          <w:color w:val="000000"/>
          <w:kern w:val="0"/>
          <w:sz w:val="70"/>
          <w:szCs w:val="70"/>
        </w:rPr>
        <w:t>名词解释</w:t>
      </w:r>
    </w:p>
    <w:p>
      <w:pPr>
        <w:widowControl/>
        <w:jc w:val="left"/>
        <w:rPr>
          <w:rFonts w:ascii="宋体" w:hAnsi="宋体" w:eastAsia="宋体" w:cs="黑体"/>
          <w:color w:val="000000"/>
          <w:kern w:val="0"/>
          <w:sz w:val="70"/>
          <w:szCs w:val="70"/>
        </w:rPr>
      </w:pPr>
      <w:r>
        <w:rPr>
          <w:rFonts w:cs="黑体" w:asciiTheme="minorEastAsia" w:hAnsiTheme="minorEastAsia"/>
          <w:color w:val="000000"/>
          <w:kern w:val="0"/>
          <w:sz w:val="70"/>
          <w:szCs w:val="70"/>
        </w:rPr>
        <w:br w:type="page"/>
      </w:r>
    </w:p>
    <w:p>
      <w:pPr>
        <w:pStyle w:val="13"/>
        <w:shd w:val="clear" w:color="auto" w:fill="FFFFFF"/>
        <w:rPr>
          <w:rFonts w:ascii="宋体" w:hAnsi="宋体" w:eastAsia="宋体" w:cs="仿宋_GB2312"/>
          <w:kern w:val="2"/>
        </w:rPr>
      </w:pPr>
      <w:r>
        <w:rPr>
          <w:rFonts w:hint="eastAsia" w:ascii="宋体" w:hAnsi="宋体" w:eastAsia="宋体" w:cs="仿宋_GB2312"/>
          <w:kern w:val="2"/>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pStyle w:val="13"/>
        <w:shd w:val="clear" w:color="auto" w:fill="FFFFFF"/>
        <w:rPr>
          <w:rFonts w:ascii="宋体" w:hAnsi="宋体" w:eastAsia="宋体" w:cs="仿宋_GB2312"/>
          <w:kern w:val="2"/>
        </w:rPr>
      </w:pPr>
    </w:p>
    <w:p>
      <w:pPr>
        <w:pStyle w:val="13"/>
        <w:shd w:val="clear" w:color="auto" w:fill="FFFFFF"/>
        <w:rPr>
          <w:rFonts w:cs="仿宋_GB2312" w:asciiTheme="minorEastAsia" w:hAnsiTheme="minorEastAsia" w:eastAsiaTheme="minorEastAsia"/>
          <w:kern w:val="2"/>
        </w:rPr>
      </w:pPr>
      <w:r>
        <w:rPr>
          <w:rFonts w:hint="eastAsia" w:ascii="宋体" w:hAnsi="宋体" w:eastAsia="宋体" w:cs="仿宋_GB2312"/>
          <w:kern w:val="2"/>
        </w:rPr>
        <w:t>二、 “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p>
    <w:p>
      <w:pPr>
        <w:pStyle w:val="10"/>
        <w:jc w:val="center"/>
        <w:rPr>
          <w:rFonts w:asciiTheme="minorEastAsia" w:hAnsiTheme="minorEastAsia" w:eastAsiaTheme="minorEastAsia"/>
          <w:sz w:val="72"/>
          <w:szCs w:val="72"/>
        </w:rPr>
      </w:pPr>
      <w:r>
        <w:rPr>
          <w:rFonts w:hint="eastAsia" w:asciiTheme="minorEastAsia" w:hAnsiTheme="minorEastAsia" w:eastAsiaTheme="minorEastAsia"/>
          <w:sz w:val="72"/>
          <w:szCs w:val="72"/>
        </w:rPr>
        <w:t>第五部分</w:t>
      </w:r>
    </w:p>
    <w:p>
      <w:pPr>
        <w:jc w:val="center"/>
        <w:rPr>
          <w:rFonts w:cs="黑体" w:asciiTheme="minorEastAsia" w:hAnsiTheme="minorEastAsia"/>
          <w:color w:val="000000"/>
          <w:kern w:val="0"/>
          <w:sz w:val="70"/>
          <w:szCs w:val="70"/>
        </w:rPr>
      </w:pPr>
    </w:p>
    <w:p>
      <w:pPr>
        <w:jc w:val="center"/>
        <w:rPr>
          <w:rFonts w:cs="黑体" w:asciiTheme="minorEastAsia" w:hAnsiTheme="minorEastAsia"/>
          <w:color w:val="000000"/>
          <w:kern w:val="0"/>
          <w:sz w:val="70"/>
          <w:szCs w:val="70"/>
        </w:rPr>
      </w:pPr>
      <w:r>
        <w:rPr>
          <w:rFonts w:hint="eastAsia" w:cs="黑体" w:asciiTheme="minorEastAsia" w:hAnsiTheme="minorEastAsia"/>
          <w:color w:val="000000"/>
          <w:kern w:val="0"/>
          <w:sz w:val="70"/>
          <w:szCs w:val="70"/>
        </w:rPr>
        <w:t>附件</w:t>
      </w:r>
    </w:p>
    <w:p>
      <w:pPr>
        <w:widowControl/>
        <w:jc w:val="left"/>
        <w:rPr>
          <w:rFonts w:cs="黑体" w:asciiTheme="minorEastAsia" w:hAnsiTheme="minorEastAsia"/>
          <w:color w:val="000000"/>
          <w:kern w:val="0"/>
          <w:sz w:val="70"/>
          <w:szCs w:val="70"/>
        </w:rPr>
      </w:pPr>
      <w:r>
        <w:rPr>
          <w:rFonts w:cs="黑体" w:asciiTheme="minorEastAsia" w:hAnsiTheme="minorEastAsia"/>
          <w:color w:val="000000"/>
          <w:kern w:val="0"/>
          <w:sz w:val="70"/>
          <w:szCs w:val="70"/>
        </w:rPr>
        <w:br w:type="page"/>
      </w:r>
    </w:p>
    <w:p>
      <w:pPr>
        <w:adjustRightInd w:val="0"/>
        <w:spacing w:line="600" w:lineRule="exact"/>
        <w:jc w:val="center"/>
        <w:rPr>
          <w:rFonts w:ascii="宋体" w:hAnsi="宋体"/>
          <w:b/>
          <w:bCs/>
          <w:sz w:val="36"/>
          <w:szCs w:val="36"/>
        </w:rPr>
      </w:pPr>
      <w:r>
        <w:rPr>
          <w:rFonts w:hint="eastAsia" w:ascii="宋体" w:hAnsi="宋体"/>
          <w:b/>
          <w:bCs/>
          <w:sz w:val="36"/>
          <w:szCs w:val="36"/>
        </w:rPr>
        <w:t>道县广播电视台</w:t>
      </w:r>
      <w:r>
        <w:rPr>
          <w:rFonts w:hint="eastAsia" w:ascii="宋体" w:hAnsi="宋体"/>
          <w:b/>
          <w:sz w:val="36"/>
          <w:szCs w:val="36"/>
        </w:rPr>
        <w:t>2021年部门整体绩效自评报告</w:t>
      </w:r>
    </w:p>
    <w:p>
      <w:pPr>
        <w:adjustRightInd w:val="0"/>
        <w:spacing w:line="600" w:lineRule="exact"/>
        <w:rPr>
          <w:rFonts w:ascii="宋体" w:hAnsi="宋体"/>
          <w:sz w:val="28"/>
          <w:szCs w:val="28"/>
        </w:rPr>
      </w:pPr>
    </w:p>
    <w:p>
      <w:pPr>
        <w:pStyle w:val="14"/>
        <w:numPr>
          <w:ilvl w:val="0"/>
          <w:numId w:val="2"/>
        </w:numPr>
        <w:spacing w:line="360" w:lineRule="auto"/>
        <w:ind w:firstLineChars="0"/>
        <w:rPr>
          <w:rFonts w:ascii="宋体" w:hAnsi="宋体"/>
          <w:b/>
          <w:bCs/>
          <w:sz w:val="32"/>
          <w:szCs w:val="32"/>
        </w:rPr>
      </w:pPr>
      <w:r>
        <w:rPr>
          <w:rFonts w:hint="eastAsia" w:ascii="宋体" w:hAnsi="宋体"/>
          <w:b/>
          <w:bCs/>
          <w:sz w:val="32"/>
          <w:szCs w:val="32"/>
        </w:rPr>
        <w:t>基本情况</w:t>
      </w:r>
    </w:p>
    <w:p>
      <w:pPr>
        <w:spacing w:line="360" w:lineRule="auto"/>
        <w:rPr>
          <w:rFonts w:ascii="宋体" w:hAnsi="宋体"/>
          <w:b/>
          <w:bCs/>
          <w:sz w:val="32"/>
          <w:szCs w:val="32"/>
        </w:rPr>
      </w:pPr>
      <w:r>
        <w:rPr>
          <w:rFonts w:hint="eastAsia" w:ascii="宋体" w:hAnsi="宋体"/>
          <w:b/>
          <w:sz w:val="32"/>
          <w:szCs w:val="32"/>
        </w:rPr>
        <w:t>（一）部门（单位）基本情况</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1、机构设置在职人员情况：我单位为县政府直属正科级I类事业单位，内设现有办公室、财务室、总编室、新闻专题部、制作播控部、技术开发部6个内部机构，事业编制90人，现实有在编人员108人（其中6人编制暂时在县委人才服务中心），退休人员54人。</w:t>
      </w:r>
    </w:p>
    <w:p>
      <w:pPr>
        <w:ind w:firstLine="420" w:firstLineChars="150"/>
        <w:rPr>
          <w:rFonts w:ascii="宋体" w:hAnsi="宋体" w:cs="仿宋"/>
          <w:sz w:val="28"/>
          <w:szCs w:val="28"/>
        </w:rPr>
      </w:pPr>
      <w:r>
        <w:rPr>
          <w:rFonts w:hint="eastAsia" w:ascii="宋体" w:hAnsi="宋体" w:cs="仿宋"/>
          <w:sz w:val="28"/>
          <w:szCs w:val="28"/>
        </w:rPr>
        <w:t>2、部门主要职能：</w:t>
      </w:r>
    </w:p>
    <w:p>
      <w:pPr>
        <w:ind w:firstLine="280" w:firstLineChars="100"/>
        <w:rPr>
          <w:rFonts w:ascii="宋体" w:hAnsi="宋体" w:cs="仿宋"/>
          <w:sz w:val="28"/>
          <w:szCs w:val="28"/>
        </w:rPr>
      </w:pPr>
      <w:r>
        <w:rPr>
          <w:rFonts w:hint="eastAsia" w:ascii="宋体" w:hAnsi="宋体" w:cs="仿宋"/>
          <w:sz w:val="28"/>
          <w:szCs w:val="28"/>
        </w:rPr>
        <w:t>（1）根据县委县政府规定，本单位主要工作职责是： 贯彻执行党中央、国务院及省、市、县有关新闻宣传、广播电视文艺宣传的法律法规和方针政策，把握正确舆论导向；不断提高节目质量和办台水平，当好党和人民的喉舌。</w:t>
      </w:r>
    </w:p>
    <w:p>
      <w:pPr>
        <w:ind w:firstLine="420" w:firstLineChars="150"/>
        <w:rPr>
          <w:rFonts w:ascii="宋体" w:hAnsi="宋体" w:cs="仿宋"/>
          <w:sz w:val="28"/>
          <w:szCs w:val="28"/>
        </w:rPr>
      </w:pPr>
      <w:r>
        <w:rPr>
          <w:rFonts w:hint="eastAsia" w:ascii="宋体" w:hAnsi="宋体" w:cs="仿宋"/>
          <w:sz w:val="28"/>
          <w:szCs w:val="28"/>
        </w:rPr>
        <w:t>(2）负责全县广播电视新闻宣传节目制作、对外合作交流、安全播出、安全传输发射、广电有线网络以及新媒体建设等任务。</w:t>
      </w:r>
    </w:p>
    <w:p>
      <w:pPr>
        <w:ind w:firstLine="420" w:firstLineChars="150"/>
        <w:rPr>
          <w:rFonts w:ascii="宋体" w:hAnsi="宋体" w:cs="仿宋"/>
          <w:sz w:val="28"/>
          <w:szCs w:val="28"/>
        </w:rPr>
      </w:pPr>
      <w:r>
        <w:rPr>
          <w:rFonts w:hint="eastAsia" w:ascii="宋体" w:hAnsi="宋体" w:cs="仿宋"/>
          <w:sz w:val="28"/>
          <w:szCs w:val="28"/>
        </w:rPr>
        <w:t>(3）负责拟定全县广播电视事业、产业发展规划，办好全县广播电视事业；负责组织审查广告播出，开展相关经营；负责广播电视有线传输网络的设计、建设、维护以及开发应用，发展壮大广播电视产业，促进广播电视事业发展。</w:t>
      </w:r>
    </w:p>
    <w:p>
      <w:pPr>
        <w:ind w:firstLine="420" w:firstLineChars="150"/>
        <w:rPr>
          <w:rFonts w:ascii="宋体" w:hAnsi="宋体" w:cs="仿宋"/>
          <w:sz w:val="28"/>
          <w:szCs w:val="28"/>
        </w:rPr>
      </w:pPr>
      <w:r>
        <w:rPr>
          <w:rFonts w:hint="eastAsia" w:ascii="宋体" w:hAnsi="宋体" w:cs="仿宋"/>
          <w:sz w:val="28"/>
          <w:szCs w:val="28"/>
        </w:rPr>
        <w:t>(4）受县人民政府的委托，管理、经营所属企事业单位占有（用）的全部国有资产并承担国有资产保值增值的责任。</w:t>
      </w:r>
    </w:p>
    <w:p>
      <w:pPr>
        <w:ind w:firstLine="420" w:firstLineChars="150"/>
        <w:rPr>
          <w:rFonts w:ascii="宋体" w:hAnsi="宋体" w:cs="仿宋"/>
          <w:sz w:val="28"/>
          <w:szCs w:val="28"/>
        </w:rPr>
      </w:pPr>
      <w:r>
        <w:rPr>
          <w:rFonts w:hint="eastAsia" w:ascii="宋体" w:hAnsi="宋体" w:cs="仿宋"/>
          <w:sz w:val="28"/>
          <w:szCs w:val="28"/>
        </w:rPr>
        <w:t>(5）负责全县广播电视新技术的科学研究和开发利用。</w:t>
      </w:r>
    </w:p>
    <w:p>
      <w:pPr>
        <w:ind w:firstLine="420" w:firstLineChars="150"/>
        <w:rPr>
          <w:rFonts w:ascii="宋体" w:hAnsi="宋体" w:cs="仿宋"/>
          <w:sz w:val="28"/>
          <w:szCs w:val="28"/>
        </w:rPr>
      </w:pPr>
      <w:r>
        <w:rPr>
          <w:rFonts w:hint="eastAsia" w:ascii="宋体" w:hAnsi="宋体" w:cs="仿宋"/>
          <w:sz w:val="28"/>
          <w:szCs w:val="28"/>
        </w:rPr>
        <w:t>(6）承办全县广播电视节目的评优评奖工作。</w:t>
      </w:r>
    </w:p>
    <w:p>
      <w:pPr>
        <w:ind w:firstLine="420" w:firstLineChars="150"/>
        <w:rPr>
          <w:rFonts w:ascii="宋体" w:hAnsi="宋体" w:cs="仿宋"/>
          <w:sz w:val="28"/>
          <w:szCs w:val="28"/>
        </w:rPr>
      </w:pPr>
      <w:r>
        <w:rPr>
          <w:rFonts w:hint="eastAsia" w:ascii="宋体" w:hAnsi="宋体" w:cs="仿宋"/>
          <w:sz w:val="28"/>
          <w:szCs w:val="28"/>
        </w:rPr>
        <w:t>(7）负责全县广播电视人才的培训、培养、引进和使用工作。</w:t>
      </w:r>
    </w:p>
    <w:p>
      <w:pPr>
        <w:ind w:firstLine="420" w:firstLineChars="150"/>
        <w:rPr>
          <w:rFonts w:ascii="宋体" w:hAnsi="宋体" w:cs="仿宋"/>
          <w:sz w:val="28"/>
          <w:szCs w:val="28"/>
        </w:rPr>
      </w:pPr>
      <w:r>
        <w:rPr>
          <w:rFonts w:hint="eastAsia" w:ascii="宋体" w:hAnsi="宋体" w:cs="仿宋"/>
          <w:sz w:val="28"/>
          <w:szCs w:val="28"/>
        </w:rPr>
        <w:t>(8）承办县委、县人民政府及上级有关部门交办的其它事项。</w:t>
      </w:r>
    </w:p>
    <w:p>
      <w:pPr>
        <w:ind w:firstLine="280" w:firstLineChars="100"/>
        <w:rPr>
          <w:rFonts w:ascii="宋体" w:hAnsi="宋体" w:cs="仿宋"/>
          <w:color w:val="000000"/>
          <w:sz w:val="28"/>
          <w:szCs w:val="28"/>
        </w:rPr>
      </w:pPr>
      <w:r>
        <w:rPr>
          <w:rFonts w:hint="eastAsia" w:ascii="宋体" w:hAnsi="宋体" w:cs="仿宋"/>
          <w:color w:val="000000"/>
          <w:sz w:val="28"/>
          <w:szCs w:val="28"/>
        </w:rPr>
        <w:t>（9）负责疫情和公共卫生健康危害因素监测、报告，指导乡、村和有关部门收集、报告疫情；</w:t>
      </w:r>
    </w:p>
    <w:p>
      <w:pPr>
        <w:ind w:firstLine="280" w:firstLineChars="100"/>
        <w:rPr>
          <w:rFonts w:ascii="宋体" w:hAnsi="宋体" w:cs="仿宋"/>
          <w:color w:val="000000"/>
          <w:sz w:val="28"/>
          <w:szCs w:val="28"/>
        </w:rPr>
      </w:pPr>
      <w:r>
        <w:rPr>
          <w:rFonts w:hint="eastAsia" w:ascii="宋体" w:hAnsi="宋体" w:cs="仿宋"/>
          <w:color w:val="000000"/>
          <w:sz w:val="28"/>
          <w:szCs w:val="28"/>
        </w:rPr>
        <w:t xml:space="preserve">  （10）开展卫生宣传教育与健康促进活动，普及卫生防病知识。</w:t>
      </w:r>
    </w:p>
    <w:p>
      <w:pPr>
        <w:spacing w:line="360" w:lineRule="auto"/>
        <w:rPr>
          <w:rFonts w:ascii="宋体" w:hAnsi="宋体"/>
          <w:b/>
          <w:sz w:val="32"/>
          <w:szCs w:val="32"/>
        </w:rPr>
      </w:pPr>
      <w:r>
        <w:rPr>
          <w:rFonts w:hint="eastAsia" w:ascii="宋体" w:hAnsi="宋体"/>
          <w:b/>
          <w:sz w:val="32"/>
          <w:szCs w:val="32"/>
        </w:rPr>
        <w:t>（二）部门（单位）年度整体支出绩效目标</w:t>
      </w:r>
    </w:p>
    <w:p>
      <w:pPr>
        <w:widowControl/>
        <w:spacing w:line="540" w:lineRule="exact"/>
        <w:ind w:firstLine="280" w:firstLineChars="100"/>
        <w:jc w:val="left"/>
        <w:rPr>
          <w:rFonts w:ascii="宋体" w:hAnsi="宋体"/>
          <w:sz w:val="28"/>
          <w:szCs w:val="28"/>
        </w:rPr>
      </w:pPr>
      <w:r>
        <w:rPr>
          <w:rFonts w:hint="eastAsia" w:ascii="宋体" w:hAnsi="宋体"/>
          <w:kern w:val="0"/>
          <w:sz w:val="28"/>
          <w:szCs w:val="28"/>
        </w:rPr>
        <w:t>目标</w:t>
      </w:r>
      <w:r>
        <w:rPr>
          <w:rFonts w:ascii="宋体" w:hAnsi="宋体"/>
          <w:kern w:val="0"/>
          <w:sz w:val="28"/>
          <w:szCs w:val="28"/>
        </w:rPr>
        <w:t>1</w:t>
      </w:r>
      <w:r>
        <w:rPr>
          <w:rFonts w:hint="eastAsia" w:ascii="宋体" w:hAnsi="宋体"/>
          <w:kern w:val="0"/>
          <w:sz w:val="28"/>
          <w:szCs w:val="28"/>
        </w:rPr>
        <w:t>：</w:t>
      </w:r>
      <w:r>
        <w:rPr>
          <w:rFonts w:hint="eastAsia" w:ascii="宋体" w:hAnsi="宋体"/>
          <w:sz w:val="28"/>
          <w:szCs w:val="28"/>
        </w:rPr>
        <w:t>负责全县广播电视新闻宣传节目制作、对外合作交流、安全播出、安全传输发射、广电有线网络以及新媒体建设等任务。</w:t>
      </w:r>
    </w:p>
    <w:p>
      <w:pPr>
        <w:widowControl/>
        <w:spacing w:line="540" w:lineRule="exact"/>
        <w:ind w:firstLine="280" w:firstLineChars="100"/>
        <w:jc w:val="left"/>
        <w:rPr>
          <w:rFonts w:ascii="宋体" w:hAnsi="宋体"/>
          <w:b/>
          <w:bCs/>
          <w:sz w:val="28"/>
          <w:szCs w:val="28"/>
        </w:rPr>
      </w:pPr>
      <w:r>
        <w:rPr>
          <w:rFonts w:hint="eastAsia" w:ascii="宋体" w:hAnsi="宋体"/>
          <w:kern w:val="0"/>
          <w:sz w:val="28"/>
          <w:szCs w:val="28"/>
        </w:rPr>
        <w:t xml:space="preserve">  目标</w:t>
      </w:r>
      <w:r>
        <w:rPr>
          <w:rFonts w:ascii="宋体" w:hAnsi="宋体"/>
          <w:kern w:val="0"/>
          <w:sz w:val="28"/>
          <w:szCs w:val="28"/>
        </w:rPr>
        <w:t>2</w:t>
      </w:r>
      <w:r>
        <w:rPr>
          <w:rFonts w:hint="eastAsia" w:ascii="宋体" w:hAnsi="宋体"/>
          <w:kern w:val="0"/>
          <w:sz w:val="28"/>
          <w:szCs w:val="28"/>
        </w:rPr>
        <w:t>：</w:t>
      </w:r>
      <w:r>
        <w:rPr>
          <w:rFonts w:ascii="宋体" w:hAnsi="宋体"/>
          <w:bCs/>
          <w:sz w:val="28"/>
          <w:szCs w:val="28"/>
        </w:rPr>
        <w:t>强</w:t>
      </w:r>
      <w:r>
        <w:rPr>
          <w:rFonts w:hint="eastAsia" w:ascii="宋体" w:hAnsi="宋体"/>
          <w:bCs/>
          <w:sz w:val="28"/>
          <w:szCs w:val="28"/>
        </w:rPr>
        <w:t>化安全播出，严格“三审制”和机房安播管理制度。</w:t>
      </w:r>
    </w:p>
    <w:p>
      <w:pPr>
        <w:widowControl/>
        <w:shd w:val="clear" w:color="auto" w:fill="FFFFFF"/>
        <w:spacing w:line="540" w:lineRule="exact"/>
        <w:ind w:firstLine="280" w:firstLineChars="100"/>
        <w:jc w:val="left"/>
        <w:rPr>
          <w:rFonts w:ascii="宋体" w:hAnsi="宋体"/>
          <w:bCs/>
          <w:sz w:val="28"/>
          <w:szCs w:val="28"/>
        </w:rPr>
      </w:pPr>
      <w:r>
        <w:rPr>
          <w:rFonts w:hint="eastAsia" w:ascii="宋体" w:hAnsi="宋体"/>
          <w:kern w:val="0"/>
          <w:sz w:val="28"/>
          <w:szCs w:val="28"/>
        </w:rPr>
        <w:t>目标</w:t>
      </w:r>
      <w:r>
        <w:rPr>
          <w:rFonts w:ascii="宋体" w:hAnsi="宋体"/>
          <w:kern w:val="0"/>
          <w:sz w:val="28"/>
          <w:szCs w:val="28"/>
        </w:rPr>
        <w:t>3</w:t>
      </w:r>
      <w:r>
        <w:rPr>
          <w:rFonts w:hint="eastAsia" w:ascii="宋体" w:hAnsi="宋体"/>
          <w:kern w:val="0"/>
          <w:sz w:val="28"/>
          <w:szCs w:val="28"/>
        </w:rPr>
        <w:t>：</w:t>
      </w:r>
      <w:r>
        <w:rPr>
          <w:rFonts w:hint="eastAsia" w:ascii="宋体" w:hAnsi="宋体"/>
          <w:bCs/>
          <w:sz w:val="28"/>
          <w:szCs w:val="28"/>
        </w:rPr>
        <w:t>创新宣传方式，围绕县委政府中心</w:t>
      </w:r>
      <w:r>
        <w:rPr>
          <w:rFonts w:ascii="宋体" w:hAnsi="宋体"/>
          <w:bCs/>
          <w:sz w:val="28"/>
          <w:szCs w:val="28"/>
        </w:rPr>
        <w:t>工</w:t>
      </w:r>
      <w:r>
        <w:rPr>
          <w:rFonts w:hint="eastAsia" w:ascii="宋体" w:hAnsi="宋体"/>
          <w:bCs/>
          <w:sz w:val="28"/>
          <w:szCs w:val="28"/>
        </w:rPr>
        <w:t>作开辟新的专题专栏，提高外宣上稿率，提升道县知名度和美誉度。</w:t>
      </w:r>
    </w:p>
    <w:p>
      <w:pPr>
        <w:widowControl/>
        <w:shd w:val="clear" w:color="auto" w:fill="FFFFFF"/>
        <w:spacing w:line="540" w:lineRule="exact"/>
        <w:ind w:firstLine="280" w:firstLineChars="100"/>
        <w:jc w:val="left"/>
        <w:rPr>
          <w:rFonts w:ascii="宋体" w:hAnsi="宋体" w:cs="宋体"/>
          <w:bCs/>
          <w:spacing w:val="-4"/>
          <w:kern w:val="0"/>
          <w:sz w:val="28"/>
          <w:szCs w:val="28"/>
        </w:rPr>
      </w:pPr>
      <w:r>
        <w:rPr>
          <w:rFonts w:hint="eastAsia" w:ascii="宋体" w:hAnsi="宋体"/>
          <w:sz w:val="28"/>
          <w:szCs w:val="28"/>
        </w:rPr>
        <w:t>目标4：</w:t>
      </w:r>
      <w:r>
        <w:rPr>
          <w:rFonts w:hint="eastAsia" w:ascii="宋体" w:hAnsi="宋体"/>
          <w:bCs/>
          <w:sz w:val="28"/>
          <w:szCs w:val="28"/>
        </w:rPr>
        <w:t>推进县融媒体中心建设，力争按时通过国家验收。</w:t>
      </w:r>
    </w:p>
    <w:p>
      <w:pPr>
        <w:ind w:firstLine="280" w:firstLineChars="100"/>
        <w:rPr>
          <w:rFonts w:ascii="宋体" w:hAnsi="宋体"/>
          <w:bCs/>
          <w:sz w:val="28"/>
          <w:szCs w:val="28"/>
        </w:rPr>
      </w:pPr>
      <w:r>
        <w:rPr>
          <w:rFonts w:hint="eastAsia" w:ascii="宋体" w:hAnsi="宋体"/>
          <w:kern w:val="0"/>
          <w:sz w:val="28"/>
          <w:szCs w:val="28"/>
        </w:rPr>
        <w:t>目标5：</w:t>
      </w:r>
      <w:r>
        <w:rPr>
          <w:rFonts w:hint="eastAsia" w:ascii="宋体" w:hAnsi="宋体"/>
          <w:bCs/>
          <w:sz w:val="28"/>
          <w:szCs w:val="28"/>
        </w:rPr>
        <w:t>规范新媒体运行管理，不断推出精品力作，扩大网络舆论宣传的影响力。</w:t>
      </w:r>
    </w:p>
    <w:p>
      <w:pPr>
        <w:ind w:firstLine="280" w:firstLineChars="100"/>
        <w:rPr>
          <w:rFonts w:ascii="宋体" w:hAnsi="宋体" w:cs="新宋体"/>
          <w:bCs/>
          <w:sz w:val="28"/>
          <w:szCs w:val="28"/>
        </w:rPr>
      </w:pPr>
      <w:r>
        <w:rPr>
          <w:rFonts w:hint="eastAsia" w:ascii="宋体" w:hAnsi="宋体"/>
          <w:bCs/>
          <w:sz w:val="28"/>
          <w:szCs w:val="28"/>
        </w:rPr>
        <w:t>目标6：</w:t>
      </w:r>
      <w:r>
        <w:rPr>
          <w:rFonts w:hint="eastAsia" w:ascii="宋体" w:hAnsi="宋体" w:cs="新宋体"/>
          <w:bCs/>
          <w:sz w:val="28"/>
          <w:szCs w:val="28"/>
        </w:rPr>
        <w:t>完善全县“村村响”广播和山洪地质预警系统广播，根据《湖南省广播管理条例》出台道县“村村响”广播管理办法。</w:t>
      </w:r>
    </w:p>
    <w:p>
      <w:pPr>
        <w:adjustRightInd w:val="0"/>
        <w:snapToGrid w:val="0"/>
        <w:spacing w:line="600" w:lineRule="exact"/>
        <w:ind w:firstLine="280" w:firstLineChars="100"/>
        <w:rPr>
          <w:rFonts w:ascii="宋体" w:hAnsi="宋体"/>
          <w:bCs/>
          <w:sz w:val="28"/>
          <w:szCs w:val="28"/>
        </w:rPr>
      </w:pPr>
      <w:r>
        <w:rPr>
          <w:rFonts w:hint="eastAsia" w:ascii="宋体" w:hAnsi="宋体" w:cs="新宋体"/>
          <w:bCs/>
          <w:sz w:val="28"/>
          <w:szCs w:val="28"/>
        </w:rPr>
        <w:t>目标7：</w:t>
      </w:r>
      <w:r>
        <w:rPr>
          <w:rFonts w:hint="eastAsia" w:ascii="宋体" w:hAnsi="宋体"/>
          <w:bCs/>
          <w:sz w:val="28"/>
          <w:szCs w:val="28"/>
        </w:rPr>
        <w:t>明确责任，认真完成县委政府交办的各项中心</w:t>
      </w:r>
      <w:r>
        <w:rPr>
          <w:rFonts w:ascii="宋体" w:hAnsi="宋体"/>
          <w:bCs/>
          <w:sz w:val="28"/>
          <w:szCs w:val="28"/>
        </w:rPr>
        <w:t>工</w:t>
      </w:r>
      <w:r>
        <w:rPr>
          <w:rFonts w:hint="eastAsia" w:ascii="宋体" w:hAnsi="宋体"/>
          <w:bCs/>
          <w:sz w:val="28"/>
          <w:szCs w:val="28"/>
        </w:rPr>
        <w:t>作任务。</w:t>
      </w:r>
    </w:p>
    <w:p>
      <w:pPr>
        <w:pStyle w:val="14"/>
        <w:numPr>
          <w:ilvl w:val="0"/>
          <w:numId w:val="2"/>
        </w:numPr>
        <w:spacing w:line="360" w:lineRule="auto"/>
        <w:ind w:firstLineChars="0"/>
        <w:rPr>
          <w:rFonts w:ascii="宋体" w:hAnsi="宋体"/>
          <w:b/>
          <w:bCs/>
          <w:sz w:val="32"/>
          <w:szCs w:val="32"/>
        </w:rPr>
      </w:pPr>
      <w:r>
        <w:rPr>
          <w:rFonts w:hint="eastAsia" w:ascii="宋体" w:hAnsi="宋体"/>
          <w:b/>
          <w:bCs/>
          <w:sz w:val="32"/>
          <w:szCs w:val="32"/>
        </w:rPr>
        <w:t>一般公共预算支出情况</w:t>
      </w:r>
    </w:p>
    <w:p>
      <w:pPr>
        <w:adjustRightInd w:val="0"/>
        <w:snapToGrid w:val="0"/>
        <w:spacing w:line="600" w:lineRule="exact"/>
        <w:ind w:firstLine="641"/>
        <w:rPr>
          <w:rFonts w:ascii="宋体" w:hAnsi="宋体" w:cs="仿宋"/>
          <w:sz w:val="28"/>
          <w:szCs w:val="28"/>
        </w:rPr>
      </w:pPr>
      <w:r>
        <w:rPr>
          <w:rFonts w:hint="eastAsia" w:ascii="宋体" w:hAnsi="宋体" w:cs="仿宋"/>
          <w:sz w:val="28"/>
          <w:szCs w:val="28"/>
        </w:rPr>
        <w:t>2021年道县广播电视台整体支出2083.99万元。一般公共预算财政拨款收入2083.99万元。</w:t>
      </w:r>
    </w:p>
    <w:p>
      <w:pPr>
        <w:rPr>
          <w:rFonts w:ascii="宋体" w:hAnsi="宋体" w:cs="仿宋"/>
          <w:sz w:val="28"/>
          <w:szCs w:val="28"/>
          <w:highlight w:val="yellow"/>
        </w:rPr>
      </w:pPr>
      <w:r>
        <w:rPr>
          <w:rFonts w:hint="eastAsia" w:ascii="宋体" w:hAnsi="宋体" w:cs="仿宋"/>
          <w:sz w:val="28"/>
          <w:szCs w:val="28"/>
        </w:rPr>
        <w:t>（一）基本支出情况：基本支出1133.07万元，其中：</w:t>
      </w:r>
      <w:r>
        <w:rPr>
          <w:rFonts w:hint="eastAsia" w:ascii="宋体" w:hAnsi="宋体" w:cs="仿宋"/>
          <w:bCs/>
          <w:sz w:val="28"/>
          <w:szCs w:val="28"/>
        </w:rPr>
        <w:t>工资福利支出995.92万元</w:t>
      </w:r>
      <w:r>
        <w:rPr>
          <w:rFonts w:hint="eastAsia" w:ascii="宋体" w:hAnsi="宋体" w:cs="仿宋"/>
          <w:sz w:val="28"/>
          <w:szCs w:val="28"/>
        </w:rPr>
        <w:t>（包括基本工资256.96万元，津补贴39.05万元，奖金118.8万元，伙食补助费12.4万元，绩效工资141.89万元，机关事业单位基本养老保险缴费174.11万元，职业年金缴费66.6万元，职工基本医疗保险缴费86.15万元，其他社会保障缴费4.5万元，住房公积金85.46万元，其他工资福利支出10元）；</w:t>
      </w:r>
      <w:r>
        <w:rPr>
          <w:rFonts w:hint="eastAsia" w:ascii="宋体" w:hAnsi="宋体" w:cs="仿宋"/>
          <w:bCs/>
          <w:sz w:val="28"/>
          <w:szCs w:val="28"/>
        </w:rPr>
        <w:t>一般商品服务支出135.49万元</w:t>
      </w:r>
      <w:r>
        <w:rPr>
          <w:rFonts w:hint="eastAsia" w:ascii="宋体" w:hAnsi="宋体" w:cs="仿宋"/>
          <w:sz w:val="28"/>
          <w:szCs w:val="28"/>
        </w:rPr>
        <w:t>（包括印刷费1万元，办公费15.09万元，差旅费4万，工会费25万元，公务接待12.54万元，劳务费8万元，水电邮电费14.5万元等）；</w:t>
      </w:r>
      <w:r>
        <w:rPr>
          <w:rFonts w:hint="eastAsia" w:ascii="宋体" w:hAnsi="宋体" w:cs="仿宋"/>
          <w:bCs/>
          <w:sz w:val="28"/>
          <w:szCs w:val="28"/>
        </w:rPr>
        <w:t>对个人和家庭的补助</w:t>
      </w:r>
      <w:r>
        <w:rPr>
          <w:rFonts w:hint="eastAsia" w:ascii="宋体" w:hAnsi="宋体" w:cs="仿宋"/>
          <w:sz w:val="28"/>
          <w:szCs w:val="28"/>
        </w:rPr>
        <w:t>1.66万元。</w:t>
      </w:r>
    </w:p>
    <w:p>
      <w:pPr>
        <w:rPr>
          <w:rFonts w:ascii="宋体" w:hAnsi="宋体" w:cs="仿宋"/>
          <w:sz w:val="28"/>
          <w:szCs w:val="28"/>
        </w:rPr>
      </w:pPr>
      <w:r>
        <w:rPr>
          <w:rFonts w:hint="eastAsia" w:ascii="宋体" w:hAnsi="宋体" w:cs="仿宋"/>
          <w:sz w:val="28"/>
          <w:szCs w:val="28"/>
        </w:rPr>
        <w:t>（二）项目支出情况：项目支出950.92万元。</w:t>
      </w:r>
    </w:p>
    <w:p>
      <w:pPr>
        <w:ind w:firstLine="700" w:firstLineChars="250"/>
        <w:rPr>
          <w:rFonts w:ascii="宋体" w:hAnsi="宋体" w:cs="宋体"/>
          <w:sz w:val="28"/>
          <w:szCs w:val="28"/>
        </w:rPr>
      </w:pPr>
      <w:r>
        <w:rPr>
          <w:rFonts w:hint="eastAsia" w:ascii="宋体" w:hAnsi="宋体" w:cs="仿宋"/>
          <w:sz w:val="28"/>
          <w:szCs w:val="28"/>
        </w:rPr>
        <w:t>2021年度</w:t>
      </w:r>
      <w:r>
        <w:rPr>
          <w:rFonts w:hint="eastAsia" w:ascii="宋体" w:hAnsi="宋体" w:cs="宋体"/>
          <w:sz w:val="28"/>
          <w:szCs w:val="28"/>
        </w:rPr>
        <w:t>上级下达我台</w:t>
      </w:r>
      <w:r>
        <w:rPr>
          <w:rFonts w:hint="eastAsia"/>
          <w:sz w:val="28"/>
          <w:szCs w:val="28"/>
        </w:rPr>
        <w:t>中央财政</w:t>
      </w:r>
      <w:r>
        <w:rPr>
          <w:rFonts w:hint="eastAsia" w:ascii="宋体" w:hAnsi="宋体" w:cs="宋体"/>
          <w:sz w:val="28"/>
          <w:szCs w:val="28"/>
        </w:rPr>
        <w:t>专项资金1个31.2万元，县级预算专项资金项目安排8个919.72万元，合计</w:t>
      </w:r>
      <w:r>
        <w:rPr>
          <w:rFonts w:hint="eastAsia" w:ascii="宋体" w:hAnsi="宋体" w:cs="仿宋"/>
          <w:sz w:val="28"/>
          <w:szCs w:val="28"/>
        </w:rPr>
        <w:t>950.92</w:t>
      </w:r>
      <w:r>
        <w:rPr>
          <w:rFonts w:hint="eastAsia" w:ascii="宋体" w:hAnsi="宋体" w:cs="宋体"/>
          <w:sz w:val="28"/>
          <w:szCs w:val="28"/>
        </w:rPr>
        <w:t>万元。</w:t>
      </w:r>
    </w:p>
    <w:p>
      <w:pPr>
        <w:spacing w:line="360" w:lineRule="auto"/>
        <w:rPr>
          <w:rFonts w:ascii="宋体" w:hAnsi="宋体"/>
          <w:b/>
          <w:bCs/>
          <w:sz w:val="32"/>
          <w:szCs w:val="32"/>
        </w:rPr>
      </w:pPr>
      <w:r>
        <w:rPr>
          <w:rFonts w:hint="eastAsia" w:ascii="宋体" w:hAnsi="宋体"/>
          <w:b/>
          <w:bCs/>
          <w:sz w:val="32"/>
          <w:szCs w:val="32"/>
        </w:rPr>
        <w:t>三、政府性基金预算支出情况</w:t>
      </w:r>
    </w:p>
    <w:p>
      <w:pPr>
        <w:spacing w:line="360" w:lineRule="auto"/>
        <w:ind w:firstLine="560" w:firstLineChars="200"/>
        <w:rPr>
          <w:rFonts w:ascii="宋体" w:hAnsi="宋体"/>
          <w:sz w:val="28"/>
          <w:szCs w:val="28"/>
        </w:rPr>
      </w:pPr>
      <w:r>
        <w:rPr>
          <w:rFonts w:hint="eastAsia" w:ascii="宋体" w:hAnsi="宋体"/>
          <w:sz w:val="28"/>
          <w:szCs w:val="28"/>
        </w:rPr>
        <w:t>本单位2021年度无涉及政府性基金的预算支出。</w:t>
      </w:r>
    </w:p>
    <w:p>
      <w:pPr>
        <w:spacing w:line="360" w:lineRule="auto"/>
        <w:rPr>
          <w:rFonts w:ascii="宋体" w:hAnsi="宋体"/>
          <w:b/>
          <w:bCs/>
          <w:sz w:val="32"/>
          <w:szCs w:val="32"/>
        </w:rPr>
      </w:pPr>
      <w:r>
        <w:rPr>
          <w:rFonts w:hint="eastAsia" w:ascii="宋体" w:hAnsi="宋体"/>
          <w:b/>
          <w:bCs/>
          <w:sz w:val="32"/>
          <w:szCs w:val="32"/>
        </w:rPr>
        <w:t>四、国有资本经营预算支出情况</w:t>
      </w:r>
    </w:p>
    <w:p>
      <w:pPr>
        <w:spacing w:line="360" w:lineRule="auto"/>
        <w:ind w:firstLine="560" w:firstLineChars="200"/>
        <w:rPr>
          <w:rFonts w:ascii="宋体" w:hAnsi="宋体"/>
          <w:b/>
          <w:bCs/>
          <w:sz w:val="28"/>
          <w:szCs w:val="28"/>
        </w:rPr>
      </w:pPr>
      <w:r>
        <w:rPr>
          <w:rFonts w:hint="eastAsia" w:ascii="宋体" w:hAnsi="宋体"/>
          <w:sz w:val="28"/>
          <w:szCs w:val="28"/>
        </w:rPr>
        <w:t>本单位2021年度无涉及国有资本经营的预算支出。</w:t>
      </w:r>
    </w:p>
    <w:p>
      <w:pPr>
        <w:spacing w:line="360" w:lineRule="auto"/>
        <w:rPr>
          <w:rFonts w:ascii="宋体" w:hAnsi="宋体"/>
          <w:b/>
          <w:bCs/>
          <w:sz w:val="32"/>
          <w:szCs w:val="32"/>
        </w:rPr>
      </w:pPr>
      <w:r>
        <w:rPr>
          <w:rFonts w:hint="eastAsia" w:ascii="宋体" w:hAnsi="宋体"/>
          <w:b/>
          <w:bCs/>
          <w:sz w:val="32"/>
          <w:szCs w:val="32"/>
        </w:rPr>
        <w:t>五、社会保险基金预算支出情况</w:t>
      </w:r>
    </w:p>
    <w:p>
      <w:pPr>
        <w:pStyle w:val="15"/>
        <w:spacing w:before="0" w:beforeAutospacing="0" w:after="0" w:afterAutospacing="0"/>
        <w:jc w:val="both"/>
        <w:rPr>
          <w:sz w:val="28"/>
          <w:szCs w:val="28"/>
        </w:rPr>
      </w:pPr>
      <w:r>
        <w:rPr>
          <w:rFonts w:hint="eastAsia"/>
          <w:b/>
          <w:bCs/>
          <w:sz w:val="28"/>
          <w:szCs w:val="28"/>
        </w:rPr>
        <w:t xml:space="preserve">  </w:t>
      </w:r>
      <w:r>
        <w:rPr>
          <w:rFonts w:hint="eastAsia"/>
          <w:sz w:val="28"/>
          <w:szCs w:val="28"/>
        </w:rPr>
        <w:t>本单位</w:t>
      </w:r>
      <w:r>
        <w:rPr>
          <w:rFonts w:hint="eastAsia"/>
          <w:color w:val="000000"/>
          <w:sz w:val="28"/>
          <w:szCs w:val="28"/>
        </w:rPr>
        <w:t>2021年无社会保险基金预算支出。</w:t>
      </w:r>
    </w:p>
    <w:p>
      <w:pPr>
        <w:pStyle w:val="14"/>
        <w:numPr>
          <w:ilvl w:val="0"/>
          <w:numId w:val="3"/>
        </w:numPr>
        <w:spacing w:line="360" w:lineRule="auto"/>
        <w:ind w:firstLineChars="0"/>
        <w:rPr>
          <w:rFonts w:ascii="宋体" w:hAnsi="宋体"/>
          <w:b/>
          <w:bCs/>
          <w:sz w:val="32"/>
          <w:szCs w:val="32"/>
        </w:rPr>
      </w:pPr>
      <w:r>
        <w:rPr>
          <w:rFonts w:hint="eastAsia" w:ascii="宋体" w:hAnsi="宋体"/>
          <w:b/>
          <w:bCs/>
          <w:sz w:val="32"/>
          <w:szCs w:val="32"/>
        </w:rPr>
        <w:t>部门整体支出绩效情况</w:t>
      </w:r>
    </w:p>
    <w:p>
      <w:pPr>
        <w:numPr>
          <w:ilvl w:val="0"/>
          <w:numId w:val="4"/>
        </w:numPr>
        <w:adjustRightInd w:val="0"/>
        <w:snapToGrid w:val="0"/>
        <w:spacing w:line="600" w:lineRule="exact"/>
        <w:rPr>
          <w:rFonts w:ascii="宋体" w:hAnsi="宋体" w:cs="仿宋"/>
          <w:sz w:val="28"/>
          <w:szCs w:val="28"/>
        </w:rPr>
      </w:pPr>
      <w:r>
        <w:rPr>
          <w:rFonts w:hint="eastAsia" w:ascii="宋体" w:hAnsi="宋体" w:cs="仿宋"/>
          <w:sz w:val="28"/>
          <w:szCs w:val="28"/>
        </w:rPr>
        <w:t>确保了干部职工工资正常发放和机关的正常运转，有利于社会稳定。</w:t>
      </w:r>
    </w:p>
    <w:p>
      <w:pPr>
        <w:rPr>
          <w:rFonts w:ascii="宋体" w:hAnsi="宋体" w:cs="仿宋"/>
          <w:kern w:val="0"/>
          <w:sz w:val="28"/>
          <w:szCs w:val="28"/>
        </w:rPr>
      </w:pPr>
      <w:r>
        <w:rPr>
          <w:rFonts w:hint="eastAsia" w:ascii="宋体" w:hAnsi="宋体" w:cs="仿宋"/>
          <w:kern w:val="0"/>
          <w:sz w:val="28"/>
          <w:szCs w:val="28"/>
        </w:rPr>
        <w:t>2、</w:t>
      </w:r>
      <w:r>
        <w:rPr>
          <w:rFonts w:hint="eastAsia" w:ascii="宋体" w:hAnsi="宋体" w:cs="仿宋"/>
          <w:sz w:val="28"/>
          <w:szCs w:val="28"/>
        </w:rPr>
        <w:t>我台共完成内宣报道2800条；外宣在央视上稿12条，在湖南卫视上稿72条，在市电视台上稿260条。</w:t>
      </w:r>
    </w:p>
    <w:p>
      <w:pPr>
        <w:adjustRightInd w:val="0"/>
        <w:snapToGrid w:val="0"/>
        <w:spacing w:line="600" w:lineRule="exact"/>
        <w:rPr>
          <w:rFonts w:ascii="宋体" w:hAnsi="宋体" w:cs="仿宋"/>
          <w:sz w:val="28"/>
          <w:szCs w:val="28"/>
        </w:rPr>
      </w:pPr>
      <w:r>
        <w:rPr>
          <w:rFonts w:hint="eastAsia" w:ascii="宋体" w:hAnsi="宋体" w:cs="仿宋"/>
          <w:sz w:val="28"/>
          <w:szCs w:val="28"/>
        </w:rPr>
        <w:t>3、我台组织3人的专人队伍对全县283个山洪预警广播点进行了全面的摸排维护。</w:t>
      </w:r>
    </w:p>
    <w:p>
      <w:pPr>
        <w:adjustRightInd w:val="0"/>
        <w:snapToGrid w:val="0"/>
        <w:spacing w:line="600" w:lineRule="exact"/>
        <w:rPr>
          <w:rFonts w:ascii="宋体" w:hAnsi="宋体" w:cs="仿宋"/>
          <w:sz w:val="28"/>
          <w:szCs w:val="28"/>
        </w:rPr>
      </w:pPr>
      <w:r>
        <w:rPr>
          <w:rFonts w:hint="eastAsia" w:ascii="宋体" w:hAnsi="宋体" w:cs="仿宋"/>
          <w:sz w:val="28"/>
          <w:szCs w:val="28"/>
        </w:rPr>
        <w:t>4、经济效益：2021年完成广告收入75.46万元，直接转入财政，由财政直接列入预算返还工作经费。</w:t>
      </w:r>
    </w:p>
    <w:p>
      <w:pPr>
        <w:rPr>
          <w:rFonts w:ascii="宋体" w:hAnsi="宋体"/>
          <w:sz w:val="28"/>
          <w:szCs w:val="28"/>
        </w:rPr>
      </w:pPr>
      <w:r>
        <w:rPr>
          <w:rFonts w:hint="eastAsia" w:ascii="宋体" w:hAnsi="宋体" w:cs="仿宋"/>
          <w:sz w:val="28"/>
          <w:szCs w:val="28"/>
        </w:rPr>
        <w:t>5、群众满意度：实施农村无线数字电视覆盖，让群众免费收看中央19套、省5套、市、县各1套共26套电视节目，收听3套中央广播节目</w:t>
      </w:r>
      <w:r>
        <w:rPr>
          <w:rFonts w:hint="eastAsia" w:ascii="宋体" w:hAnsi="宋体"/>
          <w:sz w:val="28"/>
          <w:szCs w:val="28"/>
        </w:rPr>
        <w:t>，完成了年初各项计划指标，达到了预期效果，获得了社会各界的一致好评。</w:t>
      </w:r>
    </w:p>
    <w:p>
      <w:pPr>
        <w:adjustRightInd w:val="0"/>
        <w:snapToGrid w:val="0"/>
        <w:spacing w:line="600" w:lineRule="exact"/>
        <w:rPr>
          <w:rFonts w:ascii="宋体" w:hAnsi="宋体" w:cs="仿宋"/>
          <w:sz w:val="28"/>
          <w:szCs w:val="28"/>
        </w:rPr>
      </w:pPr>
      <w:r>
        <w:rPr>
          <w:rFonts w:hint="eastAsia" w:ascii="宋体" w:hAnsi="宋体" w:cs="仿宋"/>
          <w:sz w:val="28"/>
          <w:szCs w:val="28"/>
        </w:rPr>
        <w:t>6、乡村振兴情况：2021年</w:t>
      </w:r>
      <w:r>
        <w:rPr>
          <w:rFonts w:hint="eastAsia" w:ascii="宋体" w:hAnsi="宋体" w:cs="宋体"/>
          <w:sz w:val="28"/>
          <w:szCs w:val="28"/>
        </w:rPr>
        <w:t>圆满完成全村239户脱贫户以及50多名五类人员的资料填写整理，</w:t>
      </w:r>
      <w:r>
        <w:rPr>
          <w:rFonts w:hint="eastAsia" w:ascii="宋体" w:hAnsi="宋体" w:cs="仿宋"/>
          <w:sz w:val="28"/>
          <w:szCs w:val="28"/>
        </w:rPr>
        <w:t>结合帮扶村实际，帮助实施了农田水利、农村道路、环保、危房改造等项目。积极为帮扶户出点子、谋思路、讲政策、送信息、引资金，帮助群众解决难题和困难。</w:t>
      </w:r>
    </w:p>
    <w:p>
      <w:pPr>
        <w:adjustRightInd w:val="0"/>
        <w:snapToGrid w:val="0"/>
        <w:spacing w:line="600" w:lineRule="exact"/>
        <w:rPr>
          <w:rFonts w:ascii="宋体" w:hAnsi="宋体" w:cs="黑体"/>
          <w:b/>
          <w:sz w:val="32"/>
          <w:szCs w:val="32"/>
        </w:rPr>
      </w:pPr>
      <w:r>
        <w:rPr>
          <w:rFonts w:hint="eastAsia" w:ascii="宋体" w:hAnsi="宋体" w:cs="黑体"/>
          <w:b/>
          <w:sz w:val="32"/>
          <w:szCs w:val="32"/>
        </w:rPr>
        <w:t>七、存在的主要问题及问题分析</w:t>
      </w:r>
    </w:p>
    <w:p>
      <w:pPr>
        <w:snapToGrid w:val="0"/>
        <w:spacing w:line="360" w:lineRule="auto"/>
        <w:ind w:firstLine="560" w:firstLineChars="200"/>
        <w:rPr>
          <w:rFonts w:ascii="宋体" w:hAnsi="宋体"/>
          <w:sz w:val="28"/>
          <w:szCs w:val="28"/>
        </w:rPr>
      </w:pPr>
      <w:r>
        <w:rPr>
          <w:rFonts w:hint="eastAsia" w:ascii="宋体" w:hAnsi="宋体"/>
          <w:sz w:val="28"/>
          <w:szCs w:val="28"/>
        </w:rPr>
        <w:t>2021年执行及绩效管理期间，我台认真执行中央、省和市、县安排的财政资金的使用及监管，没有违反资金分配、拨付和项目立项、审批的程序；没有截留、挤占、挪用、贪污和骗取扶贫的现象。但也存在一些不足之处，主要是</w:t>
      </w:r>
      <w:r>
        <w:rPr>
          <w:rFonts w:hint="eastAsia" w:ascii="宋体" w:hAnsi="宋体" w:cs="仿宋"/>
          <w:bCs/>
          <w:sz w:val="28"/>
          <w:szCs w:val="28"/>
        </w:rPr>
        <w:t>管理制度不够完善</w:t>
      </w:r>
      <w:r>
        <w:rPr>
          <w:rFonts w:hint="eastAsia" w:ascii="宋体" w:hAnsi="宋体" w:cs="仿宋"/>
          <w:color w:val="000000"/>
          <w:sz w:val="28"/>
          <w:szCs w:val="28"/>
        </w:rPr>
        <w:t>，</w:t>
      </w:r>
      <w:r>
        <w:rPr>
          <w:rFonts w:hint="eastAsia" w:ascii="宋体" w:hAnsi="宋体" w:cs="仿宋"/>
          <w:bCs/>
          <w:sz w:val="28"/>
          <w:szCs w:val="28"/>
        </w:rPr>
        <w:t>单位各部门沟通不充分，</w:t>
      </w:r>
      <w:r>
        <w:rPr>
          <w:rFonts w:hint="eastAsia" w:ascii="宋体" w:hAnsi="宋体" w:cs="仿宋"/>
          <w:color w:val="000000"/>
          <w:sz w:val="28"/>
          <w:szCs w:val="28"/>
        </w:rPr>
        <w:t>县财政每年的预算资金到位比较晚，不利于本单位的工作开展。</w:t>
      </w:r>
    </w:p>
    <w:p>
      <w:pPr>
        <w:spacing w:line="360" w:lineRule="auto"/>
        <w:rPr>
          <w:rFonts w:ascii="宋体" w:hAnsi="宋体"/>
          <w:b/>
          <w:bCs/>
          <w:sz w:val="32"/>
          <w:szCs w:val="32"/>
        </w:rPr>
      </w:pPr>
      <w:r>
        <w:rPr>
          <w:rFonts w:hint="eastAsia" w:ascii="宋体" w:hAnsi="宋体" w:cs="黑体"/>
          <w:b/>
          <w:sz w:val="32"/>
          <w:szCs w:val="32"/>
        </w:rPr>
        <w:t>八、</w:t>
      </w:r>
      <w:r>
        <w:rPr>
          <w:rFonts w:hint="eastAsia" w:ascii="宋体" w:hAnsi="宋体"/>
          <w:b/>
          <w:bCs/>
          <w:sz w:val="32"/>
          <w:szCs w:val="32"/>
        </w:rPr>
        <w:t>下一步改进措施</w:t>
      </w:r>
    </w:p>
    <w:p>
      <w:pPr>
        <w:rPr>
          <w:rFonts w:ascii="宋体" w:hAnsi="宋体" w:cs="仿宋"/>
          <w:color w:val="010101"/>
          <w:kern w:val="0"/>
          <w:sz w:val="28"/>
          <w:szCs w:val="28"/>
        </w:rPr>
      </w:pPr>
      <w:r>
        <w:rPr>
          <w:rFonts w:hint="eastAsia" w:ascii="宋体" w:hAnsi="宋体" w:cs="仿宋"/>
          <w:bCs/>
          <w:color w:val="010101"/>
          <w:kern w:val="0"/>
          <w:sz w:val="28"/>
          <w:szCs w:val="28"/>
        </w:rPr>
        <w:t>（一）规范账务处理，提高财务信息质量</w:t>
      </w:r>
      <w:r>
        <w:rPr>
          <w:rFonts w:hint="eastAsia" w:ascii="宋体" w:hAnsi="宋体" w:cs="仿宋"/>
          <w:color w:val="010101"/>
          <w:kern w:val="0"/>
          <w:sz w:val="28"/>
          <w:szCs w:val="28"/>
        </w:rPr>
        <w:t> 。</w:t>
      </w:r>
    </w:p>
    <w:p>
      <w:pPr>
        <w:ind w:firstLine="560" w:firstLineChars="200"/>
        <w:rPr>
          <w:rFonts w:ascii="宋体" w:hAnsi="宋体" w:cs="仿宋"/>
          <w:color w:val="010101"/>
          <w:kern w:val="0"/>
          <w:sz w:val="28"/>
          <w:szCs w:val="28"/>
        </w:rPr>
      </w:pPr>
      <w:r>
        <w:rPr>
          <w:rFonts w:hint="eastAsia" w:ascii="宋体" w:hAnsi="宋体" w:cs="仿宋"/>
          <w:color w:val="010101"/>
          <w:kern w:val="0"/>
          <w:sz w:val="28"/>
          <w:szCs w:val="28"/>
        </w:rPr>
        <w:t>严格按照《会计法》、《政府单位会计制度》等规定执行财务核算，并结合实际情况，完整、准确地披露相关信息，做到决算与预算相衔接。</w:t>
      </w:r>
    </w:p>
    <w:p>
      <w:pPr>
        <w:rPr>
          <w:rFonts w:ascii="宋体" w:hAnsi="宋体" w:cs="仿宋"/>
          <w:bCs/>
          <w:color w:val="010101"/>
          <w:kern w:val="0"/>
          <w:sz w:val="28"/>
          <w:szCs w:val="28"/>
        </w:rPr>
      </w:pPr>
      <w:r>
        <w:rPr>
          <w:rFonts w:hint="eastAsia" w:ascii="宋体" w:hAnsi="宋体" w:cs="仿宋"/>
          <w:bCs/>
          <w:color w:val="010101"/>
          <w:kern w:val="0"/>
          <w:sz w:val="28"/>
          <w:szCs w:val="28"/>
        </w:rPr>
        <w:t>（二）落实管理制度，进一步加强接待管理。</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按照《道县党政机关公务接待管理实施细则》的加强接待管理工作，对被接待单位人员要及时索取接待函对存在的问题。</w:t>
      </w:r>
    </w:p>
    <w:p>
      <w:pPr>
        <w:adjustRightInd w:val="0"/>
        <w:snapToGrid w:val="0"/>
        <w:spacing w:line="600" w:lineRule="exact"/>
        <w:rPr>
          <w:rFonts w:ascii="宋体" w:hAnsi="宋体" w:cs="仿宋"/>
          <w:sz w:val="28"/>
          <w:szCs w:val="28"/>
        </w:rPr>
      </w:pPr>
      <w:r>
        <w:rPr>
          <w:rFonts w:hint="eastAsia" w:ascii="宋体" w:hAnsi="宋体" w:cs="仿宋"/>
          <w:sz w:val="28"/>
          <w:szCs w:val="28"/>
        </w:rPr>
        <w:t>（三）加强会计机构队伍建设</w:t>
      </w:r>
    </w:p>
    <w:p>
      <w:pPr>
        <w:adjustRightInd w:val="0"/>
        <w:snapToGrid w:val="0"/>
        <w:spacing w:line="600" w:lineRule="exact"/>
        <w:ind w:firstLine="560" w:firstLineChars="200"/>
        <w:rPr>
          <w:rFonts w:ascii="宋体" w:hAnsi="宋体" w:cs="仿宋"/>
          <w:sz w:val="28"/>
          <w:szCs w:val="28"/>
        </w:rPr>
      </w:pPr>
      <w:r>
        <w:rPr>
          <w:rFonts w:hint="eastAsia" w:ascii="宋体" w:hAnsi="宋体" w:cs="仿宋"/>
          <w:sz w:val="28"/>
          <w:szCs w:val="28"/>
        </w:rPr>
        <w:t>按照《中华人民共和国会计法》要求建立会计机关，配备齐会计人员，做到不相容岗位分设，加强会计监督。</w:t>
      </w:r>
    </w:p>
    <w:p>
      <w:pPr>
        <w:spacing w:line="360" w:lineRule="auto"/>
        <w:rPr>
          <w:rFonts w:ascii="宋体" w:hAnsi="宋体"/>
          <w:b/>
          <w:bCs/>
          <w:sz w:val="32"/>
          <w:szCs w:val="32"/>
        </w:rPr>
      </w:pPr>
      <w:r>
        <w:rPr>
          <w:rFonts w:hint="eastAsia" w:ascii="宋体" w:hAnsi="宋体"/>
          <w:b/>
          <w:bCs/>
          <w:sz w:val="32"/>
          <w:szCs w:val="32"/>
        </w:rPr>
        <w:t>九、绩效自评结果拟应用和公开情况</w:t>
      </w:r>
    </w:p>
    <w:p>
      <w:pPr>
        <w:spacing w:line="360" w:lineRule="auto"/>
        <w:ind w:left="210" w:firstLine="420" w:firstLineChars="150"/>
        <w:rPr>
          <w:rFonts w:ascii="宋体" w:hAnsi="宋体"/>
          <w:sz w:val="28"/>
          <w:szCs w:val="28"/>
        </w:rPr>
      </w:pPr>
      <w:r>
        <w:rPr>
          <w:rFonts w:hint="eastAsia" w:ascii="宋体" w:hAnsi="宋体"/>
          <w:sz w:val="28"/>
          <w:szCs w:val="28"/>
        </w:rPr>
        <w:t>根据2021年道县广播电视台部门整体支出绩效自评表打分，自评得分为：90分</w:t>
      </w:r>
    </w:p>
    <w:p>
      <w:pPr>
        <w:spacing w:line="360" w:lineRule="auto"/>
        <w:ind w:left="210"/>
        <w:rPr>
          <w:rFonts w:ascii="宋体" w:hAnsi="宋体"/>
          <w:sz w:val="28"/>
          <w:szCs w:val="28"/>
        </w:rPr>
      </w:pPr>
    </w:p>
    <w:p>
      <w:pPr>
        <w:adjustRightInd w:val="0"/>
        <w:snapToGrid w:val="0"/>
        <w:spacing w:line="600" w:lineRule="exact"/>
        <w:ind w:firstLine="560" w:firstLineChars="200"/>
        <w:jc w:val="center"/>
        <w:rPr>
          <w:rFonts w:ascii="宋体" w:hAnsi="宋体" w:cs="仿宋"/>
          <w:sz w:val="28"/>
          <w:szCs w:val="28"/>
        </w:rPr>
      </w:pPr>
      <w:r>
        <w:rPr>
          <w:rFonts w:hint="eastAsia" w:ascii="宋体" w:hAnsi="宋体" w:cs="仿宋"/>
          <w:sz w:val="28"/>
          <w:szCs w:val="28"/>
        </w:rPr>
        <w:t xml:space="preserve">                         道县融媒体中心（道县广播电视台）</w:t>
      </w:r>
    </w:p>
    <w:p>
      <w:pPr>
        <w:wordWrap w:val="0"/>
        <w:adjustRightInd w:val="0"/>
        <w:snapToGrid w:val="0"/>
        <w:spacing w:line="600" w:lineRule="exact"/>
        <w:ind w:firstLine="560" w:firstLineChars="200"/>
        <w:jc w:val="center"/>
        <w:rPr>
          <w:rFonts w:ascii="宋体" w:hAnsi="宋体" w:cs="仿宋"/>
          <w:sz w:val="28"/>
          <w:szCs w:val="28"/>
        </w:rPr>
      </w:pPr>
      <w:r>
        <w:rPr>
          <w:rFonts w:hint="eastAsia" w:ascii="宋体" w:hAnsi="宋体" w:cs="仿宋"/>
          <w:sz w:val="28"/>
          <w:szCs w:val="28"/>
        </w:rPr>
        <w:t xml:space="preserve">                           2022年7月5日</w:t>
      </w:r>
    </w:p>
    <w:p>
      <w:pPr>
        <w:spacing w:line="360" w:lineRule="auto"/>
        <w:rPr>
          <w:rFonts w:ascii="宋体" w:hAnsi="宋体"/>
          <w:sz w:val="28"/>
          <w:szCs w:val="28"/>
        </w:rPr>
      </w:pPr>
      <w:r>
        <w:rPr>
          <w:rFonts w:hint="eastAsia" w:ascii="宋体" w:hAnsi="宋体"/>
          <w:sz w:val="28"/>
          <w:szCs w:val="28"/>
        </w:rPr>
        <w:t xml:space="preserve">                 </w:t>
      </w:r>
    </w:p>
    <w:p>
      <w:pPr>
        <w:wordWrap w:val="0"/>
        <w:adjustRightInd w:val="0"/>
        <w:snapToGrid w:val="0"/>
        <w:spacing w:line="600" w:lineRule="exact"/>
        <w:ind w:firstLine="560" w:firstLineChars="200"/>
        <w:jc w:val="center"/>
        <w:rPr>
          <w:rFonts w:ascii="宋体" w:hAnsi="宋体" w:cs="仿宋"/>
          <w:sz w:val="28"/>
          <w:szCs w:val="28"/>
        </w:rPr>
      </w:pPr>
    </w:p>
    <w:p>
      <w:pPr>
        <w:ind w:firstLine="640" w:firstLineChars="200"/>
        <w:jc w:val="center"/>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496122"/>
    <w:multiLevelType w:val="multilevel"/>
    <w:tmpl w:val="3249612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91E0351"/>
    <w:multiLevelType w:val="multilevel"/>
    <w:tmpl w:val="391E0351"/>
    <w:lvl w:ilvl="0" w:tentative="0">
      <w:start w:val="6"/>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957016F"/>
    <w:multiLevelType w:val="singleLevel"/>
    <w:tmpl w:val="5957016F"/>
    <w:lvl w:ilvl="0" w:tentative="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3YTE2NWIwYjFhMDQ0MmViZDRlYjYwZmFmMjQ1ZmYifQ=="/>
  </w:docVars>
  <w:rsids>
    <w:rsidRoot w:val="004506F9"/>
    <w:rsid w:val="00007E3C"/>
    <w:rsid w:val="0002229B"/>
    <w:rsid w:val="000273BD"/>
    <w:rsid w:val="000302F1"/>
    <w:rsid w:val="00031FB2"/>
    <w:rsid w:val="000415B7"/>
    <w:rsid w:val="00041E3F"/>
    <w:rsid w:val="00055DAA"/>
    <w:rsid w:val="00056234"/>
    <w:rsid w:val="00057AF6"/>
    <w:rsid w:val="00061F7B"/>
    <w:rsid w:val="000658A3"/>
    <w:rsid w:val="00074155"/>
    <w:rsid w:val="000873EF"/>
    <w:rsid w:val="000A3F69"/>
    <w:rsid w:val="00103957"/>
    <w:rsid w:val="001210C5"/>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A33BA"/>
    <w:rsid w:val="002D31D9"/>
    <w:rsid w:val="002D5A50"/>
    <w:rsid w:val="002E0A30"/>
    <w:rsid w:val="003130C4"/>
    <w:rsid w:val="00316C4B"/>
    <w:rsid w:val="0032192B"/>
    <w:rsid w:val="003479BD"/>
    <w:rsid w:val="00367C82"/>
    <w:rsid w:val="0037197D"/>
    <w:rsid w:val="003768D5"/>
    <w:rsid w:val="003C4197"/>
    <w:rsid w:val="003C47E6"/>
    <w:rsid w:val="003C4FC2"/>
    <w:rsid w:val="003E2331"/>
    <w:rsid w:val="00416E61"/>
    <w:rsid w:val="004171F7"/>
    <w:rsid w:val="0042790C"/>
    <w:rsid w:val="004506F9"/>
    <w:rsid w:val="004717A2"/>
    <w:rsid w:val="00473DF3"/>
    <w:rsid w:val="00487911"/>
    <w:rsid w:val="00491734"/>
    <w:rsid w:val="00491741"/>
    <w:rsid w:val="004B0CEE"/>
    <w:rsid w:val="004B31F1"/>
    <w:rsid w:val="004E1AB3"/>
    <w:rsid w:val="00500E5F"/>
    <w:rsid w:val="005122EF"/>
    <w:rsid w:val="0051441A"/>
    <w:rsid w:val="00517C33"/>
    <w:rsid w:val="00517D5F"/>
    <w:rsid w:val="00521AF2"/>
    <w:rsid w:val="00523644"/>
    <w:rsid w:val="0054069E"/>
    <w:rsid w:val="00544866"/>
    <w:rsid w:val="00553CE3"/>
    <w:rsid w:val="005577E4"/>
    <w:rsid w:val="005767CC"/>
    <w:rsid w:val="00590D9F"/>
    <w:rsid w:val="00595D26"/>
    <w:rsid w:val="005A74E6"/>
    <w:rsid w:val="005B404E"/>
    <w:rsid w:val="005D4D55"/>
    <w:rsid w:val="005D5B94"/>
    <w:rsid w:val="005D7790"/>
    <w:rsid w:val="005E2CFB"/>
    <w:rsid w:val="005F2103"/>
    <w:rsid w:val="005F2FDB"/>
    <w:rsid w:val="005F3D1C"/>
    <w:rsid w:val="0062378F"/>
    <w:rsid w:val="00623A77"/>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67D02"/>
    <w:rsid w:val="00787B42"/>
    <w:rsid w:val="007C4539"/>
    <w:rsid w:val="007F3657"/>
    <w:rsid w:val="00812ED5"/>
    <w:rsid w:val="008277D9"/>
    <w:rsid w:val="008422FA"/>
    <w:rsid w:val="0084478C"/>
    <w:rsid w:val="0086638C"/>
    <w:rsid w:val="008A3E8D"/>
    <w:rsid w:val="008D2968"/>
    <w:rsid w:val="008E332C"/>
    <w:rsid w:val="009237C4"/>
    <w:rsid w:val="00944C48"/>
    <w:rsid w:val="00947F70"/>
    <w:rsid w:val="00950252"/>
    <w:rsid w:val="00967F5D"/>
    <w:rsid w:val="009A0F95"/>
    <w:rsid w:val="009B3ADF"/>
    <w:rsid w:val="009C3B52"/>
    <w:rsid w:val="009E6817"/>
    <w:rsid w:val="009E6E9A"/>
    <w:rsid w:val="00A01D2B"/>
    <w:rsid w:val="00A42218"/>
    <w:rsid w:val="00A63C70"/>
    <w:rsid w:val="00A70249"/>
    <w:rsid w:val="00A70B02"/>
    <w:rsid w:val="00A71D9F"/>
    <w:rsid w:val="00A92E9F"/>
    <w:rsid w:val="00B33BEA"/>
    <w:rsid w:val="00B57C9F"/>
    <w:rsid w:val="00B63572"/>
    <w:rsid w:val="00B845B3"/>
    <w:rsid w:val="00B85D8B"/>
    <w:rsid w:val="00BB4A40"/>
    <w:rsid w:val="00BD6C3E"/>
    <w:rsid w:val="00BE3674"/>
    <w:rsid w:val="00C10681"/>
    <w:rsid w:val="00C14252"/>
    <w:rsid w:val="00C15948"/>
    <w:rsid w:val="00C3049A"/>
    <w:rsid w:val="00C31B1E"/>
    <w:rsid w:val="00C77645"/>
    <w:rsid w:val="00CE04C3"/>
    <w:rsid w:val="00CE535A"/>
    <w:rsid w:val="00CE76A0"/>
    <w:rsid w:val="00CF7558"/>
    <w:rsid w:val="00D148C6"/>
    <w:rsid w:val="00D17A8A"/>
    <w:rsid w:val="00D22B98"/>
    <w:rsid w:val="00D415BA"/>
    <w:rsid w:val="00D63780"/>
    <w:rsid w:val="00D644EE"/>
    <w:rsid w:val="00D75489"/>
    <w:rsid w:val="00DB4E47"/>
    <w:rsid w:val="00DD06FF"/>
    <w:rsid w:val="00DD5FE9"/>
    <w:rsid w:val="00E00C7A"/>
    <w:rsid w:val="00E209CF"/>
    <w:rsid w:val="00E37D6C"/>
    <w:rsid w:val="00E55B68"/>
    <w:rsid w:val="00E67BE6"/>
    <w:rsid w:val="00E8683C"/>
    <w:rsid w:val="00EA2B72"/>
    <w:rsid w:val="00EA2CB3"/>
    <w:rsid w:val="00EE24FC"/>
    <w:rsid w:val="00F74360"/>
    <w:rsid w:val="00FB462F"/>
    <w:rsid w:val="00FE16FA"/>
    <w:rsid w:val="00FE328A"/>
    <w:rsid w:val="00FE6269"/>
    <w:rsid w:val="00FF5CD6"/>
    <w:rsid w:val="01C37624"/>
    <w:rsid w:val="0DAA103F"/>
    <w:rsid w:val="0E221AA0"/>
    <w:rsid w:val="0FFF466D"/>
    <w:rsid w:val="18C003E6"/>
    <w:rsid w:val="1BF92D97"/>
    <w:rsid w:val="1C063A19"/>
    <w:rsid w:val="240D10DB"/>
    <w:rsid w:val="2455194A"/>
    <w:rsid w:val="321D1954"/>
    <w:rsid w:val="3AF47369"/>
    <w:rsid w:val="56494DA6"/>
    <w:rsid w:val="638A064B"/>
    <w:rsid w:val="69AC1575"/>
    <w:rsid w:val="7AAB0966"/>
    <w:rsid w:val="7B7F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Autospacing="1" w:afterAutospacing="1"/>
      <w:jc w:val="left"/>
    </w:pPr>
    <w:rPr>
      <w:rFonts w:ascii="Calibri" w:hAnsi="Calibri" w:eastAsia="宋体" w:cs="黑体"/>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p0"/>
    <w:basedOn w:val="1"/>
    <w:qFormat/>
    <w:uiPriority w:val="0"/>
    <w:pPr>
      <w:widowControl/>
    </w:pPr>
    <w:rPr>
      <w:rFonts w:ascii="Calibri" w:hAnsi="Calibri" w:eastAsia="仿宋_GB2312" w:cs="黑体"/>
      <w:kern w:val="0"/>
      <w:sz w:val="32"/>
      <w:szCs w:val="32"/>
    </w:rPr>
  </w:style>
  <w:style w:type="paragraph" w:customStyle="1" w:styleId="14">
    <w:name w:val="列出段落1"/>
    <w:basedOn w:val="1"/>
    <w:unhideWhenUsed/>
    <w:qFormat/>
    <w:uiPriority w:val="99"/>
    <w:pPr>
      <w:ind w:firstLine="420" w:firstLineChars="200"/>
    </w:pPr>
    <w:rPr>
      <w:rFonts w:ascii="Times New Roman" w:hAnsi="Times New Roman" w:eastAsia="宋体" w:cs="Times New Roman"/>
      <w:szCs w:val="24"/>
    </w:rPr>
  </w:style>
  <w:style w:type="paragraph" w:customStyle="1" w:styleId="15">
    <w:name w:val="paragraph"/>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87B8D-F48B-4DE6-8C5F-B789D69BBD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2133</Words>
  <Characters>12160</Characters>
  <Lines>101</Lines>
  <Paragraphs>28</Paragraphs>
  <TotalTime>0</TotalTime>
  <ScaleCrop>false</ScaleCrop>
  <LinksUpToDate>false</LinksUpToDate>
  <CharactersWithSpaces>14265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2023-09-08T05:12:00Z</cp:lastPrinted>
  <dcterms:modified xsi:type="dcterms:W3CDTF">2023-09-28T05:20:10Z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DF6725970D0A400CBE790070B6AC9EAA_13</vt:lpwstr>
  </property>
</Properties>
</file>