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rFonts w:hint="eastAsia"/>
          <w:sz w:val="84"/>
          <w:szCs w:val="84"/>
          <w:lang w:eastAsia="zh-CN"/>
        </w:rPr>
      </w:pPr>
      <w:r>
        <w:rPr>
          <w:rFonts w:hint="eastAsia"/>
          <w:sz w:val="84"/>
          <w:szCs w:val="84"/>
          <w:lang w:eastAsia="zh-CN"/>
        </w:rPr>
        <w:t>道县柑子园镇人民政府</w:t>
      </w:r>
    </w:p>
    <w:p>
      <w:pPr>
        <w:pStyle w:val="11"/>
        <w:jc w:val="center"/>
        <w:rPr>
          <w:sz w:val="84"/>
          <w:szCs w:val="84"/>
        </w:rPr>
      </w:pP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rFonts w:hint="eastAsia"/>
          <w:sz w:val="84"/>
          <w:szCs w:val="84"/>
          <w:lang w:val="en-US" w:eastAsia="zh-CN"/>
        </w:rPr>
      </w:pPr>
      <w:r>
        <w:rPr>
          <w:rFonts w:hint="eastAsia"/>
          <w:sz w:val="84"/>
          <w:szCs w:val="84"/>
          <w:lang w:val="en-US" w:eastAsia="zh-CN"/>
        </w:rPr>
        <w:t>道县柑子园镇人民政府</w:t>
      </w:r>
    </w:p>
    <w:p>
      <w:pPr>
        <w:pStyle w:val="11"/>
        <w:jc w:val="center"/>
        <w:rPr>
          <w:sz w:val="84"/>
          <w:szCs w:val="84"/>
        </w:rPr>
      </w:pP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1）制定和组织实施经济、科技和社会发展计划，制定资源开发技术改造和产业结构调整方案，组织指导好各业生产，搞好商品流通，协调好本乡与外地区的经济交流与合作，抓好招商引资，人才引进项目开发，不断培育市场体系，组织经济运行，促进经济发展。</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（2）制定并组织实施村镇建设规划，部署重点工程建设，地方道路建设及公共设施，水利设施的管理，负责土地、林木、水等自然资源和生态环境的保护，做好护林防火工作。</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3）负责本行政区域内的民政、计划生育、文化教育、卫生、体育等社会公益事业的综合性工作，维护一切经济单位和个人的正当经济权益，取缔非法经济活动，调解和处理民事纠纷，打击刑事犯罪维护社会稳定。</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（4）按计划组织本级财政收入和地方税的征收，完成国家财政计划，不断培植税源，管好财政资金，增强财政实力。</w:t>
      </w:r>
    </w:p>
    <w:p>
      <w:pPr>
        <w:ind w:firstLine="800" w:firstLineChars="250"/>
        <w:jc w:val="left"/>
        <w:rPr>
          <w:rFonts w:hint="eastAsia" w:asciiTheme="minorEastAsia" w:hAnsiTheme="minorEastAsia"/>
          <w:sz w:val="32"/>
          <w:szCs w:val="32"/>
        </w:rPr>
      </w:pPr>
      <w:r>
        <w:rPr>
          <w:rFonts w:hint="eastAsia" w:asciiTheme="minorEastAsia" w:hAnsiTheme="minorEastAsia"/>
          <w:sz w:val="32"/>
          <w:szCs w:val="32"/>
        </w:rPr>
        <w:t>（5）抓好精神文明建设，丰富群众文化生活，提倡移风易俗，反对封建迷信，破除陈规陋习，树立社会主义新风尚。</w:t>
      </w:r>
    </w:p>
    <w:p>
      <w:pPr>
        <w:ind w:firstLine="800" w:firstLineChars="250"/>
        <w:jc w:val="left"/>
        <w:rPr>
          <w:rFonts w:asciiTheme="minorEastAsia" w:hAnsiTheme="minorEastAsia"/>
          <w:sz w:val="32"/>
          <w:szCs w:val="32"/>
        </w:rPr>
      </w:pPr>
      <w:r>
        <w:rPr>
          <w:rFonts w:hint="eastAsia" w:asciiTheme="minorEastAsia" w:hAnsiTheme="minorEastAsia"/>
          <w:sz w:val="32"/>
          <w:szCs w:val="32"/>
        </w:rPr>
        <w:t>（6）完成上级政府交办的其它事项。</w:t>
      </w:r>
    </w:p>
    <w:p>
      <w:pPr>
        <w:jc w:val="left"/>
        <w:rPr>
          <w:rFonts w:asciiTheme="minorEastAsia" w:hAnsiTheme="minorEastAsia"/>
          <w:sz w:val="32"/>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道县柑子园镇人民政府</w:t>
      </w:r>
      <w:r>
        <w:rPr>
          <w:rFonts w:hint="eastAsia" w:asciiTheme="minorEastAsia" w:hAnsiTheme="minorEastAsia"/>
          <w:bCs/>
          <w:kern w:val="0"/>
          <w:sz w:val="32"/>
          <w:szCs w:val="32"/>
        </w:rPr>
        <w:t>为正科级全额拨款行政单位，内设机构包括：党政办公室、党建群团工作办公室、财政办公室、社会事务办公室、应急管理办公室、生态环境保护办公室、综合行政执法办公室，职能包括制定和组织实施经济、科技和社会发展计划，制定并组织实施村镇建设规划，负责本行政区域内社会公益事业的综合性工作，按计划组织本级财政收入和地方税的征收，完成国家财政计划。行政编制</w:t>
      </w:r>
      <w:r>
        <w:rPr>
          <w:rFonts w:hint="eastAsia" w:asciiTheme="minorEastAsia" w:hAnsiTheme="minorEastAsia"/>
          <w:bCs/>
          <w:kern w:val="0"/>
          <w:sz w:val="32"/>
          <w:szCs w:val="32"/>
          <w:lang w:val="en-US" w:eastAsia="zh-CN"/>
        </w:rPr>
        <w:t>25</w:t>
      </w:r>
      <w:r>
        <w:rPr>
          <w:rFonts w:hint="eastAsia" w:asciiTheme="minorEastAsia" w:hAnsiTheme="minorEastAsia"/>
          <w:bCs/>
          <w:kern w:val="0"/>
          <w:sz w:val="32"/>
          <w:szCs w:val="32"/>
        </w:rPr>
        <w:t>人，事业编制</w:t>
      </w:r>
      <w:r>
        <w:rPr>
          <w:rFonts w:hint="eastAsia" w:asciiTheme="minorEastAsia" w:hAnsiTheme="minorEastAsia"/>
          <w:bCs/>
          <w:kern w:val="0"/>
          <w:sz w:val="32"/>
          <w:szCs w:val="32"/>
          <w:lang w:val="en-US" w:eastAsia="zh-CN"/>
        </w:rPr>
        <w:t>24</w:t>
      </w:r>
      <w:r>
        <w:rPr>
          <w:rFonts w:hint="eastAsia" w:asciiTheme="minorEastAsia" w:hAnsiTheme="minorEastAsia"/>
          <w:bCs/>
          <w:kern w:val="0"/>
          <w:sz w:val="32"/>
          <w:szCs w:val="32"/>
        </w:rPr>
        <w:t>人，工勤人员编制</w:t>
      </w:r>
      <w:r>
        <w:rPr>
          <w:rFonts w:hint="eastAsia" w:asciiTheme="minorEastAsia" w:hAnsiTheme="minorEastAsia"/>
          <w:bCs/>
          <w:kern w:val="0"/>
          <w:sz w:val="32"/>
          <w:szCs w:val="32"/>
          <w:lang w:val="en-US" w:eastAsia="zh-CN"/>
        </w:rPr>
        <w:t>5</w:t>
      </w:r>
      <w:r>
        <w:rPr>
          <w:rFonts w:hint="eastAsia" w:asciiTheme="minorEastAsia" w:hAnsiTheme="minorEastAsia"/>
          <w:bCs/>
          <w:kern w:val="0"/>
          <w:sz w:val="32"/>
          <w:szCs w:val="32"/>
        </w:rPr>
        <w:t>人。现实有在编人数行政</w:t>
      </w:r>
      <w:r>
        <w:rPr>
          <w:rFonts w:hint="eastAsia" w:asciiTheme="minorEastAsia" w:hAnsiTheme="minorEastAsia"/>
          <w:bCs/>
          <w:kern w:val="0"/>
          <w:sz w:val="32"/>
          <w:szCs w:val="32"/>
          <w:lang w:val="en-US" w:eastAsia="zh-CN"/>
        </w:rPr>
        <w:t>25</w:t>
      </w:r>
      <w:r>
        <w:rPr>
          <w:rFonts w:hint="eastAsia" w:asciiTheme="minorEastAsia" w:hAnsiTheme="minorEastAsia"/>
          <w:bCs/>
          <w:kern w:val="0"/>
          <w:sz w:val="32"/>
          <w:szCs w:val="32"/>
        </w:rPr>
        <w:t>人，事业</w:t>
      </w:r>
      <w:r>
        <w:rPr>
          <w:rFonts w:hint="eastAsia" w:asciiTheme="minorEastAsia" w:hAnsiTheme="minorEastAsia"/>
          <w:bCs/>
          <w:kern w:val="0"/>
          <w:sz w:val="32"/>
          <w:szCs w:val="32"/>
          <w:lang w:val="en-US" w:eastAsia="zh-CN"/>
        </w:rPr>
        <w:t>24</w:t>
      </w:r>
      <w:r>
        <w:rPr>
          <w:rFonts w:hint="eastAsia" w:asciiTheme="minorEastAsia" w:hAnsiTheme="minorEastAsia"/>
          <w:bCs/>
          <w:kern w:val="0"/>
          <w:sz w:val="32"/>
          <w:szCs w:val="32"/>
        </w:rPr>
        <w:t>人，工勤人员</w:t>
      </w:r>
      <w:r>
        <w:rPr>
          <w:rFonts w:hint="eastAsia" w:asciiTheme="minorEastAsia" w:hAnsiTheme="minorEastAsia"/>
          <w:bCs/>
          <w:kern w:val="0"/>
          <w:sz w:val="32"/>
          <w:szCs w:val="32"/>
          <w:lang w:val="en-US" w:eastAsia="zh-CN"/>
        </w:rPr>
        <w:t>5</w:t>
      </w:r>
      <w:r>
        <w:rPr>
          <w:rFonts w:hint="eastAsia" w:asciiTheme="minorEastAsia" w:hAnsiTheme="minorEastAsia"/>
          <w:bCs/>
          <w:kern w:val="0"/>
          <w:sz w:val="32"/>
          <w:szCs w:val="32"/>
        </w:rPr>
        <w:t>人，配有</w:t>
      </w:r>
      <w:r>
        <w:rPr>
          <w:rFonts w:hint="eastAsia" w:asciiTheme="minorEastAsia" w:hAnsiTheme="minorEastAsia"/>
          <w:bCs/>
          <w:kern w:val="0"/>
          <w:sz w:val="32"/>
          <w:szCs w:val="32"/>
          <w:lang w:val="en-US" w:eastAsia="zh-CN"/>
        </w:rPr>
        <w:t>公务用</w:t>
      </w:r>
      <w:r>
        <w:rPr>
          <w:rFonts w:hint="eastAsia" w:asciiTheme="minorEastAsia" w:hAnsiTheme="minorEastAsia"/>
          <w:bCs/>
          <w:kern w:val="0"/>
          <w:sz w:val="32"/>
          <w:szCs w:val="32"/>
        </w:rPr>
        <w:t>车1辆。</w:t>
      </w:r>
    </w:p>
    <w:p>
      <w:pPr>
        <w:widowControl/>
        <w:spacing w:line="600" w:lineRule="exact"/>
        <w:rPr>
          <w:rFonts w:asciiTheme="minorEastAsia" w:hAnsiTheme="minorEastAsia"/>
          <w:bCs/>
          <w:kern w:val="0"/>
          <w:sz w:val="32"/>
          <w:szCs w:val="32"/>
        </w:rPr>
      </w:pPr>
    </w:p>
    <w:p>
      <w:pPr>
        <w:jc w:val="left"/>
        <w:rPr>
          <w:rFonts w:ascii="仿宋_GB2312" w:eastAsia="仿宋_GB2312" w:hAnsiTheme="minorEastAsia"/>
          <w:sz w:val="28"/>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道县柑子园镇人民政府</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val="en-US" w:eastAsia="zh-CN"/>
        </w:rPr>
        <w:t>道县柑子园镇人民政府</w:t>
      </w:r>
      <w:r>
        <w:rPr>
          <w:rFonts w:hint="eastAsia" w:asciiTheme="minorEastAsia" w:hAnsiTheme="minorEastAsia"/>
          <w:bCs/>
          <w:kern w:val="0"/>
          <w:sz w:val="32"/>
          <w:szCs w:val="32"/>
        </w:rPr>
        <w:t>只有本级，没有其他二级</w:t>
      </w:r>
      <w:r>
        <w:rPr>
          <w:rFonts w:hint="eastAsia" w:asciiTheme="minorEastAsia" w:hAnsiTheme="minorEastAsia"/>
          <w:bCs/>
          <w:kern w:val="0"/>
          <w:sz w:val="32"/>
          <w:szCs w:val="32"/>
          <w:lang w:eastAsia="zh-CN"/>
        </w:rPr>
        <w:t>决算</w:t>
      </w:r>
      <w:r>
        <w:rPr>
          <w:rFonts w:hint="eastAsia" w:asciiTheme="minorEastAsia" w:hAnsiTheme="minorEastAsia"/>
          <w:bCs/>
          <w:kern w:val="0"/>
          <w:sz w:val="32"/>
          <w:szCs w:val="32"/>
        </w:rPr>
        <w:t>单位，因此，纳入202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w:t>
      </w:r>
      <w:r>
        <w:rPr>
          <w:rFonts w:hint="eastAsia" w:asciiTheme="minorEastAsia" w:hAnsiTheme="minorEastAsia"/>
          <w:bCs/>
          <w:kern w:val="0"/>
          <w:sz w:val="32"/>
          <w:szCs w:val="32"/>
          <w:lang w:eastAsia="zh-CN"/>
        </w:rPr>
        <w:t>决</w:t>
      </w:r>
      <w:r>
        <w:rPr>
          <w:rFonts w:hint="eastAsia" w:asciiTheme="minorEastAsia" w:hAnsiTheme="minorEastAsia"/>
          <w:bCs/>
          <w:kern w:val="0"/>
          <w:sz w:val="32"/>
          <w:szCs w:val="32"/>
        </w:rPr>
        <w:t>算编制范围的只有道县</w:t>
      </w:r>
      <w:r>
        <w:rPr>
          <w:rFonts w:hint="eastAsia" w:asciiTheme="minorEastAsia" w:hAnsiTheme="minorEastAsia"/>
          <w:bCs/>
          <w:kern w:val="0"/>
          <w:sz w:val="32"/>
          <w:szCs w:val="32"/>
          <w:lang w:val="en-US" w:eastAsia="zh-CN"/>
        </w:rPr>
        <w:t>柑子园</w:t>
      </w:r>
      <w:r>
        <w:rPr>
          <w:rFonts w:hint="eastAsia" w:asciiTheme="minorEastAsia" w:hAnsiTheme="minorEastAsia"/>
          <w:bCs/>
          <w:kern w:val="0"/>
          <w:sz w:val="32"/>
          <w:szCs w:val="32"/>
        </w:rPr>
        <w:t>镇人民政府财政所本级。</w:t>
      </w:r>
    </w:p>
    <w:p>
      <w:pPr>
        <w:widowControl/>
        <w:spacing w:line="600" w:lineRule="exact"/>
        <w:rPr>
          <w:rFonts w:hint="eastAsia" w:asciiTheme="minorEastAsia" w:hAnsiTheme="minorEastAsia" w:eastAsiaTheme="minorEastAsia"/>
          <w:bCs/>
          <w:kern w:val="0"/>
          <w:sz w:val="32"/>
          <w:szCs w:val="32"/>
          <w:lang w:eastAsia="zh-CN"/>
        </w:rPr>
      </w:pP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部门：道县柑子园镇人民政府</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312.23</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0.90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515.06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24.63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44.72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515.06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239.15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827.29</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827.29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827.29</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827.29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428" w:type="dxa"/>
        <w:tblInd w:w="0" w:type="dxa"/>
        <w:tblLayout w:type="fixed"/>
        <w:tblCellMar>
          <w:top w:w="0" w:type="dxa"/>
          <w:left w:w="0" w:type="dxa"/>
          <w:bottom w:w="0" w:type="dxa"/>
          <w:right w:w="0" w:type="dxa"/>
        </w:tblCellMar>
      </w:tblPr>
      <w:tblGrid>
        <w:gridCol w:w="2240"/>
        <w:gridCol w:w="487"/>
        <w:gridCol w:w="1376"/>
        <w:gridCol w:w="1526"/>
        <w:gridCol w:w="1526"/>
        <w:gridCol w:w="1526"/>
        <w:gridCol w:w="1526"/>
        <w:gridCol w:w="1526"/>
        <w:gridCol w:w="1526"/>
        <w:gridCol w:w="2169"/>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22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8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7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6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72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道县柑子园镇人民政府</w:t>
            </w:r>
          </w:p>
        </w:tc>
        <w:tc>
          <w:tcPr>
            <w:tcW w:w="137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6"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2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169"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10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2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2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6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72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37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6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72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76"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2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16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10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5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5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52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1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410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827.29</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827.29</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86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186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186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186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1.83</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1.83</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20508</w:t>
            </w:r>
          </w:p>
        </w:tc>
        <w:tc>
          <w:tcPr>
            <w:tcW w:w="186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进修及培训</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1.83</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1.83</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2050802</w:t>
            </w:r>
          </w:p>
        </w:tc>
        <w:tc>
          <w:tcPr>
            <w:tcW w:w="186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1.83</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1.83</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86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24.63</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24.63</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86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4.91</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4.91</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2080599</w:t>
            </w:r>
          </w:p>
        </w:tc>
        <w:tc>
          <w:tcPr>
            <w:tcW w:w="186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4.91</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4.91</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86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19.72</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19.72</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86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19.72</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19.72</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24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86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44.72</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44.72</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7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公共卫生</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5.92</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5.92</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7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2100410</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5.92</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5.92</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7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38.80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38.80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7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38.80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38.80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7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515.06</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515.06</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7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515.06</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515.06</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7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2120801</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472.86</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472.86</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7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2120899</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42.20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42.20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7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239.15</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239.15</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7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扶贫</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7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2130599</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7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农村综合改革</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228.15</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228.15</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7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2130705</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228.15</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228.15</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7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7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自然灾害防治</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727"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2240602</w:t>
            </w:r>
          </w:p>
        </w:tc>
        <w:tc>
          <w:tcPr>
            <w:tcW w:w="137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森林草原防灾减灾</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w:t>
            </w: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2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23"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部门：道县柑子园镇人民政府</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827.29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696.09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131.20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教育支出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进修及培训</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2050802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24.63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24.63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4.91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公共卫生</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2100410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38.80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515.06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383.86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131.20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515.06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383.86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131.20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472.86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383.86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42.20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239.15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239.15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扶贫</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农村综合改革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228.15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228.15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2130705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228.15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228.15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自然灾害防治</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森林草原防灾减灾</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7"/>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部门：道县柑子园镇人民政府</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312.23</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0.90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0.90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515.06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24.63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24.63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44.72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44.72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515.06</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515.06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239.15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239.15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827.29</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827.29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312.23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515.06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827.29</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827.29</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312.23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515.06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道县柑子园镇人民政府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7"/>
        <w:tblW w:w="14219" w:type="dxa"/>
        <w:jc w:val="center"/>
        <w:tblLayout w:type="autofit"/>
        <w:tblCellMar>
          <w:top w:w="0" w:type="dxa"/>
          <w:left w:w="108" w:type="dxa"/>
          <w:bottom w:w="0" w:type="dxa"/>
          <w:right w:w="108" w:type="dxa"/>
        </w:tblCellMar>
      </w:tblPr>
      <w:tblGrid>
        <w:gridCol w:w="986"/>
        <w:gridCol w:w="979"/>
        <w:gridCol w:w="3299"/>
        <w:gridCol w:w="2844"/>
        <w:gridCol w:w="3300"/>
        <w:gridCol w:w="2811"/>
      </w:tblGrid>
      <w:tr>
        <w:tblPrEx>
          <w:tblCellMar>
            <w:top w:w="0" w:type="dxa"/>
            <w:left w:w="108" w:type="dxa"/>
            <w:bottom w:w="0" w:type="dxa"/>
            <w:right w:w="108" w:type="dxa"/>
          </w:tblCellMar>
        </w:tblPrEx>
        <w:trPr>
          <w:trHeight w:val="405" w:hRule="atLeast"/>
          <w:jc w:val="center"/>
        </w:trPr>
        <w:tc>
          <w:tcPr>
            <w:tcW w:w="5264"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55"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5"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11"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6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6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1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64"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312.23</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312.23</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2010199</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其他人大事务支出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0.90</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教育支出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1.83</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1.83</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进修及培训</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1.83</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1.83</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2050802</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干部教育</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1.83</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1.83</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24.63</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24.63</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4.91</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4.91</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2080599</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其他行政事业单位养老支出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4.91</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4.91</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19.72</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19.72</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19.72</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19.72</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44.72</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44.72</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公共卫生</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5.92</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5.92</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2100410</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突发公共卫生事件应急处理</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5.92</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5.92</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38.80</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38.80</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38.80</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38.80</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239.15</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239.15</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扶贫</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农村综合改革</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228.15</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228.15</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2130705</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对村民委员会和村党支部的补助</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228.15</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228.15</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自然灾害防治</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2240602</w:t>
            </w:r>
          </w:p>
        </w:tc>
        <w:tc>
          <w:tcPr>
            <w:tcW w:w="4278"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森林草原防灾减灾</w:t>
            </w:r>
          </w:p>
        </w:tc>
        <w:tc>
          <w:tcPr>
            <w:tcW w:w="28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33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w:t>
            </w:r>
          </w:p>
        </w:tc>
        <w:tc>
          <w:tcPr>
            <w:tcW w:w="281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7"/>
        <w:tblW w:w="0" w:type="auto"/>
        <w:tblInd w:w="0" w:type="dxa"/>
        <w:tblLayout w:type="autofit"/>
        <w:tblCellMar>
          <w:top w:w="0" w:type="dxa"/>
          <w:left w:w="108" w:type="dxa"/>
          <w:bottom w:w="0" w:type="dxa"/>
          <w:right w:w="108" w:type="dxa"/>
        </w:tblCellMar>
      </w:tblPr>
      <w:tblGrid>
        <w:gridCol w:w="1305"/>
        <w:gridCol w:w="3246"/>
        <w:gridCol w:w="863"/>
        <w:gridCol w:w="1195"/>
        <w:gridCol w:w="2241"/>
        <w:gridCol w:w="758"/>
        <w:gridCol w:w="1196"/>
        <w:gridCol w:w="4051"/>
        <w:gridCol w:w="759"/>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道县柑子园镇人民政府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248.77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43.73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205.07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43.71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19.72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19.72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268.50</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43.73</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3860" w:hanging="13860" w:hangingChars="66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道县柑子园镇人民政府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道县柑子园镇人民政府</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46"/>
        <w:gridCol w:w="1235"/>
        <w:gridCol w:w="1850"/>
        <w:gridCol w:w="1893"/>
        <w:gridCol w:w="1893"/>
        <w:gridCol w:w="1893"/>
        <w:gridCol w:w="1893"/>
        <w:gridCol w:w="1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67"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85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189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5679"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1851"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2"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235"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850" w:type="dxa"/>
            <w:vMerge w:val="continue"/>
            <w:vAlign w:val="center"/>
          </w:tcPr>
          <w:p>
            <w:pPr>
              <w:widowControl/>
              <w:jc w:val="left"/>
              <w:rPr>
                <w:rFonts w:ascii="Times New Roman" w:hAnsi="Times New Roman" w:eastAsia="仿宋_GB2312" w:cs="Times New Roman"/>
                <w:b/>
                <w:kern w:val="0"/>
                <w:szCs w:val="21"/>
              </w:rPr>
            </w:pPr>
          </w:p>
        </w:tc>
        <w:tc>
          <w:tcPr>
            <w:tcW w:w="1893" w:type="dxa"/>
            <w:vMerge w:val="continue"/>
            <w:vAlign w:val="center"/>
          </w:tcPr>
          <w:p>
            <w:pPr>
              <w:widowControl/>
              <w:jc w:val="left"/>
              <w:rPr>
                <w:rFonts w:ascii="Times New Roman" w:hAnsi="Times New Roman" w:eastAsia="仿宋_GB2312" w:cs="Times New Roman"/>
                <w:b/>
                <w:kern w:val="0"/>
                <w:szCs w:val="21"/>
              </w:rPr>
            </w:pPr>
          </w:p>
        </w:tc>
        <w:tc>
          <w:tcPr>
            <w:tcW w:w="189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189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1893"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1851"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2" w:type="dxa"/>
            <w:gridSpan w:val="2"/>
            <w:vMerge w:val="continue"/>
            <w:vAlign w:val="center"/>
          </w:tcPr>
          <w:p>
            <w:pPr>
              <w:widowControl/>
              <w:jc w:val="left"/>
              <w:rPr>
                <w:rFonts w:ascii="Times New Roman" w:hAnsi="Times New Roman" w:eastAsia="仿宋_GB2312" w:cs="Times New Roman"/>
                <w:kern w:val="0"/>
                <w:szCs w:val="21"/>
              </w:rPr>
            </w:pPr>
          </w:p>
        </w:tc>
        <w:tc>
          <w:tcPr>
            <w:tcW w:w="1235" w:type="dxa"/>
            <w:vMerge w:val="continue"/>
            <w:vAlign w:val="center"/>
          </w:tcPr>
          <w:p>
            <w:pPr>
              <w:widowControl/>
              <w:jc w:val="left"/>
              <w:rPr>
                <w:rFonts w:ascii="Times New Roman" w:hAnsi="Times New Roman" w:eastAsia="仿宋_GB2312" w:cs="Times New Roman"/>
                <w:kern w:val="0"/>
                <w:szCs w:val="21"/>
              </w:rPr>
            </w:pPr>
          </w:p>
        </w:tc>
        <w:tc>
          <w:tcPr>
            <w:tcW w:w="1850"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51"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32" w:type="dxa"/>
            <w:gridSpan w:val="2"/>
            <w:vMerge w:val="continue"/>
            <w:vAlign w:val="center"/>
          </w:tcPr>
          <w:p>
            <w:pPr>
              <w:widowControl/>
              <w:jc w:val="left"/>
              <w:rPr>
                <w:rFonts w:ascii="Times New Roman" w:hAnsi="Times New Roman" w:eastAsia="仿宋_GB2312" w:cs="Times New Roman"/>
                <w:kern w:val="0"/>
                <w:szCs w:val="21"/>
              </w:rPr>
            </w:pPr>
          </w:p>
        </w:tc>
        <w:tc>
          <w:tcPr>
            <w:tcW w:w="1235" w:type="dxa"/>
            <w:vMerge w:val="continue"/>
            <w:vAlign w:val="center"/>
          </w:tcPr>
          <w:p>
            <w:pPr>
              <w:widowControl/>
              <w:jc w:val="left"/>
              <w:rPr>
                <w:rFonts w:ascii="Times New Roman" w:hAnsi="Times New Roman" w:eastAsia="仿宋_GB2312" w:cs="Times New Roman"/>
                <w:kern w:val="0"/>
                <w:szCs w:val="21"/>
              </w:rPr>
            </w:pPr>
          </w:p>
        </w:tc>
        <w:tc>
          <w:tcPr>
            <w:tcW w:w="1850"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93" w:type="dxa"/>
            <w:vMerge w:val="continue"/>
            <w:vAlign w:val="center"/>
          </w:tcPr>
          <w:p>
            <w:pPr>
              <w:widowControl/>
              <w:jc w:val="left"/>
              <w:rPr>
                <w:rFonts w:ascii="Times New Roman" w:hAnsi="Times New Roman" w:eastAsia="仿宋_GB2312" w:cs="Times New Roman"/>
                <w:kern w:val="0"/>
                <w:szCs w:val="21"/>
              </w:rPr>
            </w:pPr>
          </w:p>
        </w:tc>
        <w:tc>
          <w:tcPr>
            <w:tcW w:w="1851"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67"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185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1893"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1893"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1893"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1893"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1851"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67"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1850"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515.06</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515.06</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383.86</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131.20</w:t>
            </w:r>
          </w:p>
        </w:tc>
        <w:tc>
          <w:tcPr>
            <w:tcW w:w="1851"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181"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850"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515.06</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515.06</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383.86</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131.20</w:t>
            </w:r>
          </w:p>
        </w:tc>
        <w:tc>
          <w:tcPr>
            <w:tcW w:w="1851"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181"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850"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515.06</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515.06</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383.86</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131.20</w:t>
            </w:r>
          </w:p>
        </w:tc>
        <w:tc>
          <w:tcPr>
            <w:tcW w:w="1851"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2120801</w:t>
            </w:r>
          </w:p>
        </w:tc>
        <w:tc>
          <w:tcPr>
            <w:tcW w:w="2181"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850"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472.86</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472.86</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383.86</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89.00</w:t>
            </w:r>
          </w:p>
        </w:tc>
        <w:tc>
          <w:tcPr>
            <w:tcW w:w="1851"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98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2120899</w:t>
            </w:r>
          </w:p>
        </w:tc>
        <w:tc>
          <w:tcPr>
            <w:tcW w:w="2181"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850"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42.20</w:t>
            </w: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42.20</w:t>
            </w:r>
          </w:p>
        </w:tc>
        <w:tc>
          <w:tcPr>
            <w:tcW w:w="1893" w:type="dxa"/>
            <w:shd w:val="clear" w:color="auto" w:fill="auto"/>
            <w:vAlign w:val="center"/>
          </w:tcPr>
          <w:p>
            <w:pPr>
              <w:jc w:val="right"/>
              <w:rPr>
                <w:rFonts w:ascii="Times New Roman" w:hAnsi="Times New Roman" w:eastAsia="仿宋_GB2312" w:cs="Times New Roman"/>
                <w:kern w:val="0"/>
                <w:szCs w:val="21"/>
              </w:rPr>
            </w:pPr>
          </w:p>
        </w:tc>
        <w:tc>
          <w:tcPr>
            <w:tcW w:w="1893"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42.20</w:t>
            </w:r>
          </w:p>
        </w:tc>
        <w:tc>
          <w:tcPr>
            <w:tcW w:w="1851"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7"/>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部门：道县柑子园镇人民政府</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道县柑子园镇人民政府</w:t>
            </w:r>
            <w:r>
              <w:rPr>
                <w:rFonts w:hint="eastAsia" w:ascii="宋体" w:hAnsi="宋体" w:eastAsia="宋体" w:cs="宋体"/>
                <w:kern w:val="0"/>
                <w:sz w:val="24"/>
                <w:szCs w:val="24"/>
                <w:lang w:val="en-US" w:eastAsia="zh-CN"/>
              </w:rPr>
              <w:t>无国有资本经营收入，也没有安排国有资本经营支出，故本表无数据</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827.29</w:t>
      </w:r>
      <w:r>
        <w:rPr>
          <w:rFonts w:hint="eastAsia" w:asciiTheme="minorEastAsia" w:hAnsiTheme="minorEastAsia" w:eastAsiaTheme="minorEastAsia"/>
          <w:sz w:val="32"/>
          <w:szCs w:val="32"/>
        </w:rPr>
        <w:t>万元。与上年</w:t>
      </w:r>
      <w:r>
        <w:rPr>
          <w:rFonts w:hint="eastAsia" w:asciiTheme="minorEastAsia" w:hAnsiTheme="minorEastAsia" w:eastAsiaTheme="minorEastAsia"/>
          <w:sz w:val="32"/>
          <w:szCs w:val="32"/>
          <w:lang w:val="en-US" w:eastAsia="zh-CN"/>
        </w:rPr>
        <w:t>2020年</w:t>
      </w:r>
      <w:r>
        <w:rPr>
          <w:rFonts w:hint="eastAsia" w:asciiTheme="minorEastAsia" w:hAnsiTheme="minorEastAsia" w:eastAsiaTheme="minorEastAsia"/>
          <w:sz w:val="32"/>
          <w:szCs w:val="32"/>
        </w:rPr>
        <w:t>相比，增加（减少）</w:t>
      </w:r>
      <w:r>
        <w:rPr>
          <w:rFonts w:hint="eastAsia" w:asciiTheme="minorEastAsia" w:hAnsiTheme="minorEastAsia" w:eastAsiaTheme="minorEastAsia"/>
          <w:sz w:val="32"/>
          <w:szCs w:val="32"/>
          <w:lang w:val="en-US" w:eastAsia="zh-CN"/>
        </w:rPr>
        <w:t>258.18</w:t>
      </w:r>
      <w:r>
        <w:rPr>
          <w:rFonts w:hint="eastAsia" w:asciiTheme="minorEastAsia" w:hAnsiTheme="minorEastAsia" w:eastAsiaTheme="minorEastAsia"/>
          <w:sz w:val="32"/>
          <w:szCs w:val="32"/>
        </w:rPr>
        <w:t>万元，增长（减少）</w:t>
      </w:r>
      <w:r>
        <w:rPr>
          <w:rFonts w:hint="eastAsia" w:asciiTheme="minorEastAsia" w:hAnsiTheme="minorEastAsia" w:eastAsiaTheme="minorEastAsia"/>
          <w:sz w:val="32"/>
          <w:szCs w:val="32"/>
          <w:lang w:val="en-US" w:eastAsia="zh-CN"/>
        </w:rPr>
        <w:t>23.79</w:t>
      </w:r>
      <w:r>
        <w:rPr>
          <w:rFonts w:hint="eastAsia" w:asciiTheme="minorEastAsia" w:hAnsiTheme="minorEastAsia" w:eastAsiaTheme="minorEastAsia"/>
          <w:sz w:val="32"/>
          <w:szCs w:val="32"/>
        </w:rPr>
        <w:t>%，主要是因为柑子园人民政府根据现实情况支出</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827.29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827.29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827.29</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696.10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84.14</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131.20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15.86</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四、财政拨款收入支出决算总体情况说明</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827.29</w:t>
      </w:r>
      <w:r>
        <w:rPr>
          <w:rFonts w:hint="eastAsia" w:asciiTheme="minorEastAsia" w:hAnsiTheme="minorEastAsia" w:eastAsiaTheme="minorEastAsia"/>
          <w:sz w:val="32"/>
          <w:szCs w:val="32"/>
        </w:rPr>
        <w:t>万元，与上年相比，增加（减少）</w:t>
      </w:r>
      <w:r>
        <w:rPr>
          <w:rFonts w:hint="eastAsia" w:asciiTheme="minorEastAsia" w:hAnsiTheme="minorEastAsia" w:eastAsiaTheme="minorEastAsia"/>
          <w:sz w:val="32"/>
          <w:szCs w:val="32"/>
          <w:lang w:val="en-US" w:eastAsia="zh-CN"/>
        </w:rPr>
        <w:t>258.18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23.79</w:t>
      </w:r>
      <w:r>
        <w:rPr>
          <w:rFonts w:hint="eastAsia" w:asciiTheme="minorEastAsia" w:hAnsiTheme="minorEastAsia" w:eastAsiaTheme="minorEastAsia"/>
          <w:sz w:val="32"/>
          <w:szCs w:val="32"/>
        </w:rPr>
        <w:t>%，主要是因为柑子园人民政府根据现实情况支出</w:t>
      </w:r>
      <w:r>
        <w:rPr>
          <w:rFonts w:hint="eastAsia" w:asciiTheme="minorEastAsia" w:hAnsiTheme="minorEastAsia" w:eastAsiaTheme="minorEastAsia"/>
          <w:sz w:val="32"/>
          <w:szCs w:val="32"/>
          <w:lang w:eastAsia="zh-CN"/>
        </w:rPr>
        <w:t>。</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827.29</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258.18</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23.79</w:t>
      </w:r>
      <w:r>
        <w:rPr>
          <w:rFonts w:hint="eastAsia" w:asciiTheme="minorEastAsia" w:hAnsiTheme="minorEastAsia" w:eastAsiaTheme="minorEastAsia"/>
          <w:sz w:val="32"/>
          <w:szCs w:val="32"/>
        </w:rPr>
        <w:t>%，主要是因为柑子园人民政府根据现实情况支出</w:t>
      </w:r>
      <w:r>
        <w:rPr>
          <w:rFonts w:hint="eastAsia" w:asciiTheme="minorEastAsia" w:hAnsiTheme="minorEastAsia" w:eastAsiaTheme="minorEastAsia"/>
          <w:sz w:val="32"/>
          <w:szCs w:val="32"/>
          <w:lang w:eastAsia="zh-CN"/>
        </w:rPr>
        <w:t>。</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827.29</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385.76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46.62</w:t>
      </w:r>
      <w:r>
        <w:rPr>
          <w:rFonts w:hint="eastAsia" w:asciiTheme="minorEastAsia" w:hAnsiTheme="minorEastAsia" w:eastAsiaTheme="minorEastAsia"/>
          <w:sz w:val="32"/>
          <w:szCs w:val="32"/>
        </w:rPr>
        <w:t>%；教育（类）支出</w:t>
      </w:r>
      <w:r>
        <w:rPr>
          <w:rFonts w:hint="eastAsia" w:asciiTheme="minorEastAsia" w:hAnsiTheme="minorEastAsia" w:eastAsiaTheme="minorEastAsia"/>
          <w:sz w:val="32"/>
          <w:szCs w:val="32"/>
          <w:lang w:val="en-US" w:eastAsia="zh-CN"/>
        </w:rPr>
        <w:t>1.83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24.63万元，占3%；卫生健康支出44.72万元，占5.4%；城乡社区支出210万元，占25.38%；农林水支出239.15万元，占28.9%；灾害防治及应急管理支出1万元，占</w:t>
      </w:r>
      <w:r>
        <w:rPr>
          <w:rFonts w:hint="default" w:asciiTheme="minorEastAsia" w:hAnsiTheme="minorEastAsia" w:eastAsiaTheme="minorEastAsia"/>
          <w:sz w:val="32"/>
          <w:szCs w:val="32"/>
          <w:lang w:eastAsia="zh-CN"/>
        </w:rPr>
        <w:t>0.1</w:t>
      </w:r>
      <w:r>
        <w:rPr>
          <w:rFonts w:hint="eastAsia" w:asciiTheme="minorEastAsia" w:hAnsiTheme="minorEastAsia" w:eastAsiaTheme="minorEastAsia"/>
          <w:sz w:val="32"/>
          <w:szCs w:val="32"/>
          <w:lang w:val="en-US" w:eastAsia="zh-CN"/>
        </w:rPr>
        <w:t>%。</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827.29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827.29</w:t>
      </w:r>
      <w:r>
        <w:rPr>
          <w:rFonts w:hint="eastAsia" w:asciiTheme="minorEastAsia" w:hAnsiTheme="minorEastAsia" w:eastAsiaTheme="minorEastAsia"/>
          <w:sz w:val="32"/>
          <w:szCs w:val="32"/>
        </w:rPr>
        <w:t>万元，完成年初预算的</w:t>
      </w:r>
      <w:r>
        <w:rPr>
          <w:rFonts w:hint="default" w:asciiTheme="minorEastAsia" w:hAnsiTheme="minorEastAsia" w:eastAsiaTheme="minorEastAsia"/>
          <w:sz w:val="32"/>
          <w:szCs w:val="32"/>
        </w:rPr>
        <w:t>100</w:t>
      </w:r>
      <w:r>
        <w:rPr>
          <w:rFonts w:hint="eastAsia" w:asciiTheme="minorEastAsia" w:hAnsiTheme="minorEastAsia" w:eastAsiaTheme="minorEastAsia"/>
          <w:sz w:val="32"/>
          <w:szCs w:val="32"/>
        </w:rPr>
        <w:t>%，其中：</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385.76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385.76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%，2、教育（类）支出。</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1.83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1.83</w:t>
      </w:r>
      <w:r>
        <w:rPr>
          <w:rFonts w:hint="eastAsia" w:asciiTheme="minorEastAsia" w:hAnsiTheme="minorEastAsia" w:eastAsiaTheme="minorEastAsia"/>
          <w:sz w:val="32"/>
          <w:szCs w:val="32"/>
        </w:rPr>
        <w:t>万元，完成年初预算的</w:t>
      </w:r>
      <w:r>
        <w:rPr>
          <w:rFonts w:hint="default" w:asciiTheme="minorEastAsia" w:hAnsiTheme="minorEastAsia" w:eastAsiaTheme="minorEastAsia"/>
          <w:sz w:val="32"/>
          <w:szCs w:val="32"/>
        </w:rPr>
        <w:t>100</w:t>
      </w:r>
      <w:r>
        <w:rPr>
          <w:rFonts w:hint="eastAsia" w:asciiTheme="minorEastAsia" w:hAnsiTheme="minorEastAsia" w:eastAsiaTheme="minorEastAsia"/>
          <w:sz w:val="32"/>
          <w:szCs w:val="32"/>
        </w:rPr>
        <w:t>%，</w:t>
      </w:r>
    </w:p>
    <w:p>
      <w:pPr>
        <w:pStyle w:val="11"/>
        <w:numPr>
          <w:ilvl w:val="0"/>
          <w:numId w:val="2"/>
        </w:numPr>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社会保障和就业支出</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24.63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24.63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1"/>
        <w:numPr>
          <w:ilvl w:val="0"/>
          <w:numId w:val="2"/>
        </w:numPr>
        <w:ind w:firstLine="800" w:firstLineChars="250"/>
        <w:rPr>
          <w:rFonts w:hint="default"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卫生健康支出</w:t>
      </w:r>
    </w:p>
    <w:p>
      <w:pPr>
        <w:pStyle w:val="11"/>
        <w:numPr>
          <w:ilvl w:val="0"/>
          <w:numId w:val="0"/>
        </w:numPr>
        <w:ind w:firstLine="960" w:firstLineChars="300"/>
        <w:rPr>
          <w:rFonts w:hint="default"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44.72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44.72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1"/>
        <w:numPr>
          <w:ilvl w:val="0"/>
          <w:numId w:val="2"/>
        </w:numPr>
        <w:ind w:firstLine="800" w:firstLineChars="250"/>
        <w:rPr>
          <w:rFonts w:hint="default"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城乡社区支出</w:t>
      </w:r>
    </w:p>
    <w:p>
      <w:pPr>
        <w:pStyle w:val="11"/>
        <w:numPr>
          <w:ilvl w:val="0"/>
          <w:numId w:val="0"/>
        </w:numPr>
        <w:ind w:firstLine="960" w:firstLineChars="300"/>
        <w:rPr>
          <w:rFonts w:hint="eastAsia" w:asciiTheme="minorEastAsia" w:hAnsiTheme="minorEastAsia" w:eastAsiaTheme="minorEastAsia"/>
          <w:sz w:val="32"/>
          <w:szCs w:val="32"/>
        </w:rPr>
      </w:pPr>
      <w:r>
        <w:rPr>
          <w:rFonts w:hint="default" w:ascii="宋体" w:hAnsi="宋体" w:eastAsia="宋体"/>
          <w:sz w:val="32"/>
          <w:szCs w:val="32"/>
          <w:lang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1"/>
        <w:numPr>
          <w:ilvl w:val="0"/>
          <w:numId w:val="2"/>
        </w:numPr>
        <w:ind w:left="0" w:leftChars="0"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农林水支出</w:t>
      </w:r>
    </w:p>
    <w:p>
      <w:pPr>
        <w:pStyle w:val="11"/>
        <w:numPr>
          <w:ilvl w:val="0"/>
          <w:numId w:val="0"/>
        </w:numPr>
        <w:ind w:leftChars="250"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239.15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239.15</w:t>
      </w:r>
      <w:r>
        <w:rPr>
          <w:rFonts w:hint="eastAsia" w:asciiTheme="minorEastAsia" w:hAnsiTheme="minorEastAsia" w:eastAsiaTheme="minorEastAsia"/>
          <w:sz w:val="32"/>
          <w:szCs w:val="32"/>
        </w:rPr>
        <w:t>万元，完成年初预算的</w:t>
      </w:r>
      <w:r>
        <w:rPr>
          <w:rFonts w:hint="default" w:asciiTheme="minorEastAsia" w:hAnsiTheme="minorEastAsia" w:eastAsiaTheme="minorEastAsia"/>
          <w:sz w:val="32"/>
          <w:szCs w:val="32"/>
          <w:lang w:eastAsia="zh-CN"/>
        </w:rPr>
        <w:t>7、</w:t>
      </w:r>
      <w:r>
        <w:rPr>
          <w:rFonts w:hint="eastAsia" w:asciiTheme="minorEastAsia" w:hAnsiTheme="minorEastAsia" w:eastAsiaTheme="minorEastAsia"/>
          <w:sz w:val="32"/>
          <w:szCs w:val="32"/>
          <w:lang w:val="en-US" w:eastAsia="zh-CN"/>
        </w:rPr>
        <w:t>灾害防治及应急管理支出</w:t>
      </w:r>
    </w:p>
    <w:p>
      <w:pPr>
        <w:pStyle w:val="11"/>
        <w:numPr>
          <w:ilvl w:val="0"/>
          <w:numId w:val="0"/>
        </w:numPr>
        <w:ind w:leftChars="250" w:firstLine="640" w:firstLineChars="200"/>
        <w:rPr>
          <w:rFonts w:hint="default"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hint="default" w:asciiTheme="minorEastAsia" w:hAnsiTheme="minorEastAsia" w:eastAsiaTheme="minorEastAsia"/>
          <w:sz w:val="32"/>
          <w:szCs w:val="32"/>
        </w:rPr>
        <w:t>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default" w:asciiTheme="minorEastAsia" w:hAnsiTheme="minorEastAsia" w:eastAsiaTheme="minorEastAsia"/>
          <w:sz w:val="32"/>
          <w:szCs w:val="32"/>
        </w:rPr>
        <w:t>：实际情况支出。</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default" w:asciiTheme="minorEastAsia" w:hAnsiTheme="minorEastAsia" w:eastAsiaTheme="minorEastAsia"/>
          <w:sz w:val="32"/>
          <w:szCs w:val="32"/>
        </w:rPr>
        <w:t>696.10</w:t>
      </w:r>
      <w:r>
        <w:rPr>
          <w:rFonts w:hint="eastAsia" w:asciiTheme="minorEastAsia" w:hAnsiTheme="minorEastAsia" w:eastAsiaTheme="minorEastAsia"/>
          <w:sz w:val="32"/>
          <w:szCs w:val="32"/>
        </w:rPr>
        <w:t>万元，其中：人员经费</w:t>
      </w:r>
      <w:r>
        <w:rPr>
          <w:rFonts w:hint="default" w:asciiTheme="minorEastAsia" w:hAnsiTheme="minorEastAsia" w:eastAsiaTheme="minorEastAsia"/>
          <w:sz w:val="32"/>
          <w:szCs w:val="32"/>
        </w:rPr>
        <w:t>614.73</w:t>
      </w:r>
      <w:r>
        <w:rPr>
          <w:rFonts w:hint="eastAsia" w:asciiTheme="minorEastAsia" w:hAnsiTheme="minorEastAsia" w:eastAsiaTheme="minorEastAsia"/>
          <w:sz w:val="32"/>
          <w:szCs w:val="32"/>
        </w:rPr>
        <w:t>万元，占基本支出的</w:t>
      </w:r>
      <w:r>
        <w:rPr>
          <w:rFonts w:hint="default" w:asciiTheme="minorEastAsia" w:hAnsiTheme="minorEastAsia" w:eastAsiaTheme="minorEastAsia"/>
          <w:sz w:val="32"/>
          <w:szCs w:val="32"/>
        </w:rPr>
        <w:t>88.31</w:t>
      </w:r>
      <w:r>
        <w:rPr>
          <w:rFonts w:hint="eastAsia" w:asciiTheme="minorEastAsia" w:hAnsiTheme="minorEastAsia" w:eastAsiaTheme="minorEastAsia"/>
          <w:sz w:val="32"/>
          <w:szCs w:val="32"/>
        </w:rPr>
        <w:t>%,主要包括基本工资、津贴补贴、奖金、伙食补助费</w:t>
      </w:r>
      <w:r>
        <w:rPr>
          <w:rFonts w:asciiTheme="minorEastAsia" w:hAnsiTheme="minorEastAsia" w:eastAsiaTheme="minorEastAsia"/>
          <w:sz w:val="32"/>
          <w:szCs w:val="32"/>
        </w:rPr>
        <w:t>……</w:t>
      </w:r>
      <w:r>
        <w:rPr>
          <w:rFonts w:hint="eastAsia" w:asciiTheme="minorEastAsia" w:hAnsiTheme="minorEastAsia" w:eastAsiaTheme="minorEastAsia"/>
          <w:sz w:val="32"/>
          <w:szCs w:val="32"/>
        </w:rPr>
        <w:t>；公用经费</w:t>
      </w:r>
      <w:r>
        <w:rPr>
          <w:rFonts w:hint="default" w:asciiTheme="minorEastAsia" w:hAnsiTheme="minorEastAsia" w:eastAsiaTheme="minorEastAsia"/>
          <w:sz w:val="32"/>
          <w:szCs w:val="32"/>
        </w:rPr>
        <w:t>81.35</w:t>
      </w:r>
      <w:r>
        <w:rPr>
          <w:rFonts w:hint="eastAsia" w:asciiTheme="minorEastAsia" w:hAnsiTheme="minorEastAsia" w:eastAsiaTheme="minorEastAsia"/>
          <w:sz w:val="32"/>
          <w:szCs w:val="32"/>
        </w:rPr>
        <w:t>万元，占基本支出的</w:t>
      </w:r>
      <w:r>
        <w:rPr>
          <w:rFonts w:hint="default" w:asciiTheme="minorEastAsia" w:hAnsiTheme="minorEastAsia" w:eastAsiaTheme="minorEastAsia"/>
          <w:sz w:val="32"/>
          <w:szCs w:val="32"/>
        </w:rPr>
        <w:t>11.69</w:t>
      </w:r>
      <w:r>
        <w:rPr>
          <w:rFonts w:hint="eastAsia" w:asciiTheme="minorEastAsia" w:hAnsiTheme="minorEastAsia" w:eastAsiaTheme="minorEastAsia"/>
          <w:sz w:val="32"/>
          <w:szCs w:val="32"/>
        </w:rPr>
        <w:t>%，主要包括办公费、印刷费、咨询费、手续费</w:t>
      </w:r>
      <w:r>
        <w:rPr>
          <w:rFonts w:asciiTheme="minorEastAsia" w:hAnsiTheme="minorEastAsia" w:eastAsiaTheme="minorEastAsia"/>
          <w:sz w:val="32"/>
          <w:szCs w:val="32"/>
        </w:rPr>
        <w:t>……</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万元，完成预算的</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%，其中：</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万元，完成预算的</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误</w:t>
      </w:r>
      <w:r>
        <w:rPr>
          <w:rFonts w:hint="eastAsia" w:asciiTheme="minorEastAsia" w:hAnsiTheme="minorEastAsia" w:eastAsiaTheme="minorEastAsia"/>
          <w:sz w:val="32"/>
          <w:szCs w:val="32"/>
        </w:rPr>
        <w:t>把三公经费</w:t>
      </w:r>
      <w:r>
        <w:rPr>
          <w:rFonts w:hint="eastAsia" w:asciiTheme="minorEastAsia" w:hAnsiTheme="minorEastAsia" w:eastAsiaTheme="minorEastAsia"/>
          <w:sz w:val="32"/>
          <w:szCs w:val="32"/>
          <w:lang w:val="en-US" w:eastAsia="zh-CN"/>
        </w:rPr>
        <w:t>在</w:t>
      </w:r>
      <w:r>
        <w:rPr>
          <w:rFonts w:hint="eastAsia" w:asciiTheme="minorEastAsia" w:hAnsiTheme="minorEastAsia" w:eastAsiaTheme="minorEastAsia"/>
          <w:sz w:val="32"/>
          <w:szCs w:val="32"/>
        </w:rPr>
        <w:t>决算里统计到一般公共事务支出，与上年相比减少</w:t>
      </w:r>
      <w:r>
        <w:rPr>
          <w:rFonts w:hint="default" w:asciiTheme="minorEastAsia" w:hAnsiTheme="minorEastAsia" w:eastAsiaTheme="minorEastAsia"/>
          <w:sz w:val="32"/>
          <w:szCs w:val="32"/>
        </w:rPr>
        <w:t>7</w:t>
      </w:r>
      <w:r>
        <w:rPr>
          <w:rFonts w:hint="eastAsia" w:asciiTheme="minorEastAsia" w:hAnsiTheme="minorEastAsia" w:eastAsiaTheme="minorEastAsia"/>
          <w:sz w:val="32"/>
          <w:szCs w:val="32"/>
        </w:rPr>
        <w:t>万元，减少</w:t>
      </w:r>
      <w:r>
        <w:rPr>
          <w:rFonts w:hint="default" w:asciiTheme="minorEastAsia" w:hAnsiTheme="minorEastAsia" w:eastAsiaTheme="minorEastAsia"/>
          <w:sz w:val="32"/>
          <w:szCs w:val="32"/>
        </w:rPr>
        <w:t>100</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误</w:t>
      </w:r>
      <w:r>
        <w:rPr>
          <w:rFonts w:hint="eastAsia" w:asciiTheme="minorEastAsia" w:hAnsiTheme="minorEastAsia" w:eastAsiaTheme="minorEastAsia"/>
          <w:sz w:val="32"/>
          <w:szCs w:val="32"/>
        </w:rPr>
        <w:t>把三公经费</w:t>
      </w:r>
      <w:r>
        <w:rPr>
          <w:rFonts w:hint="eastAsia" w:asciiTheme="minorEastAsia" w:hAnsiTheme="minorEastAsia" w:eastAsiaTheme="minorEastAsia"/>
          <w:sz w:val="32"/>
          <w:szCs w:val="32"/>
          <w:lang w:val="en-US" w:eastAsia="zh-CN"/>
        </w:rPr>
        <w:t>在</w:t>
      </w:r>
      <w:r>
        <w:rPr>
          <w:rFonts w:hint="eastAsia" w:asciiTheme="minorEastAsia" w:hAnsiTheme="minorEastAsia" w:eastAsiaTheme="minorEastAsia"/>
          <w:sz w:val="32"/>
          <w:szCs w:val="32"/>
        </w:rPr>
        <w:t>决算里统计到一般公共事务支出。</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万元，支出决算为</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w:t>
      </w:r>
      <w:bookmarkStart w:id="3" w:name="_GoBack"/>
      <w:bookmarkEnd w:id="3"/>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val="en-US" w:eastAsia="zh-CN"/>
        </w:rPr>
        <w:t>误</w:t>
      </w:r>
      <w:r>
        <w:rPr>
          <w:rFonts w:hint="eastAsia" w:asciiTheme="minorEastAsia" w:hAnsiTheme="minorEastAsia" w:eastAsiaTheme="minorEastAsia"/>
          <w:sz w:val="32"/>
          <w:szCs w:val="32"/>
        </w:rPr>
        <w:t>把三公经费</w:t>
      </w:r>
      <w:r>
        <w:rPr>
          <w:rFonts w:hint="eastAsia" w:asciiTheme="minorEastAsia" w:hAnsiTheme="minorEastAsia" w:eastAsiaTheme="minorEastAsia"/>
          <w:sz w:val="32"/>
          <w:szCs w:val="32"/>
          <w:lang w:val="en-US" w:eastAsia="zh-CN"/>
        </w:rPr>
        <w:t>在</w:t>
      </w:r>
      <w:r>
        <w:rPr>
          <w:rFonts w:hint="eastAsia" w:asciiTheme="minorEastAsia" w:hAnsiTheme="minorEastAsia" w:eastAsiaTheme="minorEastAsia"/>
          <w:sz w:val="32"/>
          <w:szCs w:val="32"/>
        </w:rPr>
        <w:t>决算里统计到一般公共事务支出，与上年相比减少</w:t>
      </w:r>
      <w:r>
        <w:rPr>
          <w:rFonts w:hint="eastAsia" w:asciiTheme="minorEastAsia" w:hAnsiTheme="minorEastAsia" w:eastAsiaTheme="minorEastAsia"/>
          <w:sz w:val="32"/>
          <w:szCs w:val="32"/>
          <w:lang w:val="en-US" w:eastAsia="zh-CN"/>
        </w:rPr>
        <w:t>4.4</w:t>
      </w:r>
      <w:r>
        <w:rPr>
          <w:rFonts w:hint="eastAsia" w:asciiTheme="minorEastAsia" w:hAnsiTheme="minorEastAsia" w:eastAsiaTheme="minorEastAsia"/>
          <w:sz w:val="32"/>
          <w:szCs w:val="32"/>
        </w:rPr>
        <w:t>万元，减</w:t>
      </w:r>
      <w:r>
        <w:rPr>
          <w:rFonts w:hint="eastAsia" w:asciiTheme="minorEastAsia" w:hAnsiTheme="minorEastAsia" w:eastAsiaTheme="minorEastAsia"/>
          <w:sz w:val="32"/>
          <w:szCs w:val="32"/>
          <w:lang w:val="en-US" w:eastAsia="zh-CN"/>
        </w:rPr>
        <w:t>少440</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val="en-US" w:eastAsia="zh-CN"/>
        </w:rPr>
        <w:t>实际情况无需维护</w:t>
      </w:r>
      <w:r>
        <w:rPr>
          <w:rFonts w:hint="eastAsia" w:asciiTheme="minorEastAsia" w:hAnsiTheme="minorEastAsia" w:eastAsiaTheme="minorEastAsia"/>
          <w:sz w:val="32"/>
          <w:szCs w:val="32"/>
        </w:rPr>
        <w:t>。</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万元，单位本级公务用车</w:t>
      </w:r>
      <w:r>
        <w:rPr>
          <w:rFonts w:hint="eastAsia" w:asciiTheme="minorEastAsia" w:hAnsiTheme="minorEastAsia"/>
          <w:sz w:val="32"/>
          <w:szCs w:val="32"/>
          <w:lang w:val="en-US" w:eastAsia="zh-CN"/>
        </w:rPr>
        <w:t>购置0</w:t>
      </w:r>
      <w:r>
        <w:rPr>
          <w:rFonts w:hint="eastAsia" w:asciiTheme="minorEastAsia" w:hAnsiTheme="minorEastAsia"/>
          <w:sz w:val="32"/>
          <w:szCs w:val="32"/>
        </w:rPr>
        <w:t>辆</w:t>
      </w:r>
      <w:r>
        <w:rPr>
          <w:rFonts w:asciiTheme="minorEastAsia" w:hAnsiTheme="minorEastAsia"/>
          <w:sz w:val="32"/>
          <w:szCs w:val="32"/>
        </w:rPr>
        <w:t>……</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主要是本单位未安排公务用车运行维护支出</w:t>
      </w:r>
      <w:r>
        <w:rPr>
          <w:rFonts w:hint="eastAsia" w:asciiTheme="minorEastAsia" w:hAnsiTheme="minorEastAsia"/>
          <w:sz w:val="32"/>
          <w:szCs w:val="32"/>
        </w:rPr>
        <w:t>，截止2021年12月31日，我单位开支财政拨款的公务用车保有量为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515.06</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515.06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515.06</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43.73</w:t>
      </w:r>
      <w:r>
        <w:rPr>
          <w:rFonts w:hint="eastAsia" w:asciiTheme="minorEastAsia" w:hAnsiTheme="minorEastAsia" w:eastAsiaTheme="minorEastAsia"/>
          <w:sz w:val="32"/>
          <w:szCs w:val="32"/>
        </w:rPr>
        <w:t>万元，比年初预算数（或者上年决算数）减少</w:t>
      </w:r>
      <w:r>
        <w:rPr>
          <w:rFonts w:hint="eastAsia" w:asciiTheme="minorEastAsia" w:hAnsiTheme="minorEastAsia" w:eastAsiaTheme="minorEastAsia"/>
          <w:sz w:val="32"/>
          <w:szCs w:val="32"/>
          <w:lang w:val="en-US" w:eastAsia="zh-CN"/>
        </w:rPr>
        <w:t>113.49</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72.18</w:t>
      </w:r>
      <w:r>
        <w:rPr>
          <w:rFonts w:hint="eastAsia" w:asciiTheme="minorEastAsia" w:hAnsiTheme="minorEastAsia" w:eastAsiaTheme="minorEastAsia"/>
          <w:sz w:val="32"/>
          <w:szCs w:val="32"/>
        </w:rPr>
        <w:t>%。主要原因是：2021年政府收支较上年减少</w:t>
      </w:r>
      <w:r>
        <w:rPr>
          <w:rFonts w:hint="eastAsia" w:asciiTheme="minorEastAsia" w:hAnsiTheme="minorEastAsia" w:eastAsiaTheme="minorEastAsia"/>
          <w:sz w:val="32"/>
          <w:szCs w:val="32"/>
          <w:lang w:val="en-US" w:eastAsia="zh-CN"/>
        </w:rPr>
        <w:t>误</w:t>
      </w:r>
      <w:r>
        <w:rPr>
          <w:rFonts w:hint="eastAsia" w:asciiTheme="minorEastAsia" w:hAnsiTheme="minorEastAsia" w:eastAsiaTheme="minorEastAsia"/>
          <w:sz w:val="32"/>
          <w:szCs w:val="32"/>
        </w:rPr>
        <w:t>把三公经费</w:t>
      </w:r>
      <w:r>
        <w:rPr>
          <w:rFonts w:hint="eastAsia" w:asciiTheme="minorEastAsia" w:hAnsiTheme="minorEastAsia" w:eastAsiaTheme="minorEastAsia"/>
          <w:sz w:val="32"/>
          <w:szCs w:val="32"/>
          <w:lang w:val="en-US" w:eastAsia="zh-CN"/>
        </w:rPr>
        <w:t>在</w:t>
      </w:r>
      <w:r>
        <w:rPr>
          <w:rFonts w:hint="eastAsia" w:asciiTheme="minorEastAsia" w:hAnsiTheme="minorEastAsia" w:eastAsiaTheme="minorEastAsia"/>
          <w:sz w:val="32"/>
          <w:szCs w:val="32"/>
        </w:rPr>
        <w:t>决算里统计到一般公共事务支出。</w:t>
      </w:r>
    </w:p>
    <w:p>
      <w:pPr>
        <w:pStyle w:val="11"/>
        <w:rPr>
          <w:rFonts w:hAnsi="黑体"/>
          <w:b/>
          <w:sz w:val="32"/>
          <w:szCs w:val="32"/>
        </w:rPr>
      </w:pPr>
      <w:r>
        <w:rPr>
          <w:rFonts w:hint="eastAsia" w:hAnsi="黑体"/>
          <w:b/>
          <w:sz w:val="32"/>
          <w:szCs w:val="32"/>
        </w:rPr>
        <w:t>十、一般性支出情况说明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万元，用于召开……会议，人数XX人，内容为……；开支培训费</w:t>
      </w:r>
      <w:r>
        <w:rPr>
          <w:rFonts w:hint="eastAsia" w:asciiTheme="minorEastAsia" w:hAnsiTheme="minorEastAsia" w:eastAsiaTheme="minorEastAsia"/>
          <w:sz w:val="32"/>
          <w:szCs w:val="32"/>
          <w:lang w:val="en-US" w:eastAsia="zh-CN"/>
        </w:rPr>
        <w:t>1.8</w:t>
      </w:r>
      <w:r>
        <w:rPr>
          <w:rFonts w:hint="eastAsia" w:asciiTheme="minorEastAsia" w:hAnsiTheme="minorEastAsia" w:eastAsiaTheme="minorEastAsia"/>
          <w:sz w:val="32"/>
          <w:szCs w:val="32"/>
        </w:rPr>
        <w:t>万元，用于开展……培训，人数</w:t>
      </w:r>
      <w:r>
        <w:rPr>
          <w:rFonts w:hint="eastAsia" w:asciiTheme="minorEastAsia" w:hAnsiTheme="minorEastAsia" w:eastAsiaTheme="minorEastAsia"/>
          <w:sz w:val="32"/>
          <w:szCs w:val="32"/>
          <w:lang w:val="en-US" w:eastAsia="zh-CN"/>
        </w:rPr>
        <w:t>354</w:t>
      </w:r>
      <w:r>
        <w:rPr>
          <w:rFonts w:hint="eastAsia" w:asciiTheme="minorEastAsia" w:hAnsiTheme="minorEastAsia" w:eastAsiaTheme="minorEastAsia"/>
          <w:sz w:val="32"/>
          <w:szCs w:val="32"/>
        </w:rPr>
        <w:t>人，内容为……；举办……等节庆、晚会、论坛、赛事活动，开支</w:t>
      </w:r>
      <w:r>
        <w:rPr>
          <w:rFonts w:hint="default" w:asciiTheme="minorEastAsia" w:hAnsiTheme="minorEastAsia" w:eastAsiaTheme="minorEastAsia"/>
          <w:sz w:val="32"/>
          <w:szCs w:val="32"/>
        </w:rPr>
        <w:t>0</w:t>
      </w:r>
      <w:r>
        <w:rPr>
          <w:rFonts w:hint="eastAsia" w:asciiTheme="minorEastAsia" w:hAnsiTheme="minorEastAsia" w:eastAsiaTheme="minorEastAsia"/>
          <w:sz w:val="32"/>
          <w:szCs w:val="32"/>
        </w:rPr>
        <w:t>万元，主要是……。（注：三类会议、培训活动，节庆、晚会、论坛、赛事等活动，请分项列明活动计划及经费预算情况）</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 xml:space="preserve"> 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辆，其他用车主要是……；单位价值50万元以上通用设备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1"/>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w:t>
      </w:r>
      <w:r>
        <w:rPr>
          <w:rFonts w:cs="黑体" w:asciiTheme="minorEastAsia" w:hAnsiTheme="minorEastAsia"/>
          <w:color w:val="000000"/>
          <w:kern w:val="0"/>
          <w:sz w:val="32"/>
          <w:szCs w:val="32"/>
        </w:rPr>
        <w:t>XX</w:t>
      </w:r>
      <w:r>
        <w:rPr>
          <w:rFonts w:hint="eastAsia" w:cs="黑体" w:asciiTheme="minorEastAsia" w:hAnsiTheme="minorEastAsia"/>
          <w:color w:val="000000"/>
          <w:kern w:val="0"/>
          <w:sz w:val="32"/>
          <w:szCs w:val="32"/>
        </w:rPr>
        <w:t>个，二级项目</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个，共涉及资金</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万元，占一般公共预算项目支出总额的</w:t>
      </w:r>
      <w:r>
        <w:rPr>
          <w:rFonts w:cs="黑体" w:asciiTheme="minorEastAsia" w:hAnsiTheme="minorEastAsia"/>
          <w:color w:val="000000"/>
          <w:kern w:val="0"/>
          <w:sz w:val="32"/>
          <w:szCs w:val="32"/>
        </w:rPr>
        <w:t>XX%</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w:t>
      </w:r>
      <w:r>
        <w:rPr>
          <w:rFonts w:cs="黑体" w:asciiTheme="minorEastAsia" w:hAnsiTheme="minorEastAsia"/>
          <w:color w:val="000000"/>
          <w:kern w:val="0"/>
          <w:sz w:val="32"/>
          <w:szCs w:val="32"/>
        </w:rPr>
        <w:t>XXX</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XXX </w:t>
      </w:r>
      <w:r>
        <w:rPr>
          <w:rFonts w:hint="eastAsia" w:cs="黑体" w:asciiTheme="minorEastAsia" w:hAnsiTheme="minorEastAsia"/>
          <w:color w:val="000000"/>
          <w:kern w:val="0"/>
          <w:sz w:val="32"/>
          <w:szCs w:val="32"/>
        </w:rPr>
        <w:t>等</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个政府性基金预算项目支出开展绩效自评，共涉及资金</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万元，占政府性基金预算项目支出总额的</w:t>
      </w:r>
      <w:r>
        <w:rPr>
          <w:rFonts w:cs="黑体" w:asciiTheme="minorEastAsia" w:hAnsiTheme="minorEastAsia"/>
          <w:color w:val="000000"/>
          <w:kern w:val="0"/>
          <w:sz w:val="32"/>
          <w:szCs w:val="32"/>
        </w:rPr>
        <w:t>XX%</w:t>
      </w: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w:t>
      </w:r>
      <w:r>
        <w:rPr>
          <w:rFonts w:cs="黑体" w:asciiTheme="minorEastAsia" w:hAnsiTheme="minorEastAsia"/>
          <w:color w:val="000000"/>
          <w:kern w:val="0"/>
          <w:sz w:val="32"/>
          <w:szCs w:val="32"/>
        </w:rPr>
        <w:t>XXX</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XXX </w:t>
      </w:r>
      <w:r>
        <w:rPr>
          <w:rFonts w:hint="eastAsia" w:cs="黑体" w:asciiTheme="minorEastAsia" w:hAnsiTheme="minorEastAsia"/>
          <w:color w:val="000000"/>
          <w:kern w:val="0"/>
          <w:sz w:val="32"/>
          <w:szCs w:val="32"/>
        </w:rPr>
        <w:t>等</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个国有资本经营预算项目支出开展绩效自评，共涉及资金</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万元，占国有资本经营预算项目支出总额的</w:t>
      </w:r>
      <w:r>
        <w:rPr>
          <w:rFonts w:cs="黑体" w:asciiTheme="minorEastAsia" w:hAnsiTheme="minorEastAsia"/>
          <w:color w:val="000000"/>
          <w:kern w:val="0"/>
          <w:sz w:val="32"/>
          <w:szCs w:val="32"/>
        </w:rPr>
        <w:t>XX%</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XXX</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XXX</w:t>
      </w:r>
      <w:r>
        <w:rPr>
          <w:rFonts w:hint="eastAsia" w:cs="黑体" w:asciiTheme="minorEastAsia" w:hAnsiTheme="minorEastAsia"/>
          <w:color w:val="000000"/>
          <w:kern w:val="0"/>
          <w:sz w:val="32"/>
          <w:szCs w:val="32"/>
        </w:rPr>
        <w:t>”等</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个项目开展了部门评价，涉及一般公共预算支出</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万元，政府性基金预算支出</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万元，国有资本经营预算支出</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万元。从评价情况来看，……（请对预算绩效评价情况进行简单说明）。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组织对“</w:t>
      </w:r>
      <w:r>
        <w:rPr>
          <w:rFonts w:cs="黑体" w:asciiTheme="minorEastAsia" w:hAnsiTheme="minorEastAsia"/>
          <w:color w:val="000000"/>
          <w:kern w:val="0"/>
          <w:sz w:val="32"/>
          <w:szCs w:val="32"/>
        </w:rPr>
        <w:t>XXX</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XXX</w:t>
      </w:r>
      <w:r>
        <w:rPr>
          <w:rFonts w:hint="eastAsia" w:cs="黑体" w:asciiTheme="minorEastAsia" w:hAnsiTheme="minorEastAsia"/>
          <w:color w:val="000000"/>
          <w:kern w:val="0"/>
          <w:sz w:val="32"/>
          <w:szCs w:val="32"/>
        </w:rPr>
        <w:t>”等</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个单位开展整体支出绩效评价，涉及一般公共预算支出</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万元，政府性基金预算支出</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万元。从评价情况来看，……（请对整体支出绩效评价情况进行简单说明）。</w:t>
      </w:r>
    </w:p>
    <w:p>
      <w:pPr>
        <w:autoSpaceDE w:val="0"/>
        <w:autoSpaceDN w:val="0"/>
        <w:adjustRightInd w:val="0"/>
        <w:ind w:firstLine="640" w:firstLineChars="200"/>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 xml:space="preserve">XXX </w:t>
      </w:r>
      <w:r>
        <w:rPr>
          <w:rFonts w:hint="eastAsia" w:cs="黑体" w:asciiTheme="minorEastAsia" w:hAnsiTheme="minorEastAsia"/>
          <w:color w:val="000000"/>
          <w:kern w:val="0"/>
          <w:sz w:val="32"/>
          <w:szCs w:val="32"/>
        </w:rPr>
        <w:t>项目绩效自评综述：根据年初设定的绩效目标，项目绩效自评得分为</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分。项目全年预算数为</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万元，执行数为</w:t>
      </w:r>
      <w:r>
        <w:rPr>
          <w:rFonts w:cs="黑体" w:asciiTheme="minorEastAsia" w:hAnsiTheme="minorEastAsia"/>
          <w:color w:val="000000"/>
          <w:kern w:val="0"/>
          <w:sz w:val="32"/>
          <w:szCs w:val="32"/>
        </w:rPr>
        <w:t xml:space="preserve">XX </w:t>
      </w:r>
      <w:r>
        <w:rPr>
          <w:rFonts w:hint="eastAsia" w:cs="黑体" w:asciiTheme="minorEastAsia" w:hAnsiTheme="minorEastAsia"/>
          <w:color w:val="000000"/>
          <w:kern w:val="0"/>
          <w:sz w:val="32"/>
          <w:szCs w:val="32"/>
        </w:rPr>
        <w:t>万元，完成预算的</w:t>
      </w:r>
      <w:r>
        <w:rPr>
          <w:rFonts w:cs="黑体" w:asciiTheme="minorEastAsia" w:hAnsiTheme="minorEastAsia"/>
          <w:color w:val="000000"/>
          <w:kern w:val="0"/>
          <w:sz w:val="32"/>
          <w:szCs w:val="32"/>
        </w:rPr>
        <w:t>XX%</w:t>
      </w:r>
      <w:r>
        <w:rPr>
          <w:rFonts w:hint="eastAsia" w:cs="黑体" w:asciiTheme="minorEastAsia" w:hAnsiTheme="minorEastAsia"/>
          <w:color w:val="000000"/>
          <w:kern w:val="0"/>
          <w:sz w:val="32"/>
          <w:szCs w:val="32"/>
        </w:rPr>
        <w:t>。项目绩效目标完成情况：一是……；二是……。发现的主要问题及原因：一是……；二是……。下一步改进措施：一是……；二是……。</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 xml:space="preserve">XXX </w:t>
      </w:r>
      <w:r>
        <w:rPr>
          <w:rFonts w:hint="eastAsia" w:cs="黑体" w:asciiTheme="minorEastAsia" w:hAnsiTheme="minorEastAsia"/>
          <w:color w:val="000000"/>
          <w:kern w:val="0"/>
          <w:sz w:val="32"/>
          <w:szCs w:val="32"/>
        </w:rPr>
        <w:t>项目绩效自评综述：……。</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1．财政拨款收入：指单位本年度从同级财政部门取得的各类财政拨款。</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2．上级补助收入：指事业单位从主管部门和上级单位取得的非财政补助收入。</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3．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4．“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5．对附属单位补助支出：指事业单位用财政拨款收入之外的收入对附属单位补助发生的支出。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6．经营支出：指事业单位在专业业务活动及其辅助活动之外开展非独立核算经营活动发生的支出。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7．上缴上级支出：指事业单位按照财政部门和主管部门的规定上缴上级单位的支出。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8．项目支出：指在为完成特定的工作任务和事业发展目标所发生的支出。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9．基本支出：指为保障机构正常运转、完成日常工作任务而发生的支出，包括人员经费和公用经费。</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10．年末结转和结余资金：指本年度或以前年度预算安排、因客观条件发生变化无法按原计划实施，需要延迟到以后年度按有关规定继续使用的资金。</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11．结余分配：指事业单位按规定对非财政拨款结余资金提取的专用基金、缴纳的所得税和转入非财政拨款结余等。</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12．年初结转和结余：指单位上年结转本年使用的基本支出结转项目支出结转和结余和经营结余。</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13．使用非财政拨款结余：指事业单位使用非财政拨款结余（原事业基金）弥补当年收支差额的数额。</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14．其他收入：指单位取得的除上述“财政拨款收入”、“事业收入”、“经营收入”等以外的各项收入。</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15．事业收入：指事业单位开展专业业务活动及其辅助活动取得的收入，事业单位收到的财政专户实际核拨的教育收费等资金在此反映。</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16．经营收入：指事业单位在专业业务活动及其辅助活动之外开展非独立核算经营活动取得的收入。</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17．附属单位上缴收入：指事业单位附属独立核算单位按照有关规定上缴的收入。</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18．一般公共服务支出（类）人大事务（款）行政运行（项）：反映行政单位（包括实行公务员管理的事业单位）的基本支出。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19．一般公共服务支出（类）政协事务（款）行政运行（项）：反映行政单位（包括实行公务员管理的事业单位）的基本 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20．一般公共服务支出（类）政府办公厅（室）及相关机构事务（款）行政运行（项）：反映行政单位（包括实行公务员管理的事业单位）的基本 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21．一般公共服务支出（类）财政事务（款）行政运行（项）：反映行政单位（包括实行公务员管理的事业单位）的基本 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22．一般公共服务支出（类）纪检监察事务（款）行政运行（项）：反映行政单位（包括实行公务员管理的事业单位）的基本 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23．一般公共服务支出（类）群众团体事务（款）行政运行（项）：反映行政单位（包括实行公务员管理的事业单位）的基本 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24．一般公共服务支出（类）党委办公厅（室）及相关机构事务（款）行政运行（项）：反映行政单位（包括实行公务员管理的事业单位）的基本 支出。</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25．科学技术支出（类）其他科学技术支出（款）其他科学技术支出（项）：反映其他科学技术支出中除以上各项外用于科技方面的支出。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26．社会保障和就业支出（类）行政事业单位养老支出（款）机关事业单位基本养老保险缴费支出（项）：反映机关事业单位实施养老保险制度由单位缴纳的基本养老保险费支出。</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27．社会保障和就业支出（类）抚恤（款）死亡抚恤（项）：反映按规定用于烈士和牺牲、病故人员家属的一次性和定期 抚恤金、丧葬补助费以及烈士褒扬金。</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28．卫生健康支出（类）行政事业单位医疗（款）行政单位医疗（项）：反映财政部门安排的行政单位（包括实行公务员管理的事业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29．城乡社区支出（类）其他城乡社区支出（款）其他城乡社区支出（项）：反映除上述项目以外其他用于城乡社区方面的支出。</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30．农林水支出（类）农村综合改革（款）对村民委员会和村党支部的补助（项）：反映各级财政对村民委员会和村党支部的补助支出，以及支持建立县级基本财力保障机制安排的村级组织运转奖补资金。</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1460B"/>
    <w:multiLevelType w:val="singleLevel"/>
    <w:tmpl w:val="FC21460B"/>
    <w:lvl w:ilvl="0" w:tentative="0">
      <w:start w:val="3"/>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497430"/>
    <w:rsid w:val="03CC23EF"/>
    <w:rsid w:val="049D0A66"/>
    <w:rsid w:val="12000A67"/>
    <w:rsid w:val="1BF92D97"/>
    <w:rsid w:val="1C063A19"/>
    <w:rsid w:val="240D10DB"/>
    <w:rsid w:val="2455194A"/>
    <w:rsid w:val="2F1F29E2"/>
    <w:rsid w:val="48EC6A14"/>
    <w:rsid w:val="5CD31B85"/>
    <w:rsid w:val="60D5786C"/>
    <w:rsid w:val="60D62DFB"/>
    <w:rsid w:val="693E1212"/>
    <w:rsid w:val="69AC1575"/>
    <w:rsid w:val="6F8D02BD"/>
    <w:rsid w:val="7AAB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106"/>
    </w:pPr>
    <w:rPr>
      <w:rFonts w:ascii="仿宋_GB2312" w:hAnsi="仿宋_GB2312" w:eastAsia="仿宋_GB2312" w:cs="仿宋_GB2312"/>
      <w:sz w:val="32"/>
      <w:szCs w:val="32"/>
      <w:lang w:val="zh-CN" w:bidi="zh-CN"/>
    </w:rPr>
  </w:style>
  <w:style w:type="paragraph" w:styleId="3">
    <w:name w:val="Body Text First Indent"/>
    <w:basedOn w:val="2"/>
    <w:qFormat/>
    <w:uiPriority w:val="99"/>
    <w:pPr>
      <w:ind w:firstLine="420" w:firstLineChars="100"/>
    </w:pPr>
    <w:rPr>
      <w:rFonts w:ascii="Calibri" w:hAnsi="Calibri" w:eastAsia="微软雅黑" w:cs="Calibri"/>
    </w:r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9737</Words>
  <Characters>11964</Characters>
  <Lines>69</Lines>
  <Paragraphs>19</Paragraphs>
  <TotalTime>0</TotalTime>
  <ScaleCrop>false</ScaleCrop>
  <LinksUpToDate>false</LinksUpToDate>
  <CharactersWithSpaces>12994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2023-09-28T04:58:13Z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EF1B2EA664254CBBBE4A94ABCF961A63_13</vt:lpwstr>
  </property>
</Properties>
</file>