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道县林业局部门决算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道县林业局</w:t>
      </w:r>
      <w:r>
        <w:rPr>
          <w:rFonts w:hint="eastAsia"/>
          <w:sz w:val="84"/>
          <w:szCs w:val="84"/>
        </w:rPr>
        <w:t>概况</w:t>
      </w:r>
    </w:p>
    <w:p>
      <w:pPr>
        <w:jc w:val="center"/>
        <w:rPr>
          <w:sz w:val="72"/>
          <w:szCs w:val="72"/>
        </w:rPr>
      </w:pPr>
    </w:p>
    <w:p>
      <w:pPr>
        <w:pStyle w:val="11"/>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left="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(1)、职能职责</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根据</w:t>
      </w:r>
      <w:r>
        <w:rPr>
          <w:rFonts w:hint="eastAsia" w:ascii="仿宋" w:hAnsi="仿宋" w:eastAsia="仿宋" w:cs="仿宋"/>
          <w:sz w:val="32"/>
          <w:szCs w:val="32"/>
        </w:rPr>
        <w:t>《中共道县县委办公室、道县人民政府办公室关于印发《道县机构改革实施方案的通知》（道办发</w:t>
      </w:r>
      <w:r>
        <w:rPr>
          <w:rFonts w:ascii="仿宋" w:hAnsi="仿宋" w:eastAsia="仿宋" w:cs="仿宋"/>
          <w:sz w:val="32"/>
          <w:szCs w:val="32"/>
        </w:rPr>
        <w:t>[2019]11</w:t>
      </w:r>
      <w:r>
        <w:rPr>
          <w:rFonts w:hint="eastAsia" w:ascii="仿宋" w:hAnsi="仿宋" w:eastAsia="仿宋" w:cs="仿宋"/>
          <w:sz w:val="32"/>
          <w:szCs w:val="32"/>
        </w:rPr>
        <w:t>号）规定，本单位主要工作职责是：</w:t>
      </w:r>
    </w:p>
    <w:p>
      <w:pPr>
        <w:spacing w:line="600" w:lineRule="exact"/>
        <w:ind w:firstLine="480" w:firstLineChars="15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、负责林业及其生态保护修复的监督管理。拟定林业及其生态保护修复的政策、规划、标准并组织实施，按规定起草相关地方性法规、规章草案。组织开展森林、湿地荒漠和陆生野生动植物资源动态监测与评价。</w:t>
      </w:r>
    </w:p>
    <w:p>
      <w:pPr>
        <w:spacing w:line="600" w:lineRule="exact"/>
        <w:ind w:firstLine="480" w:firstLineChars="15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组织林业生态保护修复和造林绿化工作。组织实施林业重点生态修复工程，指导公益林和商品林的培育，指导、监督全民义务植树、城乡绿化工作，组织指导林木花卉工作。指导林业有害生物防治、检疫工作。承担林业应对气候变化的相关工作。承担县绿化委员会的具体工作。</w:t>
      </w:r>
    </w:p>
    <w:p>
      <w:pPr>
        <w:spacing w:line="560" w:lineRule="exac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负责森林、湿地资源的监督管理。组织编制并监督执行全县森林采伐限额。负责林地管理，拟定林地保护利用规划并组织实施，指导公益林划定和管理工作，管理国有森林资源。负责湿地生态保护修复工作，拟订湿地保护和相关标准，监督管理湿地的开发利用。</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监督管理石漠化防治工作。组织开展荒漠调查，组织拟订防沙、石漠化防治及沙化土地封禁保护区建设规划，拟订相关标准，监督管理沙化土地的开发利用，组织、指导建设项目对土地沙化影响的审核，组织沙化灾害预测预报和应急处置。</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陆生野生动植物资源监督管理。组织开展陆生野生动植物资源调查。指导陆生野生动植物的救护繁育、栖息地恢复发展、疫源疫病监测，监督管理陆生野生动植物猎捕或采集、驯养繁殖、经营利用，按分工监督管理野生动植物进出口。</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监督管理各类自然保护地。拟订各类自然保护地规划和相关标准。负责国家公园设立、规划、建设和特许经营等申报工作，负责国家公园等自然资源资产管理和国土空间用途管制。提出新建、调整各类自然保护地的审核建议并按程序报批，组织审核世界自然遗产的申报，会同有关部门审核自然与文化双重遗产的申报。负责生物多样性保护相关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、负责推进林业改革相关工作。拟订集体林权制度、国有林场等重大改革意见并监督实施，指导农村林地承包经营工作。开展退耕还林，负责天然林保护工作。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、拟订林业资源优化配置及木材利用政策，拟订相关林业产业标准并监督实施，组织、指导林产品质量监督，指导生态扶贫相关工作。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指导国有林场基本建设和发展，组织林木种子、草种种资源普查，组织建立种质资源库，负责良种选育推广，管理林木种苗、草种生产经营行为，监管林木种苗、草种质量。监督管理林业和草原生物种质资源、转基因生物安全、植物新品种保护。</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、指导全县森林公安工作，监督管理森林公安队伍，指导全县林业重大违法案件的查处，负责相关行政执法监管工作，指导林区社会治安治理工作。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负责落实综合防灾减灾规划相关要求，组织编制森林防火防治规划和防护标准并指导实施，指导开展防火巡护、火源管理、防火设施建设等工作。组织指导国有林场林区开展宣传教育、监测预警、督促检查等防火工作。必要时，可以提请县应急管理局，以县应急指挥机构名义，部署相关防治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、监督管理林业资金和国有资产，提出林业预算内投资、财政性资金安排建议，按县政府规定权限，审核县级规划内和年度计划内投资项目。参与拟订林业经济调节政策，组织实施生态补偿工作。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、负责林业科技、教育和外事工作，指导全县林业人才队伍建设民，组织实施林业技术交流与合作事务，承担湿地、防治荒漠化、濒危野生动植物等国际公约履约工作。</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、完成县委、县人民政府交办的其他任务。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27" w:firstLineChars="196"/>
        <w:jc w:val="left"/>
        <w:rPr>
          <w:rFonts w:ascii="仿宋" w:hAnsi="仿宋" w:eastAsia="仿宋" w:cs="仿宋_GB2312"/>
          <w:sz w:val="32"/>
          <w:szCs w:val="32"/>
        </w:rPr>
      </w:pPr>
      <w:r>
        <w:rPr>
          <w:rFonts w:hint="eastAsia" w:ascii="仿宋" w:hAnsi="仿宋" w:eastAsia="仿宋" w:cs="仿宋_GB2312"/>
          <w:bCs/>
          <w:sz w:val="32"/>
          <w:szCs w:val="32"/>
        </w:rPr>
        <w:t>办公室、政工股、计划财务股、资源林政股、政策法规股、林业工作站管</w:t>
      </w:r>
      <w:r>
        <w:rPr>
          <w:rFonts w:hint="eastAsia" w:ascii="仿宋" w:hAnsi="仿宋" w:eastAsia="仿宋" w:cs="仿宋_GB2312"/>
          <w:sz w:val="32"/>
          <w:szCs w:val="32"/>
        </w:rPr>
        <w:t>理股；副科级行政机构：道县森林公安局；下属事业单位12个。总编制人数215名，其中：行政编制13名，机关后勤事业编制2名，专项行政编制10名，事业编制190名。车辆编制4台。实有车辆4台。</w:t>
      </w:r>
    </w:p>
    <w:p>
      <w:pPr>
        <w:widowControl/>
        <w:spacing w:line="600" w:lineRule="exact"/>
        <w:ind w:firstLine="627" w:firstLineChars="196"/>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道县林业局只有本级，没有其他二级预算单位，因此，纳入2021年部门预算编制范围的只有林业局本级。</w:t>
      </w:r>
    </w:p>
    <w:p>
      <w:pPr>
        <w:widowControl/>
        <w:spacing w:line="600" w:lineRule="exact"/>
        <w:ind w:firstLine="320" w:firstLineChars="100"/>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701" w:right="1191" w:bottom="1191" w:left="1474" w:header="851" w:footer="992" w:gutter="0"/>
          <w:cols w:space="0" w:num="1"/>
          <w:rtlGutter w:val="0"/>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部门：道县林业局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6,051.02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197.30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98.31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1,269.88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2,212.50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2,985.53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8,263.52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8,263.52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521"/>
        <w:gridCol w:w="109"/>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 xml:space="preserve">道县林业局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8,263.52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8,263.52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197.30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1,269.88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1,269.88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1,190.00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1,190.00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1,190.00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1,190.00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天然林保护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森林管护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2,212.50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2,212.50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1,497.98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1,497.98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714.53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714.53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2,985.53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2,985.53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2,985.53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2,985.53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1,090.37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1,090.37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1,596.24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1,596.24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动植物保护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部门：道县林业局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8,263.52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2,508.11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5,755.41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天然林保护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森林管护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2,212.50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2,212.50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1,497.98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1,497.98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714.53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1,090.37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1,090.37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1,596.24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1,596.24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动植物保护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96"/>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部门：道县林业局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6,051.02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197.30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197.30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1,269.88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1,269.88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2,985.53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2,985.53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8,263.52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6,051.02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2,212.50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道县林业局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6,051.02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295.61</w:t>
            </w: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5,755.41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197.30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98.31</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1,269.88</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1,269.88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天然林保护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79.88</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2110501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森林管护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79.88</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79.88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2,985.53</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2,985.53</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1,090.37</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1,090.37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1,596.24</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1,596.24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动植物保护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68.92</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粮油物资事务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4949" w:type="dxa"/>
        <w:tblInd w:w="0" w:type="dxa"/>
        <w:tblLayout w:type="fixed"/>
        <w:tblCellMar>
          <w:top w:w="0" w:type="dxa"/>
          <w:left w:w="108" w:type="dxa"/>
          <w:bottom w:w="0" w:type="dxa"/>
          <w:right w:w="108" w:type="dxa"/>
        </w:tblCellMar>
      </w:tblPr>
      <w:tblGrid>
        <w:gridCol w:w="1189"/>
        <w:gridCol w:w="2947"/>
        <w:gridCol w:w="875"/>
        <w:gridCol w:w="1088"/>
        <w:gridCol w:w="2037"/>
        <w:gridCol w:w="1230"/>
        <w:gridCol w:w="838"/>
        <w:gridCol w:w="3675"/>
        <w:gridCol w:w="1070"/>
      </w:tblGrid>
      <w:tr>
        <w:tblPrEx>
          <w:tblCellMar>
            <w:top w:w="0" w:type="dxa"/>
            <w:left w:w="108" w:type="dxa"/>
            <w:bottom w:w="0" w:type="dxa"/>
            <w:right w:w="108" w:type="dxa"/>
          </w:tblCellMar>
        </w:tblPrEx>
        <w:trPr>
          <w:trHeight w:val="113" w:hRule="atLeast"/>
        </w:trPr>
        <w:tc>
          <w:tcPr>
            <w:tcW w:w="1494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道县林业局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295.61</w:t>
            </w: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4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196.3</w:t>
            </w: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98.31</w:t>
            </w: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4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6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4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9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8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294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3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1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294.61</w:t>
            </w:r>
          </w:p>
        </w:tc>
        <w:tc>
          <w:tcPr>
            <w:tcW w:w="8868"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w:t>
            </w:r>
          </w:p>
        </w:tc>
      </w:tr>
      <w:tr>
        <w:tblPrEx>
          <w:tblCellMar>
            <w:top w:w="0" w:type="dxa"/>
            <w:left w:w="108" w:type="dxa"/>
            <w:bottom w:w="0" w:type="dxa"/>
            <w:right w:w="108" w:type="dxa"/>
          </w:tblCellMar>
        </w:tblPrEx>
        <w:trPr>
          <w:trHeight w:val="284" w:hRule="exact"/>
        </w:trPr>
        <w:tc>
          <w:tcPr>
            <w:tcW w:w="1494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道县林业局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道县林业局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911"/>
        <w:gridCol w:w="1844"/>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2,212.50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2,212.50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1,497.98</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1,497.98</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1,497.98</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714.53</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714.53</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714.53</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 xml:space="preserve">部门：道县林业局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道县林业局无国有资本经营</w:t>
            </w:r>
            <w:r>
              <w:rPr>
                <w:rFonts w:hint="eastAsia" w:ascii="宋体" w:hAnsi="宋体" w:eastAsia="宋体" w:cs="宋体"/>
                <w:kern w:val="0"/>
                <w:sz w:val="24"/>
                <w:szCs w:val="24"/>
              </w:rPr>
              <w:t>收入，也没有</w:t>
            </w:r>
            <w:r>
              <w:rPr>
                <w:rFonts w:hint="eastAsia" w:ascii="宋体" w:hAnsi="宋体" w:eastAsia="宋体" w:cs="宋体"/>
                <w:kern w:val="0"/>
                <w:sz w:val="24"/>
                <w:szCs w:val="24"/>
                <w:lang w:eastAsia="zh-CN"/>
              </w:rPr>
              <w:t>安排国有资本经营</w:t>
            </w:r>
            <w:r>
              <w:rPr>
                <w:rFonts w:hint="eastAsia" w:ascii="宋体" w:hAnsi="宋体" w:eastAsia="宋体" w:cs="宋体"/>
                <w:kern w:val="0"/>
                <w:sz w:val="24"/>
                <w:szCs w:val="24"/>
              </w:rPr>
              <w:t>支出，故本表无数据</w:t>
            </w:r>
            <w:r>
              <w:rPr>
                <w:rFonts w:hint="eastAsia" w:ascii="宋体" w:hAnsi="宋体" w:eastAsia="宋体" w:cs="宋体"/>
                <w:kern w:val="0"/>
                <w:sz w:val="24"/>
                <w:szCs w:val="24"/>
                <w:lang w:eastAsia="zh-CN"/>
              </w:rPr>
              <w:t>。</w:t>
            </w:r>
          </w:p>
        </w:tc>
      </w:tr>
    </w:tbl>
    <w:p>
      <w:pPr>
        <w:pStyle w:val="10"/>
        <w:rPr>
          <w:sz w:val="72"/>
          <w:szCs w:val="72"/>
        </w:rPr>
        <w:sectPr>
          <w:pgSz w:w="16838" w:h="11906" w:orient="landscape"/>
          <w:pgMar w:top="1701" w:right="1474" w:bottom="1191" w:left="1191" w:header="851" w:footer="992" w:gutter="0"/>
          <w:cols w:space="0" w:num="1"/>
          <w:rtlGutter w:val="0"/>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宋体" w:hAnsi="宋体" w:eastAsia="宋体" w:cs="宋体"/>
          <w:i w:val="0"/>
          <w:iCs w:val="0"/>
          <w:color w:val="000000"/>
          <w:kern w:val="0"/>
          <w:sz w:val="32"/>
          <w:szCs w:val="32"/>
          <w:u w:val="none"/>
          <w:lang w:val="en-US" w:eastAsia="zh-CN" w:bidi="ar"/>
        </w:rPr>
        <w:t>8,263.52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2052.52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争资争项效果明显。</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5041.27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 xml:space="preserve"> 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2570.95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5692.57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2052.52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争资争项效果明显。</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2052.52</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争资争项效果明显。</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8263.52</w:t>
      </w:r>
      <w:r>
        <w:rPr>
          <w:rFonts w:hint="eastAsia" w:asciiTheme="minorEastAsia" w:hAnsiTheme="minorEastAsia" w:eastAsiaTheme="minorEastAsia"/>
          <w:sz w:val="32"/>
          <w:szCs w:val="32"/>
        </w:rPr>
        <w:t>万元，主要用于以下方面：一般公共服务（类）支出</w:t>
      </w:r>
      <w:r>
        <w:rPr>
          <w:rFonts w:hint="eastAsia" w:ascii="宋体" w:hAnsi="宋体" w:eastAsia="宋体" w:cs="宋体"/>
          <w:b w:val="0"/>
          <w:bCs w:val="0"/>
          <w:i w:val="0"/>
          <w:iCs w:val="0"/>
          <w:color w:val="000000"/>
          <w:kern w:val="0"/>
          <w:sz w:val="32"/>
          <w:szCs w:val="32"/>
          <w:u w:val="none"/>
          <w:lang w:val="en-US" w:eastAsia="zh-CN" w:bidi="ar"/>
        </w:rPr>
        <w:t>6051.02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w:t>
      </w:r>
      <w:r>
        <w:rPr>
          <w:rFonts w:hint="eastAsia" w:ascii="宋体" w:hAnsi="宋体" w:eastAsia="宋体" w:cs="宋体"/>
          <w:i w:val="0"/>
          <w:iCs w:val="0"/>
          <w:color w:val="000000"/>
          <w:kern w:val="0"/>
          <w:sz w:val="32"/>
          <w:szCs w:val="32"/>
          <w:u w:val="none"/>
          <w:lang w:val="en-US" w:eastAsia="zh-CN" w:bidi="ar"/>
        </w:rPr>
        <w:t>社会保障和就业支出</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197.3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w:t>
      </w:r>
      <w:r>
        <w:rPr>
          <w:rFonts w:hint="eastAsia" w:ascii="宋体" w:hAnsi="宋体" w:eastAsia="宋体" w:cs="宋体"/>
          <w:i w:val="0"/>
          <w:iCs w:val="0"/>
          <w:color w:val="000000"/>
          <w:kern w:val="0"/>
          <w:sz w:val="32"/>
          <w:szCs w:val="32"/>
          <w:u w:val="none"/>
          <w:lang w:val="en-US" w:eastAsia="zh-CN" w:bidi="ar"/>
        </w:rPr>
        <w:t>卫生健康支出98.31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宋体" w:hAnsi="宋体" w:eastAsia="宋体" w:cs="宋体"/>
          <w:i w:val="0"/>
          <w:iCs w:val="0"/>
          <w:color w:val="000000"/>
          <w:kern w:val="0"/>
          <w:sz w:val="32"/>
          <w:szCs w:val="32"/>
          <w:u w:val="none"/>
          <w:lang w:val="en-US" w:eastAsia="zh-CN" w:bidi="ar"/>
        </w:rPr>
        <w:t>节能环保支出1269.88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w:t>
      </w:r>
      <w:r>
        <w:rPr>
          <w:rFonts w:hint="eastAsia" w:ascii="宋体" w:hAnsi="宋体" w:eastAsia="宋体" w:cs="宋体"/>
          <w:i w:val="0"/>
          <w:iCs w:val="0"/>
          <w:color w:val="000000"/>
          <w:kern w:val="0"/>
          <w:sz w:val="32"/>
          <w:szCs w:val="32"/>
          <w:u w:val="none"/>
          <w:lang w:val="en-US" w:eastAsia="zh-CN" w:bidi="ar"/>
        </w:rPr>
        <w:t>、农林水支出2985.53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w:t>
      </w:r>
      <w:r>
        <w:rPr>
          <w:rFonts w:hint="eastAsia" w:ascii="宋体" w:hAnsi="宋体" w:eastAsia="宋体" w:cs="宋体"/>
          <w:i w:val="0"/>
          <w:iCs w:val="0"/>
          <w:color w:val="000000"/>
          <w:kern w:val="0"/>
          <w:sz w:val="32"/>
          <w:szCs w:val="32"/>
          <w:u w:val="none"/>
          <w:lang w:val="en-US" w:eastAsia="zh-CN" w:bidi="ar"/>
        </w:rPr>
        <w:t>粮油物资储备支出1500.00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6051.02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6051.02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基本</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295.61万元，2</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295.61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295.61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%，决算数大于（小于）年初预算数的主要原因是：</w:t>
      </w:r>
      <w:r>
        <w:rPr>
          <w:rFonts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eastAsia="zh-CN"/>
        </w:rPr>
        <w:t>项目</w:t>
      </w:r>
      <w:r>
        <w:rPr>
          <w:rFonts w:hint="eastAsia" w:asciiTheme="minorEastAsia" w:hAnsiTheme="minorEastAsia" w:eastAsiaTheme="minorEastAsia"/>
          <w:sz w:val="32"/>
          <w:szCs w:val="32"/>
          <w:lang w:val="en-US" w:eastAsia="zh-CN"/>
        </w:rPr>
        <w:t>5755.41万元，3</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5755.41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5755.41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%，决算数大于（小于）年初预算数的主要原因是：……</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3222.25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2570.95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651.3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%，主要包括办公费、印刷费、咨询费、手续费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严格执行中央八项规定，</w:t>
      </w:r>
      <w:r>
        <w:rPr>
          <w:rFonts w:hint="eastAsia" w:ascii="新宋体" w:hAnsi="新宋体" w:eastAsia="新宋体" w:cs="新宋体"/>
          <w:sz w:val="32"/>
          <w:szCs w:val="32"/>
          <w:lang w:val="zh-CN"/>
        </w:rPr>
        <w:t>厉行节约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%，决算数预算数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执行中央八项规定、</w:t>
      </w:r>
      <w:r>
        <w:rPr>
          <w:rFonts w:hint="eastAsia" w:ascii="新宋体" w:hAnsi="新宋体" w:eastAsia="新宋体" w:cs="新宋体"/>
          <w:sz w:val="32"/>
          <w:szCs w:val="32"/>
          <w:lang w:val="zh-CN"/>
        </w:rPr>
        <w:t>厉行节约</w:t>
      </w:r>
      <w:r>
        <w:rPr>
          <w:rFonts w:hint="eastAsia" w:ascii="仿宋" w:hAnsi="Times New Roman" w:eastAsia="仿宋" w:cs="仿宋"/>
          <w:sz w:val="32"/>
          <w:szCs w:val="32"/>
          <w:lang w:val="zh-CN"/>
        </w:rPr>
        <w:t>，</w:t>
      </w:r>
      <w:r>
        <w:rPr>
          <w:rFonts w:hint="eastAsia" w:asciiTheme="minorEastAsia" w:hAnsiTheme="minorEastAsia" w:eastAsiaTheme="minorEastAsia"/>
          <w:sz w:val="32"/>
          <w:szCs w:val="32"/>
          <w:lang w:eastAsia="zh-CN"/>
        </w:rPr>
        <w:t>加强内控管理</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270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2165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项目检查验收，绩效评价，督查等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6.4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林业局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6.4</w:t>
      </w:r>
      <w:r>
        <w:rPr>
          <w:rFonts w:hint="eastAsia" w:asciiTheme="minorEastAsia" w:hAnsiTheme="minorEastAsia"/>
          <w:sz w:val="32"/>
          <w:szCs w:val="32"/>
        </w:rPr>
        <w:t>万元，主要是</w:t>
      </w:r>
      <w:r>
        <w:rPr>
          <w:rFonts w:hint="eastAsia" w:asciiTheme="minorEastAsia" w:hAnsiTheme="minorEastAsia"/>
          <w:sz w:val="32"/>
          <w:szCs w:val="32"/>
          <w:lang w:eastAsia="zh-CN"/>
        </w:rPr>
        <w:t>车辆维修、保险、燃油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2212.5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2212.5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2212.5</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960" w:firstLineChars="300"/>
        <w:rPr>
          <w:rFonts w:hint="eastAsia" w:asciiTheme="minorEastAsia" w:hAnsiTheme="minorEastAsia" w:eastAsiaTheme="minorEastAsia"/>
          <w:sz w:val="32"/>
          <w:szCs w:val="32"/>
          <w:lang w:eastAsia="zh-CN"/>
        </w:rPr>
      </w:pPr>
      <w:r>
        <w:rPr>
          <w:rFonts w:hint="eastAsia" w:ascii="宋体" w:hAnsi="宋体" w:eastAsia="宋体" w:cs="宋体"/>
          <w:i w:val="0"/>
          <w:iCs w:val="0"/>
          <w:color w:val="000000"/>
          <w:kern w:val="0"/>
          <w:sz w:val="32"/>
          <w:szCs w:val="32"/>
          <w:u w:val="none"/>
          <w:lang w:val="en-US" w:eastAsia="zh-CN" w:bidi="ar"/>
        </w:rPr>
        <w:t>征地和拆迁补偿支出和土地开发支出</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2212.5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w:t>
      </w:r>
      <w:r>
        <w:rPr>
          <w:rFonts w:hint="eastAsia" w:ascii="宋体" w:hAnsi="宋体" w:eastAsia="宋体" w:cs="宋体"/>
          <w:i w:val="0"/>
          <w:iCs w:val="0"/>
          <w:color w:val="000000"/>
          <w:kern w:val="0"/>
          <w:sz w:val="32"/>
          <w:szCs w:val="32"/>
          <w:u w:val="none"/>
          <w:lang w:val="en-US" w:eastAsia="zh-CN" w:bidi="ar"/>
        </w:rPr>
        <w:t>征地和拆迁补偿支出1497.98万元，土地开发714.53万元。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增加土地出让产生补偿和上缴税费。</w:t>
      </w:r>
    </w:p>
    <w:p>
      <w:pPr>
        <w:pStyle w:val="10"/>
        <w:rPr>
          <w:rFonts w:hint="default" w:asciiTheme="minorEastAsia" w:hAnsiTheme="minorEastAsia" w:eastAsiaTheme="minorEastAsia"/>
          <w:sz w:val="32"/>
          <w:szCs w:val="32"/>
          <w:lang w:val="en-US" w:eastAsia="zh-CN"/>
        </w:rPr>
      </w:pPr>
    </w:p>
    <w:p>
      <w:pPr>
        <w:pStyle w:val="10"/>
        <w:rPr>
          <w:rFonts w:hAnsi="黑体"/>
          <w:b/>
          <w:sz w:val="32"/>
          <w:szCs w:val="32"/>
        </w:rPr>
      </w:pPr>
      <w:r>
        <w:rPr>
          <w:rFonts w:hint="eastAsia" w:hAnsi="黑体"/>
          <w:b/>
          <w:sz w:val="32"/>
          <w:szCs w:val="32"/>
        </w:rPr>
        <w:t>九、机关运行经费支出说明</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171</w:t>
      </w:r>
      <w:r>
        <w:rPr>
          <w:rFonts w:hint="eastAsia" w:asciiTheme="minorEastAsia" w:hAnsiTheme="minorEastAsia" w:eastAsiaTheme="minorEastAsia"/>
          <w:sz w:val="32"/>
          <w:szCs w:val="32"/>
        </w:rPr>
        <w:t>万元，比年初预算数（或者上年决算数）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。主要原因是：主要原因是</w:t>
      </w:r>
      <w:r>
        <w:rPr>
          <w:rFonts w:hint="eastAsia" w:asciiTheme="minorEastAsia" w:hAnsiTheme="minorEastAsia" w:eastAsiaTheme="minorEastAsia"/>
          <w:sz w:val="32"/>
          <w:szCs w:val="32"/>
          <w:lang w:eastAsia="zh-CN"/>
        </w:rPr>
        <w:t>严格执行预算法，</w:t>
      </w:r>
      <w:r>
        <w:rPr>
          <w:rFonts w:hint="eastAsia" w:ascii="新宋体" w:hAnsi="新宋体" w:eastAsia="新宋体" w:cs="新宋体"/>
          <w:sz w:val="32"/>
          <w:szCs w:val="32"/>
          <w:lang w:val="zh-CN"/>
        </w:rPr>
        <w:t>厉行节约，</w:t>
      </w:r>
      <w:r>
        <w:rPr>
          <w:rFonts w:hint="eastAsia" w:asciiTheme="minorEastAsia" w:hAnsiTheme="minorEastAsia" w:eastAsiaTheme="minorEastAsia"/>
          <w:sz w:val="32"/>
          <w:szCs w:val="32"/>
          <w:lang w:eastAsia="zh-CN"/>
        </w:rPr>
        <w:t>加强内控管理</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生态效益培训</w:t>
      </w:r>
      <w:r>
        <w:rPr>
          <w:rFonts w:hint="eastAsia" w:asciiTheme="minorEastAsia" w:hAnsiTheme="minorEastAsia" w:eastAsiaTheme="minorEastAsia"/>
          <w:sz w:val="32"/>
          <w:szCs w:val="32"/>
        </w:rPr>
        <w:t>会议，会议，人数</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防火宣传和油茶技术培训</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技术</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资源管理和油茶种植、苗木培育技术培训。</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3222.25</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组织对“合法执行野生动物繁育退出补偿</w:t>
      </w:r>
      <w:r>
        <w:rPr>
          <w:rFonts w:hint="eastAsia" w:cs="黑体" w:asciiTheme="minorEastAsia" w:hAnsiTheme="minorEastAsia"/>
          <w:color w:val="000000"/>
          <w:kern w:val="0"/>
          <w:sz w:val="32"/>
          <w:szCs w:val="32"/>
          <w:lang w:val="en-US" w:eastAsia="zh-CN"/>
        </w:rPr>
        <w:t>69.71万元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“造林绿化提质工程</w:t>
      </w:r>
      <w:r>
        <w:rPr>
          <w:rFonts w:hint="eastAsia" w:cs="黑体" w:asciiTheme="minorEastAsia" w:hAnsiTheme="minorEastAsia"/>
          <w:color w:val="000000"/>
          <w:kern w:val="0"/>
          <w:sz w:val="32"/>
          <w:szCs w:val="32"/>
          <w:lang w:val="en-US" w:eastAsia="zh-CN"/>
        </w:rPr>
        <w:t>260万元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茶油小作坊升级改造</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45万元、产油大县奖励资金1300万元</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1674.71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从产出指标、效益指标、满意度指标、进程管理指标达</w:t>
      </w:r>
      <w:r>
        <w:rPr>
          <w:rFonts w:hint="eastAsia" w:cs="黑体" w:asciiTheme="minorEastAsia" w:hAnsiTheme="minorEastAsia"/>
          <w:color w:val="000000"/>
          <w:kern w:val="0"/>
          <w:sz w:val="32"/>
          <w:szCs w:val="32"/>
          <w:lang w:val="en-US" w:eastAsia="zh-CN"/>
        </w:rPr>
        <w:t>98%以上</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林业局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3222.25</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从产出指标、效益指标、满意度指标、进程管理指标按满分</w:t>
      </w:r>
      <w:r>
        <w:rPr>
          <w:rFonts w:hint="eastAsia" w:cs="黑体" w:asciiTheme="minorEastAsia" w:hAnsiTheme="minorEastAsia"/>
          <w:color w:val="000000"/>
          <w:kern w:val="0"/>
          <w:sz w:val="32"/>
          <w:szCs w:val="32"/>
          <w:lang w:val="en-US" w:eastAsia="zh-CN"/>
        </w:rPr>
        <w:t>90分计算，自评87分。满意率达96%以上。</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项目绩效自评综述：根据年初设定的绩效目标，从评价情况来看，</w:t>
      </w:r>
      <w:r>
        <w:rPr>
          <w:rFonts w:hint="eastAsia" w:cs="黑体" w:asciiTheme="minorEastAsia" w:hAnsiTheme="minorEastAsia"/>
          <w:color w:val="000000"/>
          <w:kern w:val="0"/>
          <w:sz w:val="32"/>
          <w:szCs w:val="32"/>
          <w:lang w:eastAsia="zh-CN"/>
        </w:rPr>
        <w:t>产出指标、效益指标、满意度指标、进程管理指标按满分</w:t>
      </w:r>
      <w:r>
        <w:rPr>
          <w:rFonts w:hint="eastAsia" w:cs="黑体" w:asciiTheme="minorEastAsia" w:hAnsiTheme="minorEastAsia"/>
          <w:color w:val="000000"/>
          <w:kern w:val="0"/>
          <w:sz w:val="32"/>
          <w:szCs w:val="32"/>
          <w:lang w:val="en-US" w:eastAsia="zh-CN"/>
        </w:rPr>
        <w:t>90分计算，自评87分。满意率达96%以上。</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sz w:val="72"/>
          <w:szCs w:val="72"/>
        </w:rPr>
      </w:pPr>
      <w:r>
        <w:rPr>
          <w:rFonts w:hint="eastAsia"/>
          <w:sz w:val="72"/>
          <w:szCs w:val="72"/>
        </w:rPr>
        <w:t>第四部分</w:t>
      </w:r>
    </w:p>
    <w:p>
      <w:pPr>
        <w:ind w:firstLine="3500" w:firstLineChars="500"/>
        <w:jc w:val="both"/>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color w:val="000000"/>
          <w:kern w:val="0"/>
          <w:sz w:val="32"/>
          <w:szCs w:val="32"/>
        </w:rPr>
      </w:pPr>
    </w:p>
    <w:p>
      <w:pPr>
        <w:widowControl/>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4320" w:firstLineChars="6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5990"/>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934780"/>
    <w:rsid w:val="036E771B"/>
    <w:rsid w:val="049E314A"/>
    <w:rsid w:val="0A314B36"/>
    <w:rsid w:val="0AA676DC"/>
    <w:rsid w:val="0B440899"/>
    <w:rsid w:val="0D6A3B25"/>
    <w:rsid w:val="0FF93184"/>
    <w:rsid w:val="113B51A5"/>
    <w:rsid w:val="129E4D32"/>
    <w:rsid w:val="130B5611"/>
    <w:rsid w:val="15287C4D"/>
    <w:rsid w:val="17EC6657"/>
    <w:rsid w:val="180B1968"/>
    <w:rsid w:val="1811244B"/>
    <w:rsid w:val="1A4C07A0"/>
    <w:rsid w:val="1A9F3D3E"/>
    <w:rsid w:val="1DE708C2"/>
    <w:rsid w:val="27E92460"/>
    <w:rsid w:val="28F434A6"/>
    <w:rsid w:val="29252621"/>
    <w:rsid w:val="327C753A"/>
    <w:rsid w:val="356D37E2"/>
    <w:rsid w:val="356F5FF0"/>
    <w:rsid w:val="375A7528"/>
    <w:rsid w:val="37C43670"/>
    <w:rsid w:val="3A7D11B5"/>
    <w:rsid w:val="3EB178A5"/>
    <w:rsid w:val="402B1A4C"/>
    <w:rsid w:val="4362686F"/>
    <w:rsid w:val="43E048FB"/>
    <w:rsid w:val="45357411"/>
    <w:rsid w:val="4B9C55AC"/>
    <w:rsid w:val="4F2C7344"/>
    <w:rsid w:val="50A820D4"/>
    <w:rsid w:val="513D438C"/>
    <w:rsid w:val="53F86A2E"/>
    <w:rsid w:val="546B6463"/>
    <w:rsid w:val="558570B1"/>
    <w:rsid w:val="56B32A97"/>
    <w:rsid w:val="59987F3E"/>
    <w:rsid w:val="5CB21155"/>
    <w:rsid w:val="5D261179"/>
    <w:rsid w:val="622639C9"/>
    <w:rsid w:val="647933CC"/>
    <w:rsid w:val="666F3994"/>
    <w:rsid w:val="67966EFB"/>
    <w:rsid w:val="67B56611"/>
    <w:rsid w:val="69C8313A"/>
    <w:rsid w:val="6ADC6B40"/>
    <w:rsid w:val="6C5E2564"/>
    <w:rsid w:val="6EAA7474"/>
    <w:rsid w:val="77846D70"/>
    <w:rsid w:val="7ADE49EA"/>
    <w:rsid w:val="7C19416C"/>
    <w:rsid w:val="7D7B29C4"/>
    <w:rsid w:val="7E727E6B"/>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firstLineChars="200"/>
    </w:pPr>
    <w:rPr>
      <w:rFonts w:ascii="仿宋_GB2312" w:hAnsi="宋体" w:eastAsia="仿宋_GB2312" w:cs="宋体"/>
      <w:sz w:val="30"/>
      <w:szCs w:val="30"/>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11"/>
    <w:basedOn w:val="7"/>
    <w:qFormat/>
    <w:uiPriority w:val="0"/>
    <w:rPr>
      <w:rFonts w:hint="eastAsia" w:ascii="宋体" w:hAnsi="宋体" w:eastAsia="宋体" w:cs="宋体"/>
      <w:color w:val="FF0000"/>
      <w:sz w:val="22"/>
      <w:szCs w:val="22"/>
      <w:u w:val="none"/>
    </w:rPr>
  </w:style>
  <w:style w:type="character" w:customStyle="1" w:styleId="14">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11610</Words>
  <Characters>14361</Characters>
  <Lines>69</Lines>
  <Paragraphs>19</Paragraphs>
  <TotalTime>0</TotalTime>
  <ScaleCrop>false</ScaleCrop>
  <LinksUpToDate>false</LinksUpToDate>
  <CharactersWithSpaces>15411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2023-09-28T05:52:04Z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