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道县高新技术产业开发区管理委员会部门决算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10"/>
        <w:spacing w:line="500" w:lineRule="exact"/>
        <w:rPr>
          <w:rFonts w:ascii="仿宋_GB2312" w:hAnsi="仿宋_GB2312" w:cs="仿宋_GB2312"/>
          <w:b/>
          <w:sz w:val="28"/>
          <w:szCs w:val="28"/>
        </w:rPr>
      </w:pPr>
      <w:r>
        <w:rPr>
          <w:rFonts w:hint="eastAsia"/>
          <w:b/>
          <w:sz w:val="28"/>
          <w:szCs w:val="28"/>
        </w:rPr>
        <w:t>第二部分</w:t>
      </w:r>
      <w:r>
        <w:rPr>
          <w:b/>
          <w:sz w:val="28"/>
          <w:szCs w:val="28"/>
        </w:rPr>
        <w:t>20</w:t>
      </w:r>
      <w:r>
        <w:rPr>
          <w:rFonts w:hint="eastAsia"/>
          <w:b/>
          <w:sz w:val="28"/>
          <w:szCs w:val="28"/>
        </w:rPr>
        <w:t>21年度部门决算表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w:t>
      </w:r>
      <w:r>
        <w:rPr>
          <w:rFonts w:hint="eastAsia" w:ascii="宋体" w:eastAsia="宋体" w:cs="仿宋_GB2312"/>
          <w:sz w:val="28"/>
          <w:szCs w:val="28"/>
        </w:rPr>
        <w:t>明细</w:t>
      </w:r>
      <w:r>
        <w:rPr>
          <w:rFonts w:ascii="宋体" w:eastAsia="宋体" w:cs="仿宋_GB2312"/>
          <w:sz w:val="28"/>
          <w:szCs w:val="28"/>
        </w:rPr>
        <w:t>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10"/>
        <w:spacing w:line="500" w:lineRule="exact"/>
        <w:ind w:firstLine="700" w:firstLineChars="250"/>
        <w:rPr>
          <w:rFonts w:ascii="宋体" w:eastAsia="宋体" w:cs="仿宋_GB2312"/>
          <w:sz w:val="28"/>
          <w:szCs w:val="28"/>
        </w:rPr>
      </w:pPr>
      <w:r>
        <w:rPr>
          <w:rFonts w:hint="eastAsia" w:ascii="宋体" w:eastAsia="宋体" w:cs="仿宋_GB2312"/>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b/>
          <w:sz w:val="28"/>
          <w:szCs w:val="28"/>
        </w:rPr>
        <w:t>第三部分</w:t>
      </w:r>
      <w:r>
        <w:rPr>
          <w:b/>
          <w:sz w:val="28"/>
          <w:szCs w:val="28"/>
        </w:rPr>
        <w:t>20</w:t>
      </w:r>
      <w:r>
        <w:rPr>
          <w:rFonts w:hint="eastAsia"/>
          <w:b/>
          <w:sz w:val="28"/>
          <w:szCs w:val="28"/>
        </w:rPr>
        <w:t>21年度部门决算情况说明</w:t>
      </w:r>
    </w:p>
    <w:p>
      <w:pPr>
        <w:pStyle w:val="10"/>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eastAsia="黑体" w:cs="黑体"/>
          <w:b/>
          <w:color w:val="000000"/>
          <w:kern w:val="0"/>
          <w:sz w:val="28"/>
          <w:szCs w:val="28"/>
        </w:rPr>
      </w:pPr>
      <w:r>
        <w:rPr>
          <w:rFonts w:ascii="黑体" w:eastAsia="黑体" w:cs="黑体"/>
          <w:b/>
          <w:color w:val="000000"/>
          <w:kern w:val="0"/>
          <w:sz w:val="28"/>
          <w:szCs w:val="28"/>
        </w:rPr>
        <w:t>第四部分名词解释</w:t>
      </w:r>
    </w:p>
    <w:p>
      <w:pPr>
        <w:autoSpaceDE w:val="0"/>
        <w:autoSpaceDN w:val="0"/>
        <w:adjustRightInd w:val="0"/>
        <w:spacing w:line="500" w:lineRule="exact"/>
        <w:jc w:val="left"/>
        <w:rPr>
          <w:rFonts w:ascii="黑体" w:eastAsia="黑体" w:cs="仿宋_GB2312"/>
          <w:b/>
          <w:color w:val="000000"/>
          <w:kern w:val="0"/>
          <w:sz w:val="28"/>
          <w:szCs w:val="28"/>
        </w:rPr>
      </w:pPr>
      <w:r>
        <w:rPr>
          <w:rFonts w:hint="eastAsia" w:asci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eastAsia="黑体"/>
          <w:sz w:val="32"/>
          <w:szCs w:val="32"/>
        </w:rPr>
      </w:pPr>
    </w:p>
    <w:p>
      <w:pPr>
        <w:pStyle w:val="11"/>
        <w:ind w:left="720" w:firstLine="0" w:firstLineChars="0"/>
        <w:jc w:val="left"/>
        <w:rPr>
          <w:rFonts w:ascii="黑体" w:eastAsia="黑体"/>
          <w:sz w:val="32"/>
          <w:szCs w:val="32"/>
        </w:rPr>
      </w:pPr>
    </w:p>
    <w:p>
      <w:pPr>
        <w:pStyle w:val="11"/>
        <w:ind w:left="720" w:firstLine="0" w:firstLineChars="0"/>
        <w:jc w:val="left"/>
        <w:rPr>
          <w:rFonts w:ascii="黑体" w:eastAsia="黑体"/>
          <w:sz w:val="32"/>
          <w:szCs w:val="32"/>
        </w:rPr>
      </w:pPr>
    </w:p>
    <w:p>
      <w:pPr>
        <w:pStyle w:val="11"/>
        <w:numPr>
          <w:ilvl w:val="0"/>
          <w:numId w:val="1"/>
        </w:numPr>
        <w:ind w:firstLineChars="0"/>
        <w:jc w:val="left"/>
        <w:rPr>
          <w:rFonts w:ascii="黑体" w:eastAsia="黑体"/>
          <w:sz w:val="32"/>
          <w:szCs w:val="32"/>
        </w:rPr>
      </w:pPr>
      <w:r>
        <w:rPr>
          <w:rFonts w:ascii="黑体" w:eastAsia="黑体"/>
          <w:sz w:val="32"/>
          <w:szCs w:val="32"/>
        </w:rPr>
        <w:t>部门职责</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1、负责贯彻执行党和国家关于高新区的方针政策、法律法 规和决策部署。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2、负责研究拟订和组织实施道县高新区重大发展战略、发 展规划和工作计划。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3、按照道县国土空间总体规划和产业发展规划要求及相关 权限，负责统筹建设发展空间布局。负责拟订道县高新区发展 规划、产业布局、产业政策、项目准入标准等重要事项并组织 实施。</w:t>
      </w:r>
    </w:p>
    <w:p>
      <w:pPr>
        <w:pStyle w:val="11"/>
        <w:widowControl/>
        <w:ind w:left="720" w:firstLine="0" w:firstLineChars="0"/>
        <w:jc w:val="left"/>
        <w:rPr>
          <w:rFonts w:hint="eastAsia" w:ascii="仿宋" w:hAnsi="仿宋" w:cs="宋体"/>
          <w:color w:val="000000"/>
          <w:kern w:val="0"/>
          <w:sz w:val="32"/>
          <w:szCs w:val="32"/>
        </w:rPr>
      </w:pPr>
      <w:r>
        <w:rPr>
          <w:rFonts w:ascii="仿宋" w:hAnsi="仿宋" w:cs="宋体"/>
          <w:color w:val="000000"/>
          <w:kern w:val="0"/>
          <w:sz w:val="32"/>
          <w:szCs w:val="32"/>
        </w:rPr>
        <w:t xml:space="preserve"> </w:t>
      </w:r>
      <w:r>
        <w:rPr>
          <w:rFonts w:hint="eastAsia" w:ascii="仿宋" w:hAnsi="仿宋" w:cs="宋体"/>
          <w:color w:val="000000"/>
          <w:kern w:val="0"/>
          <w:sz w:val="32"/>
          <w:szCs w:val="32"/>
        </w:rPr>
        <w:t xml:space="preserve">    </w:t>
      </w:r>
      <w:r>
        <w:rPr>
          <w:rFonts w:ascii="仿宋" w:hAnsi="仿宋" w:cs="宋体"/>
          <w:color w:val="000000"/>
          <w:kern w:val="0"/>
          <w:sz w:val="32"/>
          <w:szCs w:val="32"/>
        </w:rPr>
        <w:t xml:space="preserve">4、负责道县高新区招商引资工作，组织对外经济技术合作 与交流。负责道县高新区基础设施、公用事业、重大项目等建 设管理相关工作。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5、负责道县高新区优化营商环境工作，根据权限依法承担 有关行政审批工作，履行行政审批服务职责。负责构建道县高 新区创新创业服务体系，协助企业做好人才引进和服务工作。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6、负责道县高新区的科技创新、高新技术产业管理和服务， 开展有关科技创新和高新技术产业政策研究，构建技术创新服 务体系。指导区内企业建立现代化企业制度，推进高新技术产 业化、国际化。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7、负责道县高新区党的建设和“两新”组织党建工作。 </w:t>
      </w:r>
    </w:p>
    <w:p>
      <w:pPr>
        <w:pStyle w:val="11"/>
        <w:widowControl/>
        <w:ind w:left="720" w:firstLine="640"/>
        <w:jc w:val="left"/>
        <w:rPr>
          <w:rFonts w:hint="eastAsia" w:ascii="仿宋" w:hAnsi="仿宋" w:cs="宋体"/>
          <w:color w:val="000000"/>
          <w:kern w:val="0"/>
          <w:sz w:val="32"/>
          <w:szCs w:val="32"/>
        </w:rPr>
      </w:pPr>
      <w:r>
        <w:rPr>
          <w:rFonts w:ascii="仿宋" w:hAnsi="仿宋" w:cs="宋体"/>
          <w:color w:val="000000"/>
          <w:kern w:val="0"/>
          <w:sz w:val="32"/>
          <w:szCs w:val="32"/>
        </w:rPr>
        <w:t xml:space="preserve">8、根据有关要求和职责分工，承担道县高新区综合管理、统计、信息、安全生产监督管理、生态环境保护、财政收支管 理及国有资产管理等工作。 </w:t>
      </w:r>
    </w:p>
    <w:p>
      <w:pPr>
        <w:pStyle w:val="11"/>
        <w:widowControl/>
        <w:ind w:left="720" w:firstLine="640"/>
        <w:jc w:val="left"/>
        <w:rPr>
          <w:rFonts w:ascii="宋体" w:cs="宋体"/>
          <w:kern w:val="0"/>
          <w:sz w:val="24"/>
          <w:szCs w:val="24"/>
        </w:rPr>
      </w:pPr>
      <w:r>
        <w:rPr>
          <w:rFonts w:ascii="仿宋" w:hAnsi="仿宋" w:cs="宋体"/>
          <w:color w:val="000000"/>
          <w:kern w:val="0"/>
          <w:sz w:val="32"/>
          <w:szCs w:val="32"/>
        </w:rPr>
        <w:t xml:space="preserve">9、承办市委、市政府和县委、县政府交办的其他事项。 </w:t>
      </w:r>
    </w:p>
    <w:p>
      <w:pPr>
        <w:widowControl/>
        <w:spacing w:line="600" w:lineRule="exact"/>
        <w:rPr>
          <w:rFonts w:ascii="黑体" w:eastAsia="黑体"/>
          <w:bCs/>
          <w:kern w:val="0"/>
          <w:sz w:val="32"/>
          <w:szCs w:val="32"/>
        </w:rPr>
      </w:pPr>
      <w:r>
        <w:rPr>
          <w:rFonts w:hint="eastAsia" w:ascii="黑体" w:eastAsia="黑体"/>
          <w:bCs/>
          <w:kern w:val="0"/>
          <w:sz w:val="32"/>
          <w:szCs w:val="32"/>
        </w:rPr>
        <w:t>二、机构设置及决算单位构成</w:t>
      </w:r>
    </w:p>
    <w:p>
      <w:pPr>
        <w:widowControl/>
        <w:spacing w:line="600" w:lineRule="exact"/>
        <w:rPr>
          <w:rFonts w:hint="eastAsia" w:ascii="仿宋" w:hAnsi="仿宋"/>
          <w:color w:val="000000"/>
          <w:sz w:val="32"/>
          <w:szCs w:val="32"/>
        </w:rPr>
      </w:pPr>
      <w:r>
        <w:rPr>
          <w:rFonts w:hint="eastAsia" w:ascii="宋体"/>
          <w:bCs/>
          <w:kern w:val="0"/>
          <w:sz w:val="32"/>
          <w:szCs w:val="32"/>
        </w:rPr>
        <w:t>（一）内设机构设置。</w:t>
      </w:r>
      <w:r>
        <w:rPr>
          <w:rFonts w:ascii="仿宋" w:hAnsi="仿宋"/>
          <w:color w:val="000000"/>
          <w:sz w:val="32"/>
          <w:szCs w:val="32"/>
        </w:rPr>
        <w:t>道县高新技术产业开发区管理委员会</w:t>
      </w:r>
      <w:r>
        <w:rPr>
          <w:rFonts w:hint="eastAsia" w:ascii="宋体"/>
          <w:bCs/>
          <w:kern w:val="0"/>
          <w:sz w:val="32"/>
          <w:szCs w:val="32"/>
        </w:rPr>
        <w:t>内设机构包括：</w:t>
      </w:r>
      <w:r>
        <w:rPr>
          <w:rFonts w:ascii="仿宋" w:hAnsi="仿宋"/>
          <w:color w:val="000000"/>
          <w:sz w:val="32"/>
          <w:szCs w:val="32"/>
        </w:rPr>
        <w:t>办公室、党群工 作局，招商合作产业发展局，开发建设和应急管理生态环境局， 园区运营与投融资服务局 5 个内设机构。</w:t>
      </w:r>
    </w:p>
    <w:p>
      <w:pPr>
        <w:widowControl/>
        <w:spacing w:line="600" w:lineRule="exact"/>
        <w:rPr>
          <w:rFonts w:ascii="仿宋_GB2312" w:eastAsia="仿宋_GB2312"/>
          <w:sz w:val="28"/>
          <w:szCs w:val="32"/>
        </w:rPr>
      </w:pPr>
      <w:r>
        <w:rPr>
          <w:rFonts w:hint="eastAsia" w:ascii="宋体"/>
          <w:bCs/>
          <w:kern w:val="0"/>
          <w:sz w:val="32"/>
          <w:szCs w:val="32"/>
        </w:rPr>
        <w:t>（二）决算单位构成。</w:t>
      </w:r>
      <w:r>
        <w:rPr>
          <w:rFonts w:ascii="仿宋" w:hAnsi="仿宋"/>
          <w:color w:val="000000"/>
          <w:sz w:val="32"/>
          <w:szCs w:val="32"/>
        </w:rPr>
        <w:t>道县高新技术产业开发区管理委员会 2022 年部门决算汇总公开单位构成包括：道县高新技术产业开发区管理委员会本级。</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720"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cs="宋体"/>
                <w:color w:val="000000"/>
                <w:kern w:val="0"/>
                <w:sz w:val="20"/>
                <w:szCs w:val="20"/>
              </w:rPr>
              <w:t>部门：道县高新技术产业开发区管委会</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313.07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716.67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19,880.66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80.00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2"/>
              </w:rPr>
            </w:pPr>
            <w:r>
              <w:rPr>
                <w:rFonts w:hint="eastAsia" w:ascii="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7,331.71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103.47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12,590.05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0"/>
                <w:szCs w:val="20"/>
              </w:rPr>
            </w:pPr>
            <w:r>
              <w:rPr>
                <w:rFonts w:hint="eastAsia" w:ascii="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20,193.73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0"/>
                <w:szCs w:val="20"/>
              </w:rPr>
            </w:pPr>
            <w:r>
              <w:rPr>
                <w:rFonts w:hint="eastAsia" w:ascii="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b/>
                <w:bCs/>
                <w:kern w:val="0"/>
                <w:sz w:val="22"/>
              </w:rPr>
            </w:pPr>
            <w:r>
              <w:rPr>
                <w:rFonts w:hint="eastAsia" w:ascii="宋体" w:cs="宋体"/>
                <w:color w:val="000000"/>
                <w:kern w:val="0"/>
                <w:sz w:val="22"/>
              </w:rPr>
              <w:t>20,834.50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b/>
                <w:bCs/>
                <w:kern w:val="0"/>
                <w:sz w:val="22"/>
              </w:rPr>
            </w:pPr>
            <w:r>
              <w:rPr>
                <w:rFonts w:hint="eastAsia" w:ascii="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b/>
                <w:bCs/>
                <w:kern w:val="0"/>
                <w:sz w:val="22"/>
              </w:rPr>
            </w:pPr>
            <w:r>
              <w:rPr>
                <w:rFonts w:hint="eastAsia" w:ascii="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640.77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20,834.50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b/>
                <w:bCs/>
                <w:kern w:val="0"/>
                <w:sz w:val="22"/>
              </w:rPr>
            </w:pPr>
            <w:r>
              <w:rPr>
                <w:rFonts w:hint="eastAsia" w:ascii="宋体" w:cs="宋体"/>
                <w:color w:val="000000"/>
                <w:kern w:val="0"/>
                <w:sz w:val="22"/>
              </w:rPr>
              <w:t>20,834.50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注：1.本表反映部门本年度的总收支和年末结转结余情况。</w:t>
            </w:r>
            <w:r>
              <w:rPr>
                <w:rFonts w:hint="eastAsia" w:ascii="宋体" w:cs="宋体"/>
                <w:kern w:val="0"/>
                <w:sz w:val="24"/>
                <w:szCs w:val="24"/>
              </w:rPr>
              <w:br w:type="textWrapping"/>
            </w:r>
            <w:r>
              <w:rPr>
                <w:rFonts w:hint="eastAsia" w:ascii="宋体" w:cs="宋体"/>
                <w:kern w:val="0"/>
                <w:sz w:val="24"/>
                <w:szCs w:val="24"/>
              </w:rPr>
              <w:t xml:space="preserve"> 2.本套报表金额单位转换时可能存在尾数误差。</w:t>
            </w:r>
          </w:p>
        </w:tc>
      </w:tr>
    </w:tbl>
    <w:p>
      <w:pPr>
        <w:jc w:val="center"/>
        <w:rPr>
          <w:rFonts w:asci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8"/>
        <w:tblW w:w="15372" w:type="dxa"/>
        <w:tblInd w:w="15" w:type="dxa"/>
        <w:tblLayout w:type="autofit"/>
        <w:tblCellMar>
          <w:top w:w="0" w:type="dxa"/>
          <w:left w:w="0" w:type="dxa"/>
          <w:bottom w:w="0" w:type="dxa"/>
          <w:right w:w="0" w:type="dxa"/>
        </w:tblCellMar>
      </w:tblPr>
      <w:tblGrid>
        <w:gridCol w:w="1030"/>
        <w:gridCol w:w="36"/>
        <w:gridCol w:w="2830"/>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ascii="华文中宋" w:eastAsia="华文中宋" w:cs="宋体"/>
                <w:color w:val="000000"/>
                <w:sz w:val="32"/>
                <w:szCs w:val="32"/>
              </w:rPr>
            </w:pPr>
            <w:r>
              <w:rPr>
                <w:rFonts w:hint="eastAsia" w:asci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right w:w="15" w:type="dxa"/>
            </w:tcMar>
            <w:vAlign w:val="center"/>
          </w:tcPr>
          <w:p>
            <w:pPr>
              <w:rPr>
                <w:rFonts w:ascii="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ascii="宋体" w:cs="宋体"/>
                <w:color w:val="000000"/>
                <w:kern w:val="0"/>
                <w:sz w:val="20"/>
                <w:szCs w:val="20"/>
              </w:rPr>
              <w:t>道县高新技术产业开发区管委会</w:t>
            </w: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center"/>
              <w:rPr>
                <w:rFonts w:ascii="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right w:w="15" w:type="dxa"/>
            </w:tcMar>
            <w:vAlign w:val="center"/>
          </w:tcPr>
          <w:p>
            <w:pPr>
              <w:jc w:val="right"/>
              <w:rPr>
                <w:rFonts w:ascii="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jc w:val="center"/>
              <w:rPr>
                <w:rFonts w:ascii="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0" w:type="auto"/>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center"/>
              <w:textAlignment w:val="center"/>
              <w:rPr>
                <w:rFonts w:ascii="宋体" w:cs="宋体"/>
                <w:sz w:val="24"/>
                <w:szCs w:val="24"/>
              </w:rPr>
            </w:pPr>
            <w:r>
              <w:rPr>
                <w:rFonts w:hint="eastAsia" w:ascii="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b/>
                <w:bCs/>
                <w:color w:val="000000"/>
                <w:kern w:val="0"/>
                <w:sz w:val="22"/>
              </w:rPr>
              <w:t>20,193.73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b/>
                <w:bCs/>
                <w:color w:val="000000"/>
                <w:kern w:val="0"/>
                <w:sz w:val="22"/>
              </w:rPr>
              <w:t>20,193.73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117.00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20104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发展与改革事务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华文中宋" w:eastAsia="华文中宋" w:cs="宋体"/>
                <w:sz w:val="24"/>
                <w:szCs w:val="24"/>
              </w:rPr>
            </w:pPr>
            <w:r>
              <w:rPr>
                <w:rFonts w:hint="eastAsia" w:ascii="宋体" w:cs="宋体"/>
                <w:color w:val="000000"/>
                <w:kern w:val="0"/>
                <w:sz w:val="22"/>
              </w:rPr>
              <w:t>97.00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97.00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2010499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 xml:space="preserve">  其他发展与改革事务支出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97.00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97.00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20105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统计信息事务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2010599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ascii="宋体" w:cs="宋体"/>
                <w:sz w:val="24"/>
                <w:szCs w:val="24"/>
              </w:rPr>
            </w:pPr>
            <w:r>
              <w:rPr>
                <w:rFonts w:hint="eastAsia" w:ascii="宋体" w:cs="宋体"/>
                <w:color w:val="000000"/>
                <w:kern w:val="0"/>
                <w:sz w:val="22"/>
              </w:rPr>
              <w:t xml:space="preserve">  其他统计信息事务支出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cs="宋体"/>
                <w:sz w:val="24"/>
                <w:szCs w:val="24"/>
              </w:rPr>
            </w:pPr>
            <w:r>
              <w:rPr>
                <w:rFonts w:hint="eastAsia" w:ascii="宋体" w:cs="宋体"/>
                <w:color w:val="000000"/>
                <w:kern w:val="0"/>
                <w:sz w:val="22"/>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20605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科技条件与服务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2060599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其他科技条件与服务支出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20699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55.00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55.00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2069999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其他科学技术支出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55.00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55.00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207</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20701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2070199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其他文化和旅游支出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12.60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7,290.61</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7,290.61</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7,290.61</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7,290.61</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2120801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7,002.26</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7,002.26</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2120802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274.00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274.00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2120899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14.35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14.35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资源勘探工业信息等支出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21502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制造业</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2150299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其他制造业支出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工业和信息产业监管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2150501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3.47</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229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22904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其他政府性基金及对应专项债务收入安排的支出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2290402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pPr>
            <w:r>
              <w:rPr>
                <w:rFonts w:hint="eastAsia" w:ascii="宋体" w:cs="宋体"/>
                <w:color w:val="000000"/>
                <w:kern w:val="0"/>
                <w:sz w:val="22"/>
              </w:rPr>
              <w:t xml:space="preserve">  其他地方自行试点项目收益专项债券收入安排的支出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pPr>
            <w:r>
              <w:rPr>
                <w:rFonts w:hint="eastAsia" w:ascii="宋体" w:cs="宋体"/>
                <w:color w:val="000000"/>
                <w:kern w:val="0"/>
                <w:sz w:val="22"/>
              </w:rPr>
              <w:t>12,590.05</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right w:w="15" w:type="dxa"/>
            </w:tcMar>
            <w:vAlign w:val="center"/>
          </w:tcPr>
          <w:p>
            <w:pPr>
              <w:rPr>
                <w:rFonts w:ascii="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cs="宋体"/>
                <w:color w:val="000000"/>
                <w:kern w:val="0"/>
                <w:sz w:val="20"/>
                <w:szCs w:val="20"/>
              </w:rPr>
              <w:t>部门：道县高新技术产业开发区管委会</w:t>
            </w:r>
          </w:p>
        </w:tc>
        <w:tc>
          <w:tcPr>
            <w:tcW w:w="22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宋体"/>
                <w:color w:val="000000"/>
                <w:kern w:val="0"/>
                <w:sz w:val="20"/>
                <w:szCs w:val="20"/>
              </w:rPr>
            </w:pPr>
            <w:r>
              <w:rPr>
                <w:rFonts w:hint="eastAsia" w:asci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2308"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1411" w:type="dxa"/>
            <w:vMerge w:val="continue"/>
            <w:tcBorders>
              <w:top w:val="nil"/>
              <w:left w:val="single" w:color="auto" w:sz="4" w:space="0"/>
              <w:bottom w:val="single" w:color="auto" w:sz="4" w:space="0"/>
              <w:right w:val="single" w:color="auto" w:sz="4" w:space="0"/>
            </w:tcBorders>
            <w:vAlign w:val="center"/>
          </w:tcPr>
          <w:p/>
        </w:tc>
        <w:tc>
          <w:tcPr>
            <w:tcW w:w="1646"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1679" w:type="dxa"/>
            <w:vMerge w:val="continue"/>
            <w:tcBorders>
              <w:top w:val="single" w:color="auto" w:sz="4" w:space="0"/>
              <w:left w:val="single" w:color="auto" w:sz="4" w:space="0"/>
              <w:bottom w:val="single" w:color="auto" w:sz="4" w:space="0"/>
              <w:right w:val="single" w:color="auto" w:sz="4" w:space="0"/>
            </w:tcBorders>
            <w:vAlign w:val="center"/>
          </w:tcPr>
          <w:p/>
        </w:tc>
        <w:tc>
          <w:tcPr>
            <w:tcW w:w="2308" w:type="dxa"/>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b/>
                <w:bCs/>
                <w:color w:val="000000"/>
                <w:kern w:val="0"/>
                <w:sz w:val="22"/>
              </w:rPr>
              <w:t>20,834.50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b/>
                <w:bCs/>
                <w:color w:val="000000"/>
                <w:kern w:val="0"/>
                <w:sz w:val="22"/>
              </w:rPr>
              <w:t>733.44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b/>
                <w:bCs/>
                <w:color w:val="000000"/>
                <w:kern w:val="0"/>
                <w:sz w:val="22"/>
              </w:rPr>
              <w:t>20,101.06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716.67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599.67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599.67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599.67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2010399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599.67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599.67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发展与改革事务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2010499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其他发展与改革事务支出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统计信息事务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2010599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其他统计信息事务支出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206</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20605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科技条件与服务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2060599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其他科技条件与服务支出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20699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2069999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207</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2070199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7,331.71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7,331.71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7,331.71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7,331.71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7,002.26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7,002.26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2120802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274.00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274.00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补助被征地农民支出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41.10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41.10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2120899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14.35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14.35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103.47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3.47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21502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制造业</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2150299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其他制造业支出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21505</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工业和信息产业监管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3.47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3.47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2150501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3.47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3.47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229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其他支出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12,590.05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117.71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12,472.35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22904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12,590.05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117.71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12,472.35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2290402</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宋体"/>
                <w:kern w:val="0"/>
                <w:sz w:val="24"/>
                <w:szCs w:val="24"/>
              </w:rPr>
            </w:pPr>
            <w:r>
              <w:rPr>
                <w:rFonts w:hint="eastAsia" w:ascii="宋体" w:cs="宋体"/>
                <w:color w:val="000000"/>
                <w:kern w:val="0"/>
                <w:sz w:val="22"/>
              </w:rPr>
              <w:t xml:space="preserve">  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12,590.05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117.71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4"/>
                <w:szCs w:val="24"/>
              </w:rPr>
            </w:pPr>
            <w:r>
              <w:rPr>
                <w:rFonts w:hint="eastAsia" w:ascii="宋体" w:cs="宋体"/>
                <w:color w:val="000000"/>
                <w:kern w:val="0"/>
                <w:sz w:val="22"/>
              </w:rPr>
              <w:t>12,472.35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206"/>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cs="宋体"/>
                <w:color w:val="000000"/>
                <w:kern w:val="0"/>
                <w:sz w:val="20"/>
                <w:szCs w:val="20"/>
              </w:rPr>
              <w:t>部门：道县高新技术产业开发区管委会</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cs="宋体"/>
                <w:kern w:val="0"/>
                <w:sz w:val="24"/>
                <w:szCs w:val="24"/>
              </w:rPr>
            </w:pPr>
            <w:r>
              <w:rPr>
                <w:rFonts w:hint="eastAsia" w:ascii="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0"/>
                <w:szCs w:val="20"/>
              </w:rPr>
            </w:pPr>
            <w:r>
              <w:rPr>
                <w:rFonts w:hint="eastAsia" w:ascii="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4"/>
                <w:szCs w:val="24"/>
              </w:rPr>
            </w:pPr>
            <w:r>
              <w:rPr>
                <w:rFonts w:hint="eastAsia" w:ascii="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4"/>
                <w:szCs w:val="24"/>
              </w:rPr>
            </w:pPr>
            <w:r>
              <w:rPr>
                <w:rFonts w:hint="eastAsia" w:ascii="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0"/>
                <w:szCs w:val="20"/>
              </w:rPr>
            </w:pPr>
            <w:r>
              <w:rPr>
                <w:rFonts w:hint="eastAsia" w:ascii="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4"/>
                <w:szCs w:val="24"/>
              </w:rPr>
            </w:pPr>
            <w:r>
              <w:rPr>
                <w:rFonts w:hint="eastAsia" w:ascii="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4"/>
                <w:szCs w:val="24"/>
              </w:rPr>
            </w:pPr>
            <w:r>
              <w:rPr>
                <w:rFonts w:hint="eastAsia" w:ascii="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313.07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716.67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716.67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19,880.66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80.00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80.00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4"/>
                <w:szCs w:val="24"/>
              </w:rPr>
            </w:pPr>
            <w:r>
              <w:rPr>
                <w:rFonts w:hint="eastAsia" w:ascii="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12.60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7,331.71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7,331.71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103.47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103.47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12,590.05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12,590.05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20,193.73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20,834.50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912.74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19,921.76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640.77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599.67</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41.10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kern w:val="0"/>
                <w:sz w:val="22"/>
              </w:rPr>
            </w:pPr>
            <w:r>
              <w:rPr>
                <w:rFonts w:hint="eastAsia" w:ascii="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kern w:val="0"/>
                <w:sz w:val="22"/>
              </w:rPr>
            </w:pPr>
            <w:r>
              <w:rPr>
                <w:rFonts w:hint="eastAsia" w:ascii="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kern w:val="0"/>
                <w:sz w:val="22"/>
              </w:rPr>
            </w:pPr>
            <w:r>
              <w:rPr>
                <w:rFonts w:hint="eastAsia" w:ascii="宋体" w:cs="宋体"/>
                <w:color w:val="000000"/>
                <w:kern w:val="0"/>
                <w:sz w:val="22"/>
              </w:rPr>
              <w:t>20,834.50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b/>
                <w:bCs/>
                <w:kern w:val="0"/>
                <w:sz w:val="22"/>
              </w:rPr>
            </w:pPr>
            <w:r>
              <w:rPr>
                <w:rFonts w:hint="eastAsia" w:ascii="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宋体"/>
                <w:kern w:val="0"/>
                <w:sz w:val="22"/>
              </w:rPr>
            </w:pPr>
            <w:r>
              <w:rPr>
                <w:rFonts w:hint="eastAsia" w:ascii="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宋体"/>
                <w:kern w:val="0"/>
                <w:sz w:val="22"/>
              </w:rPr>
            </w:pPr>
            <w:r>
              <w:rPr>
                <w:rFonts w:hint="eastAsia" w:ascii="宋体" w:cs="宋体"/>
                <w:color w:val="000000"/>
                <w:kern w:val="0"/>
                <w:sz w:val="22"/>
              </w:rPr>
              <w:t>20,834.50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宋体"/>
                <w:kern w:val="0"/>
                <w:sz w:val="22"/>
              </w:rPr>
            </w:pPr>
            <w:r>
              <w:rPr>
                <w:rFonts w:hint="eastAsia" w:ascii="宋体" w:cs="宋体"/>
                <w:color w:val="000000"/>
                <w:kern w:val="0"/>
                <w:sz w:val="22"/>
              </w:rPr>
              <w:t>912.74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b/>
                <w:bCs/>
                <w:kern w:val="0"/>
                <w:sz w:val="22"/>
              </w:rPr>
            </w:pPr>
            <w:r>
              <w:rPr>
                <w:rFonts w:hint="eastAsia" w:ascii="宋体" w:cs="宋体"/>
                <w:color w:val="000000"/>
                <w:kern w:val="0"/>
                <w:sz w:val="22"/>
              </w:rPr>
              <w:t>19,921.76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宋体" w:cs="宋体"/>
          <w:color w:val="000000"/>
          <w:kern w:val="0"/>
          <w:sz w:val="20"/>
          <w:szCs w:val="20"/>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cs="宋体"/>
          <w:color w:val="000000"/>
          <w:kern w:val="0"/>
          <w:sz w:val="20"/>
          <w:szCs w:val="20"/>
        </w:rPr>
        <w:t>道县高新技术产业开发区管委会</w:t>
      </w:r>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r>
        <w:rPr>
          <w:rFonts w:hint="eastAsia" w:ascii="Times New Roman" w:hAnsi="Times New Roman" w:eastAsia="仿宋_GB2312" w:cs="Times New Roman"/>
          <w:color w:val="000000"/>
          <w:kern w:val="0"/>
          <w:szCs w:val="21"/>
        </w:rPr>
        <w:t xml:space="preserve"> </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83"/>
        <w:gridCol w:w="3304"/>
        <w:gridCol w:w="2831"/>
        <w:gridCol w:w="3284"/>
        <w:gridCol w:w="2831"/>
      </w:tblGrid>
      <w:tr>
        <w:tblPrEx>
          <w:tblCellMar>
            <w:top w:w="0" w:type="dxa"/>
            <w:left w:w="108" w:type="dxa"/>
            <w:bottom w:w="0" w:type="dxa"/>
            <w:right w:w="108" w:type="dxa"/>
          </w:tblCellMar>
        </w:tblPrEx>
        <w:trPr>
          <w:trHeight w:val="405" w:hRule="atLeast"/>
          <w:jc w:val="center"/>
        </w:trPr>
        <w:tc>
          <w:tcPr>
            <w:tcW w:w="527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9" w:type="dxa"/>
            <w:gridSpan w:val="2"/>
            <w:vMerge w:val="continue"/>
            <w:tcBorders>
              <w:top w:val="single" w:color="auto" w:sz="4" w:space="0"/>
              <w:left w:val="single" w:color="auto" w:sz="8" w:space="0"/>
              <w:bottom w:val="single" w:color="auto" w:sz="4" w:space="0"/>
              <w:right w:val="single" w:color="auto" w:sz="4" w:space="0"/>
            </w:tcBorders>
            <w:vAlign w:val="center"/>
          </w:tcPr>
          <w:p/>
        </w:tc>
        <w:tc>
          <w:tcPr>
            <w:tcW w:w="3304" w:type="dxa"/>
            <w:vMerge w:val="continue"/>
            <w:tcBorders>
              <w:top w:val="nil"/>
              <w:left w:val="single" w:color="auto" w:sz="4" w:space="0"/>
              <w:bottom w:val="single" w:color="auto" w:sz="4" w:space="0"/>
              <w:right w:val="single" w:color="auto" w:sz="4" w:space="0"/>
            </w:tcBorders>
            <w:vAlign w:val="center"/>
          </w:tcPr>
          <w:p/>
        </w:tc>
        <w:tc>
          <w:tcPr>
            <w:tcW w:w="2831" w:type="dxa"/>
            <w:vMerge w:val="continue"/>
            <w:tcBorders>
              <w:top w:val="nil"/>
              <w:left w:val="single" w:color="auto" w:sz="4" w:space="0"/>
              <w:bottom w:val="single" w:color="000000" w:sz="4" w:space="0"/>
              <w:right w:val="single" w:color="auto" w:sz="4" w:space="0"/>
            </w:tcBorders>
            <w:vAlign w:val="center"/>
          </w:tcPr>
          <w:p/>
        </w:tc>
        <w:tc>
          <w:tcPr>
            <w:tcW w:w="3284" w:type="dxa"/>
            <w:vMerge w:val="continue"/>
            <w:tcBorders>
              <w:top w:val="nil"/>
              <w:left w:val="single" w:color="auto" w:sz="4" w:space="0"/>
              <w:bottom w:val="single" w:color="000000" w:sz="4" w:space="0"/>
              <w:right w:val="single" w:color="auto" w:sz="4" w:space="0"/>
            </w:tcBorders>
            <w:vAlign w:val="center"/>
          </w:tcPr>
          <w:p/>
        </w:tc>
        <w:tc>
          <w:tcPr>
            <w:tcW w:w="2831" w:type="dxa"/>
            <w:vMerge w:val="continue"/>
            <w:tcBorders>
              <w:top w:val="nil"/>
              <w:left w:val="single" w:color="auto" w:sz="4" w:space="0"/>
              <w:bottom w:val="single" w:color="000000" w:sz="4" w:space="0"/>
              <w:right w:val="single" w:color="auto" w:sz="8" w:space="0"/>
            </w:tcBorders>
            <w:vAlign w:val="center"/>
          </w:tcPr>
          <w:p/>
        </w:tc>
      </w:tr>
      <w:tr>
        <w:tblPrEx>
          <w:tblCellMar>
            <w:top w:w="0" w:type="dxa"/>
            <w:left w:w="108" w:type="dxa"/>
            <w:bottom w:w="0" w:type="dxa"/>
            <w:right w:w="108" w:type="dxa"/>
          </w:tblCellMar>
        </w:tblPrEx>
        <w:trPr>
          <w:trHeight w:val="450" w:hRule="atLeast"/>
          <w:jc w:val="center"/>
        </w:trPr>
        <w:tc>
          <w:tcPr>
            <w:tcW w:w="1969" w:type="dxa"/>
            <w:gridSpan w:val="2"/>
            <w:vMerge w:val="continue"/>
            <w:tcBorders>
              <w:top w:val="single" w:color="auto" w:sz="4" w:space="0"/>
              <w:left w:val="single" w:color="auto" w:sz="8" w:space="0"/>
              <w:bottom w:val="single" w:color="auto" w:sz="4" w:space="0"/>
              <w:right w:val="single" w:color="auto" w:sz="4" w:space="0"/>
            </w:tcBorders>
            <w:vAlign w:val="center"/>
          </w:tcPr>
          <w:p/>
        </w:tc>
        <w:tc>
          <w:tcPr>
            <w:tcW w:w="3304" w:type="dxa"/>
            <w:vMerge w:val="continue"/>
            <w:tcBorders>
              <w:top w:val="nil"/>
              <w:left w:val="single" w:color="auto" w:sz="4" w:space="0"/>
              <w:bottom w:val="single" w:color="auto" w:sz="4" w:space="0"/>
              <w:right w:val="single" w:color="auto" w:sz="4" w:space="0"/>
            </w:tcBorders>
            <w:vAlign w:val="center"/>
          </w:tcPr>
          <w:p/>
        </w:tc>
        <w:tc>
          <w:tcPr>
            <w:tcW w:w="2831" w:type="dxa"/>
            <w:vMerge w:val="continue"/>
            <w:tcBorders>
              <w:top w:val="nil"/>
              <w:left w:val="single" w:color="auto" w:sz="4" w:space="0"/>
              <w:bottom w:val="single" w:color="000000" w:sz="4" w:space="0"/>
              <w:right w:val="single" w:color="auto" w:sz="4" w:space="0"/>
            </w:tcBorders>
            <w:vAlign w:val="center"/>
          </w:tcPr>
          <w:p/>
        </w:tc>
        <w:tc>
          <w:tcPr>
            <w:tcW w:w="3284" w:type="dxa"/>
            <w:vMerge w:val="continue"/>
            <w:tcBorders>
              <w:top w:val="nil"/>
              <w:left w:val="single" w:color="auto" w:sz="4" w:space="0"/>
              <w:bottom w:val="single" w:color="000000" w:sz="4" w:space="0"/>
              <w:right w:val="single" w:color="auto" w:sz="4" w:space="0"/>
            </w:tcBorders>
            <w:vAlign w:val="center"/>
          </w:tcPr>
          <w:p/>
        </w:tc>
        <w:tc>
          <w:tcPr>
            <w:tcW w:w="2831" w:type="dxa"/>
            <w:vMerge w:val="continue"/>
            <w:tcBorders>
              <w:top w:val="nil"/>
              <w:left w:val="single" w:color="auto" w:sz="4" w:space="0"/>
              <w:bottom w:val="single" w:color="000000" w:sz="4" w:space="0"/>
              <w:right w:val="single" w:color="auto" w:sz="8" w:space="0"/>
            </w:tcBorders>
            <w:vAlign w:val="center"/>
          </w:tcPr>
          <w:p/>
        </w:tc>
      </w:tr>
      <w:tr>
        <w:tblPrEx>
          <w:tblCellMar>
            <w:top w:w="0" w:type="dxa"/>
            <w:left w:w="108" w:type="dxa"/>
            <w:bottom w:w="0" w:type="dxa"/>
            <w:right w:w="108" w:type="dxa"/>
          </w:tblCellMar>
        </w:tblPrEx>
        <w:trPr>
          <w:trHeight w:val="450" w:hRule="atLeast"/>
          <w:jc w:val="center"/>
        </w:trPr>
        <w:tc>
          <w:tcPr>
            <w:tcW w:w="527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栏次</w:t>
            </w:r>
          </w:p>
        </w:tc>
        <w:tc>
          <w:tcPr>
            <w:tcW w:w="28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1</w:t>
            </w:r>
          </w:p>
        </w:tc>
        <w:tc>
          <w:tcPr>
            <w:tcW w:w="32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2</w:t>
            </w:r>
          </w:p>
        </w:tc>
        <w:tc>
          <w:tcPr>
            <w:tcW w:w="2831"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合计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912.74</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615.74</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297.00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一般公共服务支出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716.67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599.67</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117.00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20103</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政府办公厅（室）及相关机构事务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599.67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599.67</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2010399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其他政府办公厅（室）及相关机构事务支出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599.67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599.67</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20104</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发展与改革事务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97.00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2010499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其他发展与改革事务支出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97.00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20105</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统计信息事务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20.00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2010599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其他统计信息事务支出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20.00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206</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科学技术支出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80.00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80.00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20605</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科技条件与服务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25.00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2060599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其他科技条件与服务支出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25.00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20699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其他科学技术支出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55.00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2069999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其他科学技术支出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55.00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207</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文化旅游体育与传媒支出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20701</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文化和旅游</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2070199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其他文化和旅游支出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12.60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215</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资源勘探工业信息等支出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103.47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3.47</w:t>
            </w: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21502</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制造业</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100.00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2150299</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其他制造业支出</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100.00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21505</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工业和信息产业监管</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3.47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3.47</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2150501</w:t>
            </w:r>
          </w:p>
        </w:tc>
        <w:tc>
          <w:tcPr>
            <w:tcW w:w="428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行政运行</w:t>
            </w:r>
          </w:p>
        </w:tc>
        <w:tc>
          <w:tcPr>
            <w:tcW w:w="28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3.47</w:t>
            </w:r>
          </w:p>
        </w:tc>
        <w:tc>
          <w:tcPr>
            <w:tcW w:w="32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3.47</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38"/>
        <w:gridCol w:w="3366"/>
        <w:gridCol w:w="876"/>
        <w:gridCol w:w="1222"/>
        <w:gridCol w:w="2316"/>
        <w:gridCol w:w="876"/>
        <w:gridCol w:w="1223"/>
        <w:gridCol w:w="4206"/>
        <w:gridCol w:w="876"/>
      </w:tblGrid>
      <w:tr>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Cs w:val="32"/>
              </w:rPr>
            </w:pPr>
            <w:bookmarkStart w:id="2" w:name="RANGE!A1:I34"/>
            <w:r>
              <w:rPr>
                <w:rFonts w:hint="eastAsia" w:asci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cs="宋体"/>
                <w:color w:val="000000"/>
                <w:kern w:val="0"/>
                <w:sz w:val="20"/>
                <w:szCs w:val="20"/>
              </w:rPr>
              <w:t>道县高新技术产业开发区管委会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Cs w:val="20"/>
              </w:rPr>
            </w:pPr>
            <w:r>
              <w:rPr>
                <w:rFonts w:hint="eastAsia" w:ascii="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391.55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224.19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144.83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13.33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74.86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21.95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0.64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39.56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2.76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0.09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0.08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20.67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5.40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6.57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12.95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81.53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0.52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1.88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37.01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5.56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21.68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20.73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4.15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26.88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cs="宋体"/>
                <w:color w:val="000000"/>
                <w:kern w:val="0"/>
                <w:szCs w:val="20"/>
              </w:rPr>
            </w:pPr>
            <w:r>
              <w:rPr>
                <w:rFonts w:hint="eastAsia" w:ascii="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63.47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cs="宋体"/>
                <w:color w:val="000000"/>
                <w:kern w:val="0"/>
                <w:szCs w:val="20"/>
              </w:rPr>
            </w:pPr>
            <w:r>
              <w:rPr>
                <w:rFonts w:hint="eastAsia" w:ascii="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20"/>
              </w:rPr>
            </w:pPr>
            <w:r>
              <w:rPr>
                <w:rFonts w:hint="eastAsia" w:ascii="宋体" w:cs="宋体"/>
                <w:color w:val="000000"/>
                <w:kern w:val="0"/>
                <w:sz w:val="22"/>
              </w:rPr>
              <w:t>391.55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cs="宋体"/>
                <w:color w:val="000000"/>
                <w:kern w:val="0"/>
                <w:szCs w:val="20"/>
              </w:rPr>
            </w:pPr>
            <w:r>
              <w:rPr>
                <w:rFonts w:hint="eastAsia" w:ascii="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cs="宋体"/>
                <w:color w:val="000000"/>
                <w:kern w:val="0"/>
                <w:szCs w:val="18"/>
              </w:rPr>
            </w:pPr>
            <w:r>
              <w:rPr>
                <w:rFonts w:hint="eastAsia" w:ascii="宋体" w:cs="宋体"/>
                <w:color w:val="000000"/>
                <w:kern w:val="0"/>
                <w:sz w:val="22"/>
              </w:rPr>
              <w:t>224.19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cs="宋体"/>
                <w:color w:val="000000"/>
                <w:kern w:val="0"/>
                <w:szCs w:val="24"/>
              </w:rPr>
            </w:pPr>
            <w:r>
              <w:rPr>
                <w:rFonts w:hint="eastAsia" w:ascii="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cs="宋体"/>
          <w:color w:val="000000"/>
          <w:kern w:val="0"/>
          <w:sz w:val="20"/>
          <w:szCs w:val="20"/>
        </w:rPr>
        <w:t>道县高新技术产业开发区管委会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tc>
        <w:tc>
          <w:tcPr>
            <w:tcW w:w="1220" w:type="dxa"/>
            <w:vMerge w:val="continue"/>
            <w:tcBorders>
              <w:top w:val="nil"/>
              <w:left w:val="nil"/>
              <w:bottom w:val="single" w:color="000000" w:sz="4" w:space="0"/>
              <w:right w:val="single" w:color="auto" w:sz="4" w:space="0"/>
            </w:tcBorders>
            <w:vAlign w:val="center"/>
          </w:tcPr>
          <w:p/>
        </w:tc>
        <w:tc>
          <w:tcPr>
            <w:tcW w:w="1220" w:type="dxa"/>
            <w:vMerge w:val="continue"/>
            <w:tcBorders>
              <w:top w:val="nil"/>
              <w:left w:val="single" w:color="auto" w:sz="4" w:space="0"/>
              <w:bottom w:val="single" w:color="000000" w:sz="4" w:space="0"/>
              <w:right w:val="single" w:color="auto" w:sz="4" w:space="0"/>
            </w:tcBorders>
            <w:vAlign w:val="center"/>
          </w:tc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50.65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9.30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41.35</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37.01</w:t>
            </w:r>
          </w:p>
        </w:tc>
      </w:tr>
    </w:tbl>
    <w:p>
      <w:pPr>
        <w:widowControl/>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br w:type="page"/>
      </w: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cs="宋体"/>
          <w:color w:val="000000"/>
          <w:kern w:val="0"/>
          <w:sz w:val="20"/>
          <w:szCs w:val="20"/>
        </w:rPr>
        <w:t>道县高新技术产业开发区管委会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30"/>
        <w:gridCol w:w="1221"/>
        <w:gridCol w:w="1863"/>
        <w:gridCol w:w="1913"/>
        <w:gridCol w:w="1913"/>
        <w:gridCol w:w="1876"/>
        <w:gridCol w:w="1913"/>
        <w:gridCol w:w="18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3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702"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2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16"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2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63" w:type="dxa"/>
            <w:vMerge w:val="continue"/>
            <w:vAlign w:val="center"/>
          </w:tcPr>
          <w:p/>
        </w:tc>
        <w:tc>
          <w:tcPr>
            <w:tcW w:w="1913" w:type="dxa"/>
            <w:vMerge w:val="continue"/>
            <w:vAlign w:val="center"/>
          </w:tcPr>
          <w:p/>
        </w:tc>
        <w:tc>
          <w:tcPr>
            <w:tcW w:w="191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7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25"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16" w:type="dxa"/>
            <w:gridSpan w:val="2"/>
            <w:vMerge w:val="continue"/>
            <w:vAlign w:val="center"/>
          </w:tcPr>
          <w:p/>
        </w:tc>
        <w:tc>
          <w:tcPr>
            <w:tcW w:w="1221" w:type="dxa"/>
            <w:vMerge w:val="continue"/>
            <w:vAlign w:val="center"/>
          </w:tcPr>
          <w:p/>
        </w:tc>
        <w:tc>
          <w:tcPr>
            <w:tcW w:w="1863" w:type="dxa"/>
            <w:vMerge w:val="continue"/>
            <w:vAlign w:val="center"/>
          </w:tcPr>
          <w:p/>
        </w:tc>
        <w:tc>
          <w:tcPr>
            <w:tcW w:w="1913" w:type="dxa"/>
            <w:vMerge w:val="continue"/>
            <w:vAlign w:val="center"/>
          </w:tcPr>
          <w:p/>
        </w:tc>
        <w:tc>
          <w:tcPr>
            <w:tcW w:w="1913" w:type="dxa"/>
            <w:vMerge w:val="continue"/>
            <w:vAlign w:val="center"/>
          </w:tcPr>
          <w:p/>
        </w:tc>
        <w:tc>
          <w:tcPr>
            <w:tcW w:w="1876" w:type="dxa"/>
            <w:vMerge w:val="continue"/>
            <w:vAlign w:val="center"/>
          </w:tcPr>
          <w:p/>
        </w:tc>
        <w:tc>
          <w:tcPr>
            <w:tcW w:w="1913" w:type="dxa"/>
            <w:vMerge w:val="continue"/>
            <w:vAlign w:val="center"/>
          </w:tcPr>
          <w:p/>
        </w:tc>
        <w:tc>
          <w:tcPr>
            <w:tcW w:w="1825"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16" w:type="dxa"/>
            <w:gridSpan w:val="2"/>
            <w:vMerge w:val="continue"/>
            <w:vAlign w:val="center"/>
          </w:tcPr>
          <w:p/>
        </w:tc>
        <w:tc>
          <w:tcPr>
            <w:tcW w:w="1221" w:type="dxa"/>
            <w:vMerge w:val="continue"/>
            <w:vAlign w:val="center"/>
          </w:tcPr>
          <w:p/>
        </w:tc>
        <w:tc>
          <w:tcPr>
            <w:tcW w:w="1863" w:type="dxa"/>
            <w:vMerge w:val="continue"/>
            <w:vAlign w:val="center"/>
          </w:tcPr>
          <w:p/>
        </w:tc>
        <w:tc>
          <w:tcPr>
            <w:tcW w:w="1913" w:type="dxa"/>
            <w:vMerge w:val="continue"/>
            <w:vAlign w:val="center"/>
          </w:tcPr>
          <w:p/>
        </w:tc>
        <w:tc>
          <w:tcPr>
            <w:tcW w:w="1913" w:type="dxa"/>
            <w:vMerge w:val="continue"/>
            <w:vAlign w:val="center"/>
          </w:tcPr>
          <w:p/>
        </w:tc>
        <w:tc>
          <w:tcPr>
            <w:tcW w:w="1876" w:type="dxa"/>
            <w:vMerge w:val="continue"/>
            <w:vAlign w:val="center"/>
          </w:tcPr>
          <w:p/>
        </w:tc>
        <w:tc>
          <w:tcPr>
            <w:tcW w:w="1913" w:type="dxa"/>
            <w:vMerge w:val="continue"/>
            <w:vAlign w:val="center"/>
          </w:tcPr>
          <w:p/>
        </w:tc>
        <w:tc>
          <w:tcPr>
            <w:tcW w:w="1825"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37"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栏次</w:t>
            </w:r>
          </w:p>
        </w:tc>
        <w:tc>
          <w:tcPr>
            <w:tcW w:w="186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1</w:t>
            </w:r>
          </w:p>
        </w:tc>
        <w:tc>
          <w:tcPr>
            <w:tcW w:w="191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2</w:t>
            </w:r>
          </w:p>
        </w:tc>
        <w:tc>
          <w:tcPr>
            <w:tcW w:w="191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3</w:t>
            </w:r>
          </w:p>
        </w:tc>
        <w:tc>
          <w:tcPr>
            <w:tcW w:w="187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4</w:t>
            </w:r>
          </w:p>
        </w:tc>
        <w:tc>
          <w:tcPr>
            <w:tcW w:w="191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5</w:t>
            </w:r>
          </w:p>
        </w:tc>
        <w:tc>
          <w:tcPr>
            <w:tcW w:w="1825"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37"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cs="宋体"/>
                <w:color w:val="000000"/>
                <w:kern w:val="0"/>
                <w:sz w:val="22"/>
              </w:rPr>
              <w:t>合计</w:t>
            </w:r>
          </w:p>
        </w:tc>
        <w:tc>
          <w:tcPr>
            <w:tcW w:w="186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41.10</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19,880.66</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19,921.76</w:t>
            </w:r>
          </w:p>
        </w:tc>
        <w:tc>
          <w:tcPr>
            <w:tcW w:w="187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117.71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b/>
                <w:bCs/>
                <w:color w:val="000000"/>
                <w:kern w:val="0"/>
                <w:sz w:val="22"/>
              </w:rPr>
              <w:t>19,804.06</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城乡社区支出</w:t>
            </w:r>
          </w:p>
        </w:tc>
        <w:tc>
          <w:tcPr>
            <w:tcW w:w="186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41.10</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7,290.61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7,331.71</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7,331.71</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21208</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国有土地使用权出让收入安排的支出</w:t>
            </w:r>
          </w:p>
        </w:tc>
        <w:tc>
          <w:tcPr>
            <w:tcW w:w="186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41.10</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7,290.61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7,331.71</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7,331.71</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2120801</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征地和拆迁补偿支出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7,002.26</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7,002.26</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7,002.26</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2120802</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土地开发支出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274.00</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274.00</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274.00</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2120805</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补助被征地农民支出</w:t>
            </w:r>
          </w:p>
        </w:tc>
        <w:tc>
          <w:tcPr>
            <w:tcW w:w="186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41.10</w:t>
            </w:r>
          </w:p>
        </w:tc>
        <w:tc>
          <w:tcPr>
            <w:tcW w:w="191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41.10</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41.10</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2120899</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其他国有土地使用权出让收入安排的支出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14.35</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14.35</w:t>
            </w:r>
          </w:p>
        </w:tc>
        <w:tc>
          <w:tcPr>
            <w:tcW w:w="1876"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14.35</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229</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其他支出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87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117.71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12,472.35</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22904</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其他政府性基金及对应专项债务收入安排的支出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87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117.71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12,472.35</w:t>
            </w:r>
          </w:p>
        </w:tc>
        <w:tc>
          <w:tcPr>
            <w:tcW w:w="182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2290402</w:t>
            </w:r>
          </w:p>
        </w:tc>
        <w:tc>
          <w:tcPr>
            <w:tcW w:w="2151"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cs="宋体"/>
                <w:color w:val="000000"/>
                <w:kern w:val="0"/>
                <w:sz w:val="22"/>
              </w:rPr>
              <w:t xml:space="preserve">  其他地方自行试点项目收益专项债券收入安排的支出</w:t>
            </w:r>
          </w:p>
        </w:tc>
        <w:tc>
          <w:tcPr>
            <w:tcW w:w="1863" w:type="dxa"/>
            <w:shd w:val="clear" w:color="auto" w:fill="auto"/>
            <w:vAlign w:val="center"/>
          </w:tcPr>
          <w:p>
            <w:pPr>
              <w:jc w:val="right"/>
              <w:rPr>
                <w:rFonts w:ascii="Times New Roman" w:hAnsi="Times New Roman" w:eastAsia="仿宋_GB2312" w:cs="Times New Roman"/>
                <w:kern w:val="0"/>
                <w:szCs w:val="21"/>
              </w:rPr>
            </w:pP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12,590.05</w:t>
            </w:r>
          </w:p>
        </w:tc>
        <w:tc>
          <w:tcPr>
            <w:tcW w:w="187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117.71</w:t>
            </w:r>
          </w:p>
        </w:tc>
        <w:tc>
          <w:tcPr>
            <w:tcW w:w="191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cs="宋体"/>
                <w:color w:val="000000"/>
                <w:kern w:val="0"/>
                <w:sz w:val="22"/>
              </w:rPr>
              <w:t>12,472.35</w:t>
            </w:r>
          </w:p>
        </w:tc>
        <w:tc>
          <w:tcPr>
            <w:tcW w:w="1825"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eastAsia="黑体"/>
          <w:szCs w:val="21"/>
        </w:rPr>
      </w:pPr>
      <w:r>
        <w:rPr>
          <w:rFonts w:asci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eastAsia="华文中宋" w:cs="宋体"/>
                <w:kern w:val="0"/>
                <w:sz w:val="32"/>
                <w:szCs w:val="32"/>
              </w:rPr>
            </w:pPr>
            <w:r>
              <w:rPr>
                <w:rFonts w:hint="eastAsia" w:asci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cs="宋体"/>
                <w:color w:val="000000"/>
                <w:kern w:val="0"/>
                <w:sz w:val="20"/>
                <w:szCs w:val="20"/>
              </w:rPr>
              <w:t>部门：道县高新技术产业开发区管委会</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rPr>
                <w:rFonts w:ascii="宋体" w:cs="宋体"/>
                <w:kern w:val="0"/>
                <w:sz w:val="20"/>
                <w:szCs w:val="20"/>
              </w:rPr>
            </w:pPr>
          </w:p>
        </w:tc>
        <w:tc>
          <w:tcPr>
            <w:tcW w:w="1225" w:type="dxa"/>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xml:space="preserve">项 </w:t>
            </w:r>
            <w:r>
              <w:rPr>
                <w:rFonts w:hint="eastAsia" w:ascii="宋体" w:cs="宋体"/>
                <w:color w:val="000000"/>
                <w:kern w:val="0"/>
                <w:sz w:val="22"/>
              </w:rPr>
              <w:t xml:space="preserve">   </w:t>
            </w:r>
            <w:r>
              <w:rPr>
                <w:rFonts w:hint="eastAsia" w:asci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tc>
        <w:tc>
          <w:tcPr>
            <w:tcW w:w="2126" w:type="dxa"/>
            <w:vMerge w:val="continue"/>
            <w:tcBorders>
              <w:top w:val="nil"/>
              <w:left w:val="single" w:color="auto" w:sz="4" w:space="0"/>
              <w:bottom w:val="single" w:color="auto" w:sz="4" w:space="0"/>
              <w:right w:val="single" w:color="auto" w:sz="4" w:space="0"/>
            </w:tcBorders>
            <w:vAlign w:val="center"/>
          </w:tcPr>
          <w:p/>
        </w:tc>
        <w:tc>
          <w:tcPr>
            <w:tcW w:w="2551" w:type="dxa"/>
            <w:gridSpan w:val="2"/>
            <w:vMerge w:val="continue"/>
            <w:tcBorders>
              <w:top w:val="nil"/>
              <w:left w:val="single" w:color="auto" w:sz="4" w:space="0"/>
              <w:bottom w:val="single" w:color="000000" w:sz="4" w:space="0"/>
              <w:right w:val="single" w:color="auto" w:sz="4" w:space="0"/>
            </w:tcBorders>
            <w:vAlign w:val="center"/>
          </w:tcPr>
          <w:p/>
        </w:tc>
        <w:tc>
          <w:tcPr>
            <w:tcW w:w="2977" w:type="dxa"/>
            <w:gridSpan w:val="2"/>
            <w:vMerge w:val="continue"/>
            <w:tcBorders>
              <w:top w:val="nil"/>
              <w:left w:val="single" w:color="auto" w:sz="4" w:space="0"/>
              <w:bottom w:val="single" w:color="000000" w:sz="4" w:space="0"/>
              <w:right w:val="single" w:color="auto" w:sz="4" w:space="0"/>
            </w:tcBorders>
            <w:vAlign w:val="center"/>
          </w:tcPr>
          <w:p/>
        </w:tc>
        <w:tc>
          <w:tcPr>
            <w:tcW w:w="3827" w:type="dxa"/>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tc>
        <w:tc>
          <w:tcPr>
            <w:tcW w:w="2126" w:type="dxa"/>
            <w:vMerge w:val="continue"/>
            <w:tcBorders>
              <w:top w:val="nil"/>
              <w:left w:val="single" w:color="auto" w:sz="4" w:space="0"/>
              <w:bottom w:val="single" w:color="auto" w:sz="4" w:space="0"/>
              <w:right w:val="single" w:color="auto" w:sz="4" w:space="0"/>
            </w:tcBorders>
            <w:vAlign w:val="center"/>
          </w:tcPr>
          <w:p/>
        </w:tc>
        <w:tc>
          <w:tcPr>
            <w:tcW w:w="2551" w:type="dxa"/>
            <w:gridSpan w:val="2"/>
            <w:vMerge w:val="continue"/>
            <w:tcBorders>
              <w:top w:val="nil"/>
              <w:left w:val="single" w:color="auto" w:sz="4" w:space="0"/>
              <w:bottom w:val="single" w:color="000000" w:sz="4" w:space="0"/>
              <w:right w:val="single" w:color="auto" w:sz="4" w:space="0"/>
            </w:tcBorders>
            <w:vAlign w:val="center"/>
          </w:tcPr>
          <w:p/>
        </w:tc>
        <w:tc>
          <w:tcPr>
            <w:tcW w:w="2977" w:type="dxa"/>
            <w:gridSpan w:val="2"/>
            <w:vMerge w:val="continue"/>
            <w:tcBorders>
              <w:top w:val="nil"/>
              <w:left w:val="single" w:color="auto" w:sz="4" w:space="0"/>
              <w:bottom w:val="single" w:color="000000" w:sz="4" w:space="0"/>
              <w:right w:val="single" w:color="auto" w:sz="4" w:space="0"/>
            </w:tcBorders>
            <w:vAlign w:val="center"/>
          </w:tcPr>
          <w:p/>
        </w:tc>
        <w:tc>
          <w:tcPr>
            <w:tcW w:w="3827" w:type="dxa"/>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0"/>
                <w:szCs w:val="20"/>
              </w:rPr>
            </w:pPr>
            <w:r>
              <w:rPr>
                <w:rFonts w:hint="eastAsia" w:ascii="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0"/>
                <w:szCs w:val="20"/>
              </w:rPr>
            </w:pPr>
            <w:r>
              <w:rPr>
                <w:rFonts w:hint="eastAsia" w:ascii="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cs="宋体"/>
                <w:kern w:val="0"/>
                <w:sz w:val="24"/>
                <w:szCs w:val="24"/>
              </w:rPr>
            </w:pPr>
            <w:r>
              <w:rPr>
                <w:rFonts w:hint="eastAsia" w:ascii="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cs="宋体"/>
                <w:kern w:val="0"/>
                <w:sz w:val="24"/>
                <w:szCs w:val="24"/>
              </w:rPr>
            </w:pPr>
            <w:r>
              <w:rPr>
                <w:rFonts w:hint="eastAsia" w:ascii="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720" w:num="1"/>
          <w:docGrid w:type="lines" w:linePitch="312" w:charSpace="0"/>
        </w:sectPr>
      </w:pPr>
      <w:r>
        <w:rPr>
          <w:rFonts w:hint="eastAsia" w:ascii="Times New Roman" w:eastAsia="仿宋_GB2312" w:cs="Times New Roman"/>
          <w:szCs w:val="21"/>
        </w:rPr>
        <w:t>本单位没有国有资本经营预算财政拨款收入，也没有使用国有资本经营预算财政拨款安排的支出，故本表无数据</w:t>
      </w:r>
      <w:r>
        <w:rPr>
          <w:rFonts w:hint="eastAsia" w:ascii="宋体" w:cs="宋体"/>
        </w:rPr>
        <w:t>。</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eastAsia="宋体"/>
          <w:sz w:val="32"/>
          <w:szCs w:val="32"/>
        </w:rPr>
      </w:pPr>
    </w:p>
    <w:p>
      <w:pPr>
        <w:pStyle w:val="10"/>
        <w:rPr>
          <w:b/>
          <w:sz w:val="32"/>
          <w:szCs w:val="32"/>
        </w:rPr>
      </w:pPr>
      <w:r>
        <w:rPr>
          <w:rFonts w:hint="eastAsia"/>
          <w:b/>
          <w:sz w:val="32"/>
          <w:szCs w:val="32"/>
        </w:rPr>
        <w:t>一、收入支出决算总体情况说明</w:t>
      </w:r>
    </w:p>
    <w:p>
      <w:pPr>
        <w:pStyle w:val="10"/>
        <w:ind w:firstLine="800" w:firstLineChars="250"/>
        <w:rPr>
          <w:rFonts w:ascii="宋体" w:eastAsia="宋体"/>
          <w:sz w:val="32"/>
          <w:szCs w:val="32"/>
        </w:rPr>
      </w:pPr>
      <w:r>
        <w:rPr>
          <w:rFonts w:hint="eastAsia" w:ascii="宋体" w:eastAsia="宋体"/>
          <w:sz w:val="32"/>
          <w:szCs w:val="32"/>
        </w:rPr>
        <w:t>2021年度收、支总计41028.23万元。与上年相比，增加23403.47万元，增长132.79%，主要是因为各种政策兑现资金增加。</w:t>
      </w:r>
    </w:p>
    <w:p>
      <w:pPr>
        <w:pStyle w:val="10"/>
        <w:rPr>
          <w:b/>
          <w:sz w:val="32"/>
          <w:szCs w:val="32"/>
        </w:rPr>
      </w:pPr>
      <w:r>
        <w:rPr>
          <w:rFonts w:hint="eastAsia"/>
          <w:b/>
          <w:sz w:val="32"/>
          <w:szCs w:val="32"/>
        </w:rPr>
        <w:t>二、收入决算情况说明</w:t>
      </w:r>
    </w:p>
    <w:p>
      <w:pPr>
        <w:pStyle w:val="10"/>
        <w:ind w:firstLine="640" w:firstLineChars="200"/>
        <w:rPr>
          <w:rFonts w:ascii="宋体" w:eastAsia="宋体"/>
          <w:sz w:val="32"/>
          <w:szCs w:val="32"/>
        </w:rPr>
      </w:pPr>
      <w:r>
        <w:rPr>
          <w:rFonts w:hint="eastAsia" w:ascii="宋体" w:eastAsia="宋体"/>
          <w:sz w:val="32"/>
          <w:szCs w:val="32"/>
        </w:rPr>
        <w:t>2021年度收入合计20193.73万元，其中：财政拨款收入20193.73万元，占%；上级补助收入0万元，占0%；事业收入万元，占0%；经营收入0万元，占0%；附属单位上缴收入0万元，占0%；其他收入0万元，占0%。</w:t>
      </w:r>
    </w:p>
    <w:p>
      <w:pPr>
        <w:pStyle w:val="10"/>
        <w:rPr>
          <w:b/>
          <w:sz w:val="32"/>
          <w:szCs w:val="32"/>
        </w:rPr>
      </w:pPr>
      <w:r>
        <w:rPr>
          <w:rFonts w:hint="eastAsia"/>
          <w:b/>
          <w:sz w:val="32"/>
          <w:szCs w:val="32"/>
        </w:rPr>
        <w:t>三、支出决算情况说明</w:t>
      </w:r>
    </w:p>
    <w:p>
      <w:pPr>
        <w:pStyle w:val="10"/>
        <w:ind w:firstLine="640" w:firstLineChars="200"/>
        <w:rPr>
          <w:rFonts w:ascii="宋体" w:eastAsia="宋体"/>
          <w:sz w:val="32"/>
          <w:szCs w:val="32"/>
        </w:rPr>
      </w:pPr>
      <w:r>
        <w:rPr>
          <w:rFonts w:hint="eastAsia" w:ascii="宋体" w:eastAsia="宋体"/>
          <w:sz w:val="32"/>
          <w:szCs w:val="32"/>
        </w:rPr>
        <w:t>2021年度支出合计20834.5万元，其中：基本支出733.44万元，占3.52%；项目支出20101.06万元，占96.48%；上缴上级支出0万元，占0%；经营支出0万元，占0%；对附属单位补助支出0万元，占0%。</w:t>
      </w:r>
    </w:p>
    <w:p>
      <w:pPr>
        <w:pStyle w:val="10"/>
        <w:rPr>
          <w:b/>
          <w:sz w:val="32"/>
          <w:szCs w:val="32"/>
        </w:rPr>
      </w:pPr>
      <w:r>
        <w:rPr>
          <w:rFonts w:hint="eastAsia"/>
          <w:b/>
          <w:sz w:val="32"/>
          <w:szCs w:val="32"/>
        </w:rPr>
        <w:t>四、财政拨款收入支出决算总体情况说明</w:t>
      </w:r>
    </w:p>
    <w:p>
      <w:pPr>
        <w:pStyle w:val="10"/>
        <w:ind w:firstLine="800" w:firstLineChars="250"/>
        <w:rPr>
          <w:rFonts w:ascii="宋体" w:eastAsia="宋体"/>
          <w:sz w:val="32"/>
          <w:szCs w:val="32"/>
        </w:rPr>
      </w:pPr>
      <w:r>
        <w:rPr>
          <w:rFonts w:hint="eastAsia" w:ascii="宋体" w:eastAsia="宋体"/>
          <w:sz w:val="32"/>
          <w:szCs w:val="32"/>
        </w:rPr>
        <w:t>2021年度财政拨款收、支总计41028.23万元，与上年相比，增加23403.47万元，增长132.79%，主要是因为各种政策兑现资金增加。</w:t>
      </w:r>
    </w:p>
    <w:p>
      <w:pPr>
        <w:pStyle w:val="10"/>
        <w:rPr>
          <w:b/>
          <w:sz w:val="32"/>
          <w:szCs w:val="32"/>
        </w:rPr>
      </w:pPr>
      <w:r>
        <w:rPr>
          <w:rFonts w:hint="eastAsia"/>
          <w:b/>
          <w:sz w:val="32"/>
          <w:szCs w:val="32"/>
        </w:rPr>
        <w:t>五、一般公共预算财政拨款支出决算情况说明</w:t>
      </w:r>
    </w:p>
    <w:p>
      <w:pPr>
        <w:pStyle w:val="10"/>
        <w:ind w:firstLine="640" w:firstLineChars="200"/>
        <w:rPr>
          <w:rFonts w:ascii="宋体" w:eastAsia="宋体"/>
          <w:b/>
          <w:sz w:val="32"/>
          <w:szCs w:val="32"/>
        </w:rPr>
      </w:pPr>
      <w:r>
        <w:rPr>
          <w:rFonts w:hint="eastAsia" w:ascii="宋体" w:eastAsia="宋体"/>
          <w:b/>
          <w:sz w:val="32"/>
          <w:szCs w:val="32"/>
        </w:rPr>
        <w:t>（一）财政拨款支出决算总体情况</w:t>
      </w:r>
    </w:p>
    <w:p>
      <w:pPr>
        <w:pStyle w:val="10"/>
        <w:ind w:firstLine="800" w:firstLineChars="250"/>
        <w:rPr>
          <w:rFonts w:ascii="宋体" w:eastAsia="宋体"/>
          <w:sz w:val="32"/>
          <w:szCs w:val="32"/>
        </w:rPr>
      </w:pPr>
      <w:r>
        <w:rPr>
          <w:rFonts w:hint="eastAsia" w:ascii="宋体" w:eastAsia="宋体"/>
          <w:sz w:val="32"/>
          <w:szCs w:val="32"/>
        </w:rPr>
        <w:t>2021年度财政拨款支出912.74万元，占本年支出合计的100%，与上年相比，财政拨款支出增加449.94万元，增长97.22%，主要是因为临时增加了一些项目支出。</w:t>
      </w:r>
    </w:p>
    <w:p>
      <w:pPr>
        <w:pStyle w:val="10"/>
        <w:ind w:firstLine="480" w:firstLineChars="150"/>
        <w:rPr>
          <w:rFonts w:ascii="宋体" w:eastAsia="宋体"/>
          <w:b/>
          <w:sz w:val="32"/>
          <w:szCs w:val="32"/>
        </w:rPr>
      </w:pPr>
      <w:r>
        <w:rPr>
          <w:rFonts w:hint="eastAsia" w:ascii="宋体" w:eastAsia="宋体"/>
          <w:b/>
          <w:sz w:val="32"/>
          <w:szCs w:val="32"/>
        </w:rPr>
        <w:t>（二）财政拨款支出决算结构情况</w:t>
      </w:r>
    </w:p>
    <w:p>
      <w:pPr>
        <w:pStyle w:val="10"/>
        <w:ind w:firstLine="640" w:firstLineChars="200"/>
        <w:rPr>
          <w:rFonts w:ascii="宋体" w:eastAsia="宋体"/>
          <w:sz w:val="32"/>
          <w:szCs w:val="32"/>
        </w:rPr>
      </w:pPr>
      <w:r>
        <w:rPr>
          <w:rFonts w:hint="eastAsia" w:ascii="宋体" w:eastAsia="宋体"/>
          <w:sz w:val="32"/>
          <w:szCs w:val="32"/>
        </w:rPr>
        <w:t>2021年度财政拨款支出912.74万元，主要用于以下方面：一般公共服务（类）支出716.67万元，占78.52%；科学技术支出（类）支出80万元，占8.76%;文化旅游体育与传媒支出（类）支出12.6万元，占1.38%;资源勘探工业信息等支出（类）支出103.47万元，占11.34%。</w:t>
      </w:r>
    </w:p>
    <w:p>
      <w:pPr>
        <w:pStyle w:val="10"/>
        <w:ind w:firstLine="640" w:firstLineChars="200"/>
        <w:rPr>
          <w:rFonts w:ascii="宋体" w:eastAsia="宋体"/>
          <w:b/>
          <w:sz w:val="32"/>
          <w:szCs w:val="32"/>
        </w:rPr>
      </w:pPr>
      <w:r>
        <w:rPr>
          <w:rFonts w:hint="eastAsia" w:ascii="宋体" w:eastAsia="宋体"/>
          <w:b/>
          <w:sz w:val="32"/>
          <w:szCs w:val="32"/>
        </w:rPr>
        <w:t>（三）财政拨款支出决算具体情况</w:t>
      </w:r>
    </w:p>
    <w:p>
      <w:pPr>
        <w:pStyle w:val="10"/>
        <w:ind w:firstLine="800" w:firstLineChars="250"/>
        <w:rPr>
          <w:rFonts w:ascii="宋体" w:eastAsia="宋体"/>
          <w:sz w:val="32"/>
          <w:szCs w:val="32"/>
        </w:rPr>
      </w:pPr>
      <w:r>
        <w:rPr>
          <w:rFonts w:hint="eastAsia" w:ascii="宋体" w:eastAsia="宋体"/>
          <w:sz w:val="32"/>
          <w:szCs w:val="32"/>
        </w:rPr>
        <w:t>2021年度财政拨款支出年初预算数为400.69万元，支出决算数为912.74万元，完成年初预算的227.79%，其中：</w:t>
      </w:r>
    </w:p>
    <w:p>
      <w:pPr>
        <w:pStyle w:val="10"/>
        <w:ind w:firstLine="800" w:firstLineChars="250"/>
        <w:rPr>
          <w:rFonts w:ascii="宋体" w:eastAsia="宋体"/>
          <w:sz w:val="32"/>
          <w:szCs w:val="32"/>
        </w:rPr>
      </w:pPr>
      <w:r>
        <w:rPr>
          <w:rFonts w:hint="eastAsia" w:ascii="宋体" w:eastAsia="宋体"/>
          <w:sz w:val="32"/>
          <w:szCs w:val="32"/>
        </w:rPr>
        <w:t>1、一般公共服务支出（类）政府办公厅（室）及相关机构事务（款）  其他政府办公厅（室）及相关机构事务支出（项）。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599.67万元，无法计算完成比率，决算数大于年初预算数的主要原因是：1.年初使用行政运行项目预算了298.09万元和一般行政管理事务预算了102.6万，未经过本项目预算；2.工资调标，工资和社保缴费增加及园区奖励由大财政预算。</w:t>
      </w:r>
    </w:p>
    <w:p>
      <w:pPr>
        <w:pStyle w:val="10"/>
        <w:ind w:firstLine="800" w:firstLineChars="250"/>
        <w:rPr>
          <w:rFonts w:ascii="宋体" w:eastAsia="宋体"/>
          <w:sz w:val="32"/>
          <w:szCs w:val="32"/>
        </w:rPr>
      </w:pPr>
      <w:r>
        <w:rPr>
          <w:rFonts w:hint="eastAsia" w:ascii="宋体" w:eastAsia="宋体"/>
          <w:sz w:val="32"/>
          <w:szCs w:val="32"/>
        </w:rPr>
        <w:t>2、一般公共服务支出（类）发展与改革事务（款）其他发展与改革事务支出（项）。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年初预算为0万元，支出决算为97万元，无法计算完成比率，决算数大于年初预算数的主要原因是：省财政部门预算并下达的奖补资金。</w:t>
      </w:r>
    </w:p>
    <w:p>
      <w:pPr>
        <w:pStyle w:val="10"/>
        <w:ind w:firstLine="800" w:firstLineChars="250"/>
        <w:rPr>
          <w:rFonts w:ascii="宋体" w:eastAsia="宋体"/>
          <w:sz w:val="32"/>
          <w:szCs w:val="32"/>
        </w:rPr>
      </w:pPr>
      <w:r>
        <w:rPr>
          <w:rFonts w:hint="eastAsia" w:ascii="宋体" w:eastAsia="宋体"/>
          <w:sz w:val="32"/>
          <w:szCs w:val="32"/>
        </w:rPr>
        <w:t>3、一般公共服务支出（类）统计信息事务（款）其他统计信息事务支出（项）。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年初预算为0万元，支出决算为20万元，无法计算完成比率，决算数大于年初预算数的主要原因是：统计经费由大财政进行预算。</w:t>
      </w:r>
    </w:p>
    <w:p>
      <w:pPr>
        <w:pStyle w:val="10"/>
        <w:ind w:firstLine="800" w:firstLineChars="250"/>
        <w:rPr>
          <w:rFonts w:ascii="宋体" w:eastAsia="宋体"/>
          <w:sz w:val="32"/>
          <w:szCs w:val="32"/>
        </w:rPr>
      </w:pPr>
      <w:r>
        <w:rPr>
          <w:rFonts w:hint="eastAsia" w:ascii="宋体" w:eastAsia="宋体"/>
          <w:sz w:val="32"/>
          <w:szCs w:val="32"/>
        </w:rPr>
        <w:t>4、科学技术支出（类）科技条件与服务（款）其他科技条件与服务支出（项）。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年初预算为0万元，支出决算为25万元，无法计算完成比率，决算数大于年初预算数的主要原因是：省财政部门预算并下达的资金。</w:t>
      </w:r>
    </w:p>
    <w:p>
      <w:pPr>
        <w:pStyle w:val="10"/>
        <w:ind w:firstLine="800" w:firstLineChars="250"/>
        <w:rPr>
          <w:rFonts w:ascii="宋体" w:eastAsia="宋体"/>
          <w:sz w:val="32"/>
          <w:szCs w:val="32"/>
        </w:rPr>
      </w:pPr>
      <w:r>
        <w:rPr>
          <w:rFonts w:hint="eastAsia" w:ascii="宋体" w:eastAsia="宋体"/>
          <w:sz w:val="32"/>
          <w:szCs w:val="32"/>
        </w:rPr>
        <w:t>5、一般科学技术支出（类）其他科学技术支出（款）其他科学技术支出（项）。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年初预算为0万元，支出决算为55万元，无法计算完成比率，决算数大于年初预算数的主要原因是：省财政部门预算并下达的资金。</w:t>
      </w:r>
    </w:p>
    <w:p>
      <w:pPr>
        <w:pStyle w:val="10"/>
        <w:ind w:firstLine="800" w:firstLineChars="250"/>
        <w:rPr>
          <w:rFonts w:ascii="宋体" w:eastAsia="宋体"/>
          <w:sz w:val="32"/>
          <w:szCs w:val="32"/>
        </w:rPr>
      </w:pPr>
      <w:r>
        <w:rPr>
          <w:rFonts w:hint="eastAsia" w:ascii="宋体" w:eastAsia="宋体"/>
          <w:sz w:val="32"/>
          <w:szCs w:val="32"/>
        </w:rPr>
        <w:t>6、文化旅游体育与传媒支出（类）文化和旅游（款）其他文化和旅游支出（项）。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年初预算为0万元，支出决算为12.6万元，无法计算完成比率，决算数大于年初预算数的主要原因是：预算不够精细，支出费用增加。</w:t>
      </w:r>
    </w:p>
    <w:p>
      <w:pPr>
        <w:pStyle w:val="10"/>
        <w:ind w:firstLine="800" w:firstLineChars="250"/>
        <w:rPr>
          <w:rFonts w:ascii="宋体" w:eastAsia="宋体"/>
          <w:sz w:val="32"/>
          <w:szCs w:val="32"/>
        </w:rPr>
      </w:pPr>
      <w:r>
        <w:rPr>
          <w:rFonts w:hint="eastAsia" w:ascii="宋体" w:eastAsia="宋体"/>
          <w:sz w:val="32"/>
          <w:szCs w:val="32"/>
        </w:rPr>
        <w:t>7、资源勘探工业信息等支出（类）制造业（款）其他制造业支出（项）。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年初预算为0万元，支出决算为100万元，无法计算完成比率，决算数大于年初预算数的主要原因是：省财政部门预算并下达的培育发展先进制造业集群奖励专项资金。</w:t>
      </w:r>
    </w:p>
    <w:p>
      <w:pPr>
        <w:pStyle w:val="10"/>
        <w:ind w:firstLine="800" w:firstLineChars="250"/>
        <w:rPr>
          <w:rFonts w:ascii="宋体" w:eastAsia="宋体"/>
          <w:sz w:val="32"/>
          <w:szCs w:val="32"/>
        </w:rPr>
      </w:pPr>
      <w:r>
        <w:rPr>
          <w:rFonts w:hint="eastAsia" w:ascii="宋体" w:eastAsia="宋体"/>
          <w:sz w:val="32"/>
          <w:szCs w:val="32"/>
        </w:rPr>
        <w:t>8、资源勘探工业信息等支出（类）工业和信息产业监管（款）行政运行（项）。</w:t>
      </w:r>
    </w:p>
    <w:p>
      <w:pPr>
        <w:pStyle w:val="10"/>
        <w:ind w:firstLine="800" w:firstLineChars="250"/>
        <w:rPr>
          <w:rFonts w:ascii="宋体" w:eastAsia="宋体"/>
          <w:sz w:val="32"/>
          <w:szCs w:val="32"/>
        </w:rPr>
      </w:pPr>
      <w:r>
        <w:rPr>
          <w:rFonts w:hint="eastAsia" w:ascii="宋体" w:eastAsia="宋体"/>
          <w:sz w:val="32"/>
          <w:szCs w:val="32"/>
        </w:rPr>
        <w:t>年初预算为0万元，支出决算为3.47万元，无法计算完成比率，决算数大于年初预算数的主要原因是：预算不够精细，支出费用增加。</w:t>
      </w:r>
    </w:p>
    <w:p>
      <w:pPr>
        <w:pStyle w:val="10"/>
        <w:rPr>
          <w:b/>
          <w:sz w:val="32"/>
          <w:szCs w:val="32"/>
        </w:rPr>
      </w:pPr>
      <w:r>
        <w:rPr>
          <w:rFonts w:hint="eastAsia"/>
          <w:b/>
          <w:sz w:val="32"/>
          <w:szCs w:val="32"/>
        </w:rPr>
        <w:t>六、一般公共预算财政拨款基本支出决算情况说明</w:t>
      </w:r>
    </w:p>
    <w:p>
      <w:pPr>
        <w:pStyle w:val="10"/>
        <w:ind w:firstLine="640" w:firstLineChars="200"/>
        <w:rPr>
          <w:rFonts w:ascii="宋体" w:eastAsia="宋体"/>
          <w:sz w:val="32"/>
          <w:szCs w:val="32"/>
        </w:rPr>
      </w:pPr>
      <w:r>
        <w:rPr>
          <w:rFonts w:hint="eastAsia" w:ascii="宋体" w:eastAsia="宋体"/>
          <w:sz w:val="32"/>
          <w:szCs w:val="32"/>
        </w:rPr>
        <w:t>2021年度财政拨款基本支出615.74万元，其中：人员经费391.54万元，占基本支出的63.59%,主要包括基本工资、绩效工资、奖金、伙食补助费、机关事业单位基本养老保险缴费、职工基本医疗保险缴费；公用经费224.2万元，占基本支出的36.41%，主要包括办公费、印刷费、咨询费、手续费、差旅费、公务接待费、工会经费、其他交通费等。</w:t>
      </w:r>
    </w:p>
    <w:p>
      <w:pPr>
        <w:pStyle w:val="10"/>
        <w:rPr>
          <w:b/>
          <w:sz w:val="32"/>
          <w:szCs w:val="32"/>
        </w:rPr>
      </w:pPr>
      <w:r>
        <w:rPr>
          <w:rFonts w:hint="eastAsia"/>
          <w:b/>
          <w:sz w:val="32"/>
          <w:szCs w:val="32"/>
        </w:rPr>
        <w:t>七、一般公共预算财政拨款“三公”经费支出决算情况说明</w:t>
      </w:r>
    </w:p>
    <w:p>
      <w:pPr>
        <w:pStyle w:val="10"/>
        <w:rPr>
          <w:rFonts w:ascii="宋体" w:eastAsia="宋体"/>
          <w:b/>
          <w:sz w:val="32"/>
          <w:szCs w:val="32"/>
        </w:rPr>
      </w:pPr>
      <w:r>
        <w:rPr>
          <w:rFonts w:hint="eastAsia" w:ascii="宋体" w:eastAsia="宋体"/>
          <w:b/>
          <w:sz w:val="32"/>
          <w:szCs w:val="32"/>
        </w:rPr>
        <w:t>（一）“三公”经费财政拨款支出决算总体情况说明</w:t>
      </w:r>
    </w:p>
    <w:p>
      <w:pPr>
        <w:pStyle w:val="10"/>
        <w:ind w:firstLine="800" w:firstLineChars="250"/>
        <w:rPr>
          <w:rFonts w:ascii="宋体" w:eastAsia="宋体"/>
          <w:sz w:val="32"/>
          <w:szCs w:val="32"/>
        </w:rPr>
      </w:pPr>
      <w:r>
        <w:rPr>
          <w:rFonts w:hint="eastAsia" w:ascii="宋体" w:eastAsia="宋体"/>
          <w:sz w:val="32"/>
          <w:szCs w:val="32"/>
        </w:rPr>
        <w:t>2021年度“三公”经费财政拨款支出预算为18.6万元，支出决算为41.16万元，完成预算的221.29%，其中：</w:t>
      </w:r>
    </w:p>
    <w:p>
      <w:pPr>
        <w:pStyle w:val="10"/>
        <w:ind w:firstLine="800" w:firstLineChars="250"/>
        <w:rPr>
          <w:rFonts w:hint="eastAsia" w:asciiTheme="minorEastAsia" w:hAnsiTheme="minorEastAsia" w:eastAsiaTheme="minorEastAsia"/>
          <w:sz w:val="32"/>
          <w:szCs w:val="32"/>
        </w:rPr>
      </w:pPr>
      <w:r>
        <w:rPr>
          <w:rFonts w:hint="eastAsia" w:ascii="宋体" w:eastAsia="宋体"/>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宋体" w:eastAsia="宋体"/>
          <w:sz w:val="32"/>
          <w:szCs w:val="32"/>
        </w:rPr>
      </w:pPr>
      <w:r>
        <w:rPr>
          <w:rFonts w:hint="eastAsia" w:ascii="宋体" w:eastAsia="宋体"/>
          <w:sz w:val="32"/>
          <w:szCs w:val="32"/>
        </w:rPr>
        <w:t>公务接待费支出预算为9.3万元，支出决算为37万元，完成预算的397.85%，决算数大于预算数的主要原因是招商引资的接待费由大财政预算，与上年相比减少19.3万元，减少34.28%,增长的主要原因是受疫情影响，来道考察项目客商数量减少。</w:t>
      </w:r>
    </w:p>
    <w:p>
      <w:pPr>
        <w:pStyle w:val="10"/>
        <w:ind w:firstLine="640" w:firstLineChars="200"/>
        <w:rPr>
          <w:rFonts w:asciiTheme="minorEastAsia" w:hAnsiTheme="minorEastAsia" w:eastAsiaTheme="minorEastAsia"/>
          <w:sz w:val="32"/>
          <w:szCs w:val="32"/>
        </w:rPr>
      </w:pPr>
      <w:r>
        <w:rPr>
          <w:rFonts w:hint="eastAsia" w:ascii="宋体" w:eastAsia="宋体"/>
          <w:sz w:val="32"/>
          <w:szCs w:val="32"/>
        </w:rPr>
        <w:t>公务用车购置费支出预算为0万元，支出决算为0万元，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0"/>
        <w:ind w:firstLine="640" w:firstLineChars="200"/>
        <w:rPr>
          <w:rFonts w:ascii="宋体" w:eastAsia="宋体"/>
          <w:sz w:val="32"/>
          <w:szCs w:val="32"/>
        </w:rPr>
      </w:pPr>
      <w:r>
        <w:rPr>
          <w:rFonts w:hint="eastAsia" w:ascii="宋体" w:eastAsia="宋体"/>
          <w:sz w:val="32"/>
          <w:szCs w:val="32"/>
        </w:rPr>
        <w:t>公务用车运行维护费支出预算为9.3万元，支出决算为4.16万元，完成预算的44.73%，决算数大于预算数的主要原因是从机关事务局借</w:t>
      </w:r>
      <w:bookmarkStart w:id="3" w:name="_GoBack"/>
      <w:bookmarkEnd w:id="3"/>
      <w:r>
        <w:rPr>
          <w:rFonts w:hint="eastAsia" w:ascii="宋体" w:eastAsia="宋体"/>
          <w:sz w:val="32"/>
          <w:szCs w:val="32"/>
        </w:rPr>
        <w:t>来的公车，提前归还给机关事务局，与上年相比增加3.75万元，增长914.63%,增长的主要原因是从机关事务局借了两台公务用车用于招商引资。</w:t>
      </w:r>
    </w:p>
    <w:p>
      <w:pPr>
        <w:pStyle w:val="10"/>
        <w:rPr>
          <w:rFonts w:ascii="宋体" w:eastAsia="宋体"/>
          <w:b/>
          <w:sz w:val="32"/>
          <w:szCs w:val="32"/>
        </w:rPr>
      </w:pPr>
      <w:r>
        <w:rPr>
          <w:rFonts w:hint="eastAsia" w:ascii="宋体" w:eastAsia="宋体"/>
          <w:b/>
          <w:sz w:val="32"/>
          <w:szCs w:val="32"/>
        </w:rPr>
        <w:t>（二）“三公”经费财政拨款支出决算具体情况说明</w:t>
      </w:r>
    </w:p>
    <w:p>
      <w:pPr>
        <w:pStyle w:val="10"/>
        <w:ind w:firstLine="640" w:firstLineChars="200"/>
        <w:rPr>
          <w:rFonts w:ascii="宋体" w:eastAsia="宋体"/>
          <w:sz w:val="32"/>
          <w:szCs w:val="32"/>
        </w:rPr>
      </w:pPr>
      <w:r>
        <w:rPr>
          <w:rFonts w:hint="eastAsia" w:ascii="宋体" w:eastAsia="宋体"/>
          <w:sz w:val="32"/>
          <w:szCs w:val="32"/>
        </w:rPr>
        <w:t>2021年度“三公”经费财政拨款支出决算中，公务接待费支出决算37万元，占89.89%,因公出国（境）费支出决算0万元，占0%,公务用车购置费及运行维护费支出决4.16万元，占10.11%。其中：</w:t>
      </w:r>
    </w:p>
    <w:p>
      <w:pPr>
        <w:pStyle w:val="10"/>
        <w:ind w:firstLine="640" w:firstLineChars="200"/>
        <w:rPr>
          <w:rFonts w:ascii="宋体" w:eastAsia="宋体"/>
          <w:sz w:val="32"/>
          <w:szCs w:val="32"/>
        </w:rPr>
      </w:pPr>
      <w:r>
        <w:rPr>
          <w:rFonts w:hint="eastAsia" w:ascii="宋体" w:eastAsia="宋体"/>
          <w:sz w:val="32"/>
          <w:szCs w:val="32"/>
        </w:rPr>
        <w:t>1、因公出国（境）费支出决算为0万元，全年安排因公出国（境）团组0个，累0人次。</w:t>
      </w:r>
    </w:p>
    <w:p>
      <w:pPr>
        <w:pStyle w:val="10"/>
        <w:ind w:firstLine="800" w:firstLineChars="250"/>
        <w:rPr>
          <w:rFonts w:ascii="宋体" w:eastAsia="宋体"/>
          <w:sz w:val="32"/>
          <w:szCs w:val="32"/>
        </w:rPr>
      </w:pPr>
      <w:r>
        <w:rPr>
          <w:rFonts w:hint="eastAsia" w:ascii="宋体" w:eastAsia="宋体"/>
          <w:sz w:val="32"/>
          <w:szCs w:val="32"/>
        </w:rPr>
        <w:t>2、公务接待费支出决算为37万元，全年共接待来访团组148个、来宾2944人次，主要是接待来道考察项目的客商发生的接待支出。</w:t>
      </w:r>
    </w:p>
    <w:p>
      <w:pPr>
        <w:ind w:firstLine="800" w:firstLineChars="250"/>
        <w:rPr>
          <w:rFonts w:ascii="宋体" w:cs="黑体"/>
          <w:color w:val="000000"/>
          <w:kern w:val="0"/>
          <w:sz w:val="32"/>
          <w:szCs w:val="32"/>
        </w:rPr>
      </w:pPr>
      <w:r>
        <w:rPr>
          <w:rFonts w:hint="eastAsia" w:ascii="宋体"/>
          <w:sz w:val="32"/>
          <w:szCs w:val="32"/>
        </w:rPr>
        <w:t>3、公务用车购置费及运行维护费支出决算为4.16万元，其中：公务用车购置费0万元，公务用车购置0辆</w:t>
      </w:r>
      <w:r>
        <w:rPr>
          <w:rFonts w:hint="eastAsia" w:ascii="宋体"/>
          <w:color w:val="000000"/>
          <w:sz w:val="32"/>
          <w:szCs w:val="32"/>
        </w:rPr>
        <w:t>。</w:t>
      </w:r>
      <w:r>
        <w:rPr>
          <w:rFonts w:hint="eastAsia" w:ascii="宋体"/>
          <w:sz w:val="32"/>
          <w:szCs w:val="32"/>
        </w:rPr>
        <w:t>公务用车运行维护费4.16万元，主要是车辆燃油费支出，截止2021年12月31日，我单位开支财政拨款的公务用车保有量为2辆（借来得2台公务用车，下半年归还给机关事务局）。</w:t>
      </w:r>
    </w:p>
    <w:p>
      <w:pPr>
        <w:pStyle w:val="10"/>
        <w:rPr>
          <w:b/>
          <w:sz w:val="32"/>
          <w:szCs w:val="32"/>
        </w:rPr>
      </w:pPr>
      <w:r>
        <w:rPr>
          <w:rFonts w:hint="eastAsia"/>
          <w:b/>
          <w:sz w:val="32"/>
          <w:szCs w:val="32"/>
        </w:rPr>
        <w:t>八、政府性基金预算收入支出决算情况</w:t>
      </w:r>
    </w:p>
    <w:p>
      <w:pPr>
        <w:pStyle w:val="10"/>
        <w:rPr>
          <w:rFonts w:ascii="宋体" w:eastAsia="宋体"/>
          <w:i/>
          <w:color w:val="FF0000"/>
          <w:sz w:val="32"/>
          <w:szCs w:val="32"/>
        </w:rPr>
      </w:pPr>
      <w:r>
        <w:rPr>
          <w:rFonts w:hint="eastAsia" w:ascii="宋体" w:eastAsia="宋体"/>
          <w:sz w:val="32"/>
          <w:szCs w:val="32"/>
        </w:rPr>
        <w:t xml:space="preserve">     2021年度政府性基金预算财政拨款收入19880.66万元；年初结转和结余41.10万元；支出19921.76万元，其中基本支出117.71万元，项目支出19804.05万元；年末结转和结余0万元。具体情况如下：</w:t>
      </w:r>
    </w:p>
    <w:p>
      <w:pPr>
        <w:pStyle w:val="10"/>
        <w:ind w:firstLine="800" w:firstLineChars="250"/>
        <w:rPr>
          <w:rFonts w:ascii="宋体" w:eastAsia="宋体"/>
          <w:sz w:val="32"/>
          <w:szCs w:val="32"/>
        </w:rPr>
      </w:pPr>
      <w:r>
        <w:rPr>
          <w:rFonts w:hint="eastAsia" w:ascii="宋体" w:eastAsia="宋体"/>
          <w:sz w:val="32"/>
          <w:szCs w:val="32"/>
        </w:rPr>
        <w:t>1、城乡社区支出（类）国有土地使用权出让收入安排的支出（款）征地和拆迁补偿支出（项）。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年初预算为0万元，支出决算为7002.25万元，无法计算完成比率，决算数大于年初预算数的主要原因是：征地拆迁经费由大财政预算。</w:t>
      </w:r>
    </w:p>
    <w:p>
      <w:pPr>
        <w:pStyle w:val="10"/>
        <w:ind w:firstLine="800" w:firstLineChars="250"/>
        <w:rPr>
          <w:rFonts w:ascii="宋体" w:eastAsia="宋体"/>
          <w:sz w:val="32"/>
          <w:szCs w:val="32"/>
        </w:rPr>
      </w:pPr>
      <w:r>
        <w:rPr>
          <w:rFonts w:hint="eastAsia" w:ascii="宋体" w:eastAsia="宋体"/>
          <w:sz w:val="32"/>
          <w:szCs w:val="32"/>
        </w:rPr>
        <w:t>2、城乡社区支出（类）国有土地使用权出让收入安排的支出（款）土地开发支出（项）。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年初预算为0万元，支出决算为274万元，无法计算完成比率，决算数大于年初预算数的主要原因是：土地开发支出由大财政预算。</w:t>
      </w:r>
    </w:p>
    <w:p>
      <w:pPr>
        <w:pStyle w:val="10"/>
        <w:ind w:firstLine="800" w:firstLineChars="250"/>
        <w:rPr>
          <w:rFonts w:ascii="宋体" w:eastAsia="宋体"/>
          <w:sz w:val="32"/>
          <w:szCs w:val="32"/>
        </w:rPr>
      </w:pPr>
      <w:r>
        <w:rPr>
          <w:rFonts w:hint="eastAsia" w:ascii="宋体" w:eastAsia="宋体"/>
          <w:sz w:val="32"/>
          <w:szCs w:val="32"/>
        </w:rPr>
        <w:t>3、城乡社区支出（类）国有土地使用权出让收入安排的支出（款）补助被征地农民支出（项）。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年初预算为0万元，支出决算为41.10万元，无法计算完成比率，决算数大于年初预算数的主要原因是：补助被征地农民支出由大财政预算。</w:t>
      </w:r>
    </w:p>
    <w:p>
      <w:pPr>
        <w:pStyle w:val="10"/>
        <w:ind w:firstLine="800" w:firstLineChars="250"/>
        <w:rPr>
          <w:rFonts w:ascii="宋体" w:eastAsia="宋体"/>
          <w:sz w:val="32"/>
          <w:szCs w:val="32"/>
        </w:rPr>
      </w:pPr>
      <w:r>
        <w:rPr>
          <w:rFonts w:hint="eastAsia" w:ascii="宋体" w:eastAsia="宋体"/>
          <w:sz w:val="32"/>
          <w:szCs w:val="32"/>
        </w:rPr>
        <w:t>4、城乡社区支出（类）国有土地使用权出让收入安排的支出（款）  其他国有土地使用权出让收入安排的支出（项）。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年初预算为0万元，支出决算为14.35万元，无法计算完成比率，决算数大于年初预算数的主要原因是：其他国有土地使用权出让收入安排的支出由大财政预算。</w:t>
      </w:r>
    </w:p>
    <w:p>
      <w:pPr>
        <w:pStyle w:val="10"/>
        <w:ind w:firstLine="800" w:firstLineChars="250"/>
        <w:rPr>
          <w:rFonts w:ascii="宋体" w:eastAsia="宋体"/>
          <w:sz w:val="32"/>
          <w:szCs w:val="32"/>
        </w:rPr>
      </w:pPr>
      <w:r>
        <w:rPr>
          <w:rFonts w:hint="eastAsia" w:ascii="宋体" w:eastAsia="宋体"/>
          <w:sz w:val="32"/>
          <w:szCs w:val="32"/>
        </w:rPr>
        <w:t>5、其他支出（类）其他政府性基金及对应专项债务收入安排的支出（款）    其他地方自行试点项目收益专项债券收入安排的支出（项）。</w:t>
      </w:r>
    </w:p>
    <w:p>
      <w:pPr>
        <w:pStyle w:val="10"/>
        <w:ind w:firstLine="800" w:firstLineChars="250"/>
        <w:rPr>
          <w:rFonts w:ascii="宋体" w:eastAsia="宋体"/>
          <w:sz w:val="32"/>
          <w:szCs w:val="32"/>
        </w:rPr>
      </w:pPr>
      <w:r>
        <w:rPr>
          <w:rFonts w:hint="eastAsia" w:ascii="宋体" w:eastAsia="宋体"/>
          <w:sz w:val="32"/>
          <w:szCs w:val="32"/>
        </w:rPr>
        <w:t>年初预算为0万元，支出决算为12590.05万元，无法计算完成比率，决算数大于年初预算数的主要原因是：政策兑现资金由大财政预算。</w:t>
      </w:r>
    </w:p>
    <w:p>
      <w:pPr>
        <w:pStyle w:val="10"/>
        <w:rPr>
          <w:b/>
          <w:sz w:val="32"/>
          <w:szCs w:val="32"/>
        </w:rPr>
      </w:pPr>
      <w:r>
        <w:rPr>
          <w:rFonts w:hint="eastAsia"/>
          <w:b/>
          <w:sz w:val="32"/>
          <w:szCs w:val="32"/>
        </w:rPr>
        <w:t>九、机关运行经费支出说明</w:t>
      </w:r>
    </w:p>
    <w:p>
      <w:pPr>
        <w:pStyle w:val="10"/>
        <w:ind w:firstLine="640" w:firstLineChars="200"/>
        <w:rPr>
          <w:rFonts w:ascii="宋体" w:eastAsia="宋体"/>
          <w:sz w:val="32"/>
          <w:szCs w:val="32"/>
        </w:rPr>
      </w:pPr>
      <w:r>
        <w:rPr>
          <w:rFonts w:hint="eastAsia" w:ascii="宋体" w:eastAsia="宋体"/>
          <w:sz w:val="32"/>
          <w:szCs w:val="32"/>
        </w:rPr>
        <w:t>本部门2021年度机关运行经费支出0万元，比年初预算数持平。</w:t>
      </w:r>
    </w:p>
    <w:p>
      <w:pPr>
        <w:pStyle w:val="10"/>
        <w:rPr>
          <w:b/>
          <w:sz w:val="32"/>
          <w:szCs w:val="32"/>
        </w:rPr>
      </w:pPr>
      <w:r>
        <w:rPr>
          <w:rFonts w:hint="eastAsia"/>
          <w:b/>
          <w:sz w:val="32"/>
          <w:szCs w:val="32"/>
        </w:rPr>
        <w:t>十、一般性支出情况说明</w:t>
      </w:r>
    </w:p>
    <w:p>
      <w:pPr>
        <w:pStyle w:val="10"/>
        <w:ind w:firstLine="640" w:firstLineChars="200"/>
        <w:rPr>
          <w:rFonts w:ascii="宋体" w:eastAsia="宋体"/>
          <w:sz w:val="32"/>
          <w:szCs w:val="32"/>
        </w:rPr>
      </w:pPr>
      <w:r>
        <w:rPr>
          <w:rFonts w:hint="eastAsia" w:ascii="宋体" w:eastAsia="宋体"/>
          <w:sz w:val="32"/>
          <w:szCs w:val="32"/>
        </w:rPr>
        <w:t>2021年本部门开支会议费0.51万元，用于参加省里有关单位组织的会议，人数2人，内容为参加开发区协会组织的会议；开支培训费6.21万元，用于开展园区内企业培训，人数300人，内容为高新技术企业申报及科技创新培训费；开支培训费1.22万元，用于单位员工培训，人数41人，内容为人社局组织的事业单位工作人员在岗教育网络培训；开支培训费0.4万元，用于单位员工培训，人数2人，内容为组织部组织的科干班培训；开支培训费0.2万元，用于园区企业培训，人数100人，内容为应急管理局组织的新安全生产法培训；</w:t>
      </w:r>
    </w:p>
    <w:p>
      <w:pPr>
        <w:pStyle w:val="10"/>
        <w:ind w:firstLine="640" w:firstLineChars="200"/>
        <w:rPr>
          <w:b/>
          <w:sz w:val="32"/>
          <w:szCs w:val="32"/>
        </w:rPr>
      </w:pPr>
      <w:r>
        <w:rPr>
          <w:rFonts w:hint="eastAsia"/>
          <w:b/>
          <w:sz w:val="32"/>
          <w:szCs w:val="32"/>
        </w:rPr>
        <w:t>十一、政府采购支出说明</w:t>
      </w:r>
    </w:p>
    <w:p>
      <w:pPr>
        <w:pStyle w:val="10"/>
        <w:ind w:firstLine="640" w:firstLineChars="200"/>
        <w:rPr>
          <w:rFonts w:ascii="宋体" w:eastAsia="宋体"/>
          <w:sz w:val="32"/>
          <w:szCs w:val="32"/>
        </w:rPr>
      </w:pPr>
      <w:r>
        <w:rPr>
          <w:rFonts w:hint="eastAsia" w:ascii="宋体" w:eastAsia="宋体"/>
          <w:sz w:val="32"/>
          <w:szCs w:val="32"/>
        </w:rPr>
        <w:t>本部门2021年度政府采购支出总额620万元，其中：政府采购货物支出0 万元、政府采购工程支出620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b/>
          <w:sz w:val="32"/>
          <w:szCs w:val="32"/>
        </w:rPr>
      </w:pPr>
      <w:r>
        <w:rPr>
          <w:rFonts w:hint="eastAsia"/>
          <w:b/>
          <w:sz w:val="32"/>
          <w:szCs w:val="32"/>
        </w:rPr>
        <w:t>十二、国有资产占用情况说明</w:t>
      </w:r>
    </w:p>
    <w:p>
      <w:pPr>
        <w:pStyle w:val="10"/>
        <w:ind w:firstLine="640" w:firstLineChars="200"/>
        <w:rPr>
          <w:rFonts w:ascii="宋体" w:eastAsia="宋体"/>
          <w:sz w:val="32"/>
          <w:szCs w:val="32"/>
        </w:rPr>
      </w:pPr>
      <w:r>
        <w:rPr>
          <w:rFonts w:hint="eastAsia" w:ascii="宋体" w:eastAsia="宋体"/>
          <w:sz w:val="32"/>
          <w:szCs w:val="32"/>
        </w:rPr>
        <w:t>截至2021年12月31日，部门（单位）共有车辆2辆，其中，主要领导干部用车0辆，机要通信用车0辆、应急保障用车0辆、执法执勤用车0辆、特种专业技术用车0辆、其他用车2辆，其他用车主要是招商引资用车；单位价值50万元以上通用设备0台（套）；单位价值100万元以上专用设备0台（套）。</w:t>
      </w:r>
    </w:p>
    <w:p>
      <w:pPr>
        <w:pStyle w:val="10"/>
        <w:rPr>
          <w:b/>
          <w:sz w:val="32"/>
          <w:szCs w:val="32"/>
        </w:rPr>
      </w:pPr>
      <w:r>
        <w:rPr>
          <w:rFonts w:hint="eastAsia"/>
          <w:b/>
          <w:sz w:val="32"/>
          <w:szCs w:val="32"/>
        </w:rPr>
        <w:t>十三、2021年度预算绩效情况说明</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（1）绩效管理评价工作开展情况</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根据预算绩效管理要求，我部门组织对</w:t>
      </w:r>
      <w:r>
        <w:rPr>
          <w:rFonts w:ascii="宋体" w:cs="黑体"/>
          <w:color w:val="000000"/>
          <w:kern w:val="0"/>
          <w:sz w:val="32"/>
          <w:szCs w:val="32"/>
        </w:rPr>
        <w:t>2021</w:t>
      </w:r>
      <w:r>
        <w:rPr>
          <w:rFonts w:hint="eastAsia" w:ascii="宋体" w:cs="黑体"/>
          <w:color w:val="000000"/>
          <w:kern w:val="0"/>
          <w:sz w:val="32"/>
          <w:szCs w:val="32"/>
        </w:rPr>
        <w:t>年度一般公共预算项目支出全面开展绩效自评，其中，一级项目1个，共涉及资金80万元，占一般公共预算项目支出总额的13.34</w:t>
      </w:r>
      <w:r>
        <w:rPr>
          <w:rFonts w:ascii="宋体" w:cs="黑体"/>
          <w:color w:val="000000"/>
          <w:kern w:val="0"/>
          <w:sz w:val="32"/>
          <w:szCs w:val="32"/>
        </w:rPr>
        <w:t>%</w:t>
      </w:r>
      <w:r>
        <w:rPr>
          <w:rFonts w:hint="eastAsia" w:ascii="宋体" w:cs="黑体"/>
          <w:color w:val="000000"/>
          <w:kern w:val="0"/>
          <w:sz w:val="32"/>
          <w:szCs w:val="32"/>
        </w:rPr>
        <w:t>。组织对</w:t>
      </w:r>
      <w:r>
        <w:rPr>
          <w:rFonts w:ascii="宋体" w:cs="黑体"/>
          <w:color w:val="000000"/>
          <w:kern w:val="0"/>
          <w:sz w:val="32"/>
          <w:szCs w:val="32"/>
        </w:rPr>
        <w:t>2021</w:t>
      </w:r>
      <w:r>
        <w:rPr>
          <w:rFonts w:hint="eastAsia" w:ascii="宋体" w:cs="黑体"/>
          <w:color w:val="000000"/>
          <w:kern w:val="0"/>
          <w:sz w:val="32"/>
          <w:szCs w:val="32"/>
        </w:rPr>
        <w:t>年度中小企业发展资金、电子信息产业孵化基地等2个政府性基金预算项目支出开展绩效自评，共涉及资金19921.76</w:t>
      </w:r>
      <w:r>
        <w:rPr>
          <w:rFonts w:ascii="宋体" w:cs="黑体"/>
          <w:color w:val="000000"/>
          <w:kern w:val="0"/>
          <w:sz w:val="32"/>
          <w:szCs w:val="32"/>
        </w:rPr>
        <w:t xml:space="preserve"> </w:t>
      </w:r>
      <w:r>
        <w:rPr>
          <w:rFonts w:hint="eastAsia" w:ascii="宋体" w:cs="黑体"/>
          <w:color w:val="000000"/>
          <w:kern w:val="0"/>
          <w:sz w:val="32"/>
          <w:szCs w:val="32"/>
        </w:rPr>
        <w:t>万元，占政府性基金预算项目支出总额的100</w:t>
      </w:r>
      <w:r>
        <w:rPr>
          <w:rFonts w:ascii="宋体" w:cs="黑体"/>
          <w:color w:val="000000"/>
          <w:kern w:val="0"/>
          <w:sz w:val="32"/>
          <w:szCs w:val="32"/>
        </w:rPr>
        <w:t>%</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组织对“科技创新”、 “中小企业发展资金”、“电子信息产业孵化基地”等3个项目开展了部门评价，涉及一般公共预算支出80万元，政府性基金预算支出19921.76万元，国有资本经营预算支出0万元。从评价情况来看，各项目基本完成了年初制定的绩效考核目标。</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组织对“道县高新技术产业开发区本级”等1个单位开展整体支出绩效评价，涉及一般公共预算支出80万元，政府性基金预算支出19921.76万元。从评价情况来看，一是园区经济呈现新气象。园区完成规模工业总产值173.18亿元，同比增长43.31%；技工贸总收入206.3亿元，增幅9.53%；规模企业实缴税金3.06亿元，同比增长36.92%；二是招商引资取得新成绩，新签约投资5000万元以上工业项目26个；三是创先争优取得新成效，在全省“五好”园区评价中排名上升32名。。</w:t>
      </w:r>
    </w:p>
    <w:p>
      <w:pPr>
        <w:autoSpaceDE w:val="0"/>
        <w:autoSpaceDN w:val="0"/>
        <w:adjustRightInd w:val="0"/>
        <w:ind w:firstLine="640" w:firstLineChars="200"/>
        <w:jc w:val="left"/>
        <w:rPr>
          <w:rFonts w:ascii="宋体" w:cs="黑体"/>
          <w:b/>
          <w:color w:val="000000"/>
          <w:kern w:val="0"/>
          <w:sz w:val="32"/>
          <w:szCs w:val="32"/>
        </w:rPr>
      </w:pPr>
      <w:r>
        <w:rPr>
          <w:rFonts w:hint="eastAsia" w:ascii="宋体" w:cs="黑体"/>
          <w:b/>
          <w:color w:val="000000"/>
          <w:kern w:val="0"/>
          <w:sz w:val="32"/>
          <w:szCs w:val="32"/>
        </w:rPr>
        <w:t>（2）部门决算中项目绩效自评结果。</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道县高新区科技创新服务平台建设项目绩效自评综述：根据年初设定的绩效目标，项目绩效自评得分为87分。项目全年预算数为80万元，执行数为80万元，完成预算的100</w:t>
      </w:r>
      <w:r>
        <w:rPr>
          <w:rFonts w:ascii="宋体" w:cs="黑体"/>
          <w:color w:val="000000"/>
          <w:kern w:val="0"/>
          <w:sz w:val="32"/>
          <w:szCs w:val="32"/>
        </w:rPr>
        <w:t>%</w:t>
      </w:r>
      <w:r>
        <w:rPr>
          <w:rFonts w:hint="eastAsia" w:ascii="宋体" w:cs="黑体"/>
          <w:color w:val="000000"/>
          <w:kern w:val="0"/>
          <w:sz w:val="32"/>
          <w:szCs w:val="32"/>
        </w:rPr>
        <w:t>。项目绩效目标完成情况：一是</w:t>
      </w:r>
      <w:r>
        <w:rPr>
          <w:rFonts w:ascii="宋体" w:cs="黑体"/>
          <w:color w:val="000000"/>
          <w:kern w:val="0"/>
          <w:sz w:val="32"/>
          <w:szCs w:val="32"/>
        </w:rPr>
        <w:t>培育高新技术企业数量</w:t>
      </w:r>
      <w:r>
        <w:rPr>
          <w:rFonts w:hint="eastAsia" w:ascii="宋体" w:cs="黑体"/>
          <w:color w:val="000000"/>
          <w:kern w:val="0"/>
          <w:sz w:val="32"/>
          <w:szCs w:val="32"/>
        </w:rPr>
        <w:t>8家；二是</w:t>
      </w:r>
      <w:r>
        <w:rPr>
          <w:rFonts w:ascii="宋体" w:cs="黑体"/>
          <w:color w:val="000000"/>
          <w:kern w:val="0"/>
          <w:sz w:val="32"/>
          <w:szCs w:val="32"/>
        </w:rPr>
        <w:t>新增在孵企业数量</w:t>
      </w:r>
      <w:r>
        <w:rPr>
          <w:rFonts w:hint="eastAsia" w:ascii="宋体" w:cs="黑体"/>
          <w:color w:val="000000"/>
          <w:kern w:val="0"/>
          <w:sz w:val="32"/>
          <w:szCs w:val="32"/>
        </w:rPr>
        <w:t>15家。发现的主要问题及原因：活动开展不够及时。下一步改进措施：按时开展各种活动。</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中小企业发展资金及产业项目资金绩效自评综述：根据年初设定的绩效目标，项目绩效自评得分为97分。项目全年预算数为18300万元，执行数为18300万元，完成预算的100</w:t>
      </w:r>
      <w:r>
        <w:rPr>
          <w:rFonts w:ascii="宋体" w:cs="黑体"/>
          <w:color w:val="000000"/>
          <w:kern w:val="0"/>
          <w:sz w:val="32"/>
          <w:szCs w:val="32"/>
        </w:rPr>
        <w:t>%</w:t>
      </w:r>
      <w:r>
        <w:rPr>
          <w:rFonts w:hint="eastAsia" w:ascii="宋体" w:cs="黑体"/>
          <w:color w:val="000000"/>
          <w:kern w:val="0"/>
          <w:sz w:val="32"/>
          <w:szCs w:val="32"/>
        </w:rPr>
        <w:t>。项目绩效目标完成情况：一是</w:t>
      </w:r>
      <w:r>
        <w:rPr>
          <w:rFonts w:ascii="宋体" w:cs="黑体"/>
          <w:color w:val="000000"/>
          <w:kern w:val="0"/>
          <w:sz w:val="32"/>
          <w:szCs w:val="32"/>
        </w:rPr>
        <w:t>引进项目</w:t>
      </w:r>
      <w:r>
        <w:rPr>
          <w:rFonts w:hint="eastAsia" w:ascii="宋体" w:cs="黑体"/>
          <w:color w:val="000000"/>
          <w:kern w:val="0"/>
          <w:sz w:val="32"/>
          <w:szCs w:val="32"/>
        </w:rPr>
        <w:t>26个；二是</w:t>
      </w:r>
      <w:r>
        <w:rPr>
          <w:rFonts w:ascii="宋体" w:cs="黑体"/>
          <w:color w:val="000000"/>
          <w:kern w:val="0"/>
          <w:sz w:val="32"/>
          <w:szCs w:val="32"/>
        </w:rPr>
        <w:t>新增固定资产投资</w:t>
      </w:r>
      <w:r>
        <w:rPr>
          <w:rFonts w:hint="eastAsia" w:ascii="宋体" w:cs="黑体"/>
          <w:color w:val="000000"/>
          <w:kern w:val="0"/>
          <w:sz w:val="32"/>
          <w:szCs w:val="32"/>
        </w:rPr>
        <w:t>40亿。发现的主要问题及原因：政策资金兑现不够及时。下一步改进措施：按时兑现各类资金。</w:t>
      </w:r>
    </w:p>
    <w:p>
      <w:pPr>
        <w:ind w:firstLine="640" w:firstLineChars="200"/>
        <w:jc w:val="left"/>
        <w:rPr>
          <w:rFonts w:ascii="宋体" w:cs="黑体"/>
          <w:color w:val="000000"/>
          <w:kern w:val="0"/>
          <w:sz w:val="32"/>
          <w:szCs w:val="32"/>
        </w:rPr>
      </w:pPr>
      <w:r>
        <w:rPr>
          <w:rFonts w:hint="eastAsia" w:ascii="宋体" w:cs="黑体"/>
          <w:color w:val="000000"/>
          <w:kern w:val="0"/>
          <w:sz w:val="32"/>
          <w:szCs w:val="32"/>
        </w:rPr>
        <w:t>电子信息产业孵化基地及配套设施项目绩效自评综述：根据年初设定的绩效目标，项目绩效自评得分为95分。项目全年预算数为1640万元，执行数为1640万元，完成预算的100</w:t>
      </w:r>
      <w:r>
        <w:rPr>
          <w:rFonts w:ascii="宋体" w:cs="黑体"/>
          <w:color w:val="000000"/>
          <w:kern w:val="0"/>
          <w:sz w:val="32"/>
          <w:szCs w:val="32"/>
        </w:rPr>
        <w:t>%</w:t>
      </w:r>
      <w:r>
        <w:rPr>
          <w:rFonts w:hint="eastAsia" w:ascii="宋体" w:cs="黑体"/>
          <w:color w:val="000000"/>
          <w:kern w:val="0"/>
          <w:sz w:val="32"/>
          <w:szCs w:val="32"/>
        </w:rPr>
        <w:t>。项目绩效目标完成情况：一是完成87958.96平方米土地征收和划拨；二是</w:t>
      </w:r>
      <w:r>
        <w:rPr>
          <w:rFonts w:ascii="宋体" w:cs="黑体"/>
          <w:color w:val="000000"/>
          <w:kern w:val="0"/>
          <w:sz w:val="32"/>
          <w:szCs w:val="32"/>
        </w:rPr>
        <w:t>新增</w:t>
      </w:r>
      <w:r>
        <w:rPr>
          <w:rFonts w:hint="eastAsia" w:ascii="宋体" w:cs="黑体"/>
          <w:color w:val="000000"/>
          <w:kern w:val="0"/>
          <w:sz w:val="32"/>
          <w:szCs w:val="32"/>
        </w:rPr>
        <w:t>标准厂房</w:t>
      </w:r>
      <w:r>
        <w:rPr>
          <w:rFonts w:ascii="宋体" w:cs="黑体"/>
          <w:color w:val="000000"/>
          <w:kern w:val="0"/>
          <w:sz w:val="32"/>
          <w:szCs w:val="32"/>
        </w:rPr>
        <w:t>91000</w:t>
      </w:r>
      <w:r>
        <w:rPr>
          <w:rFonts w:hint="eastAsia" w:ascii="宋体" w:cs="黑体"/>
          <w:color w:val="000000"/>
          <w:kern w:val="0"/>
          <w:sz w:val="32"/>
          <w:szCs w:val="32"/>
        </w:rPr>
        <w:t>平方米。发现的主要问题及原因：资金拨付不够及时。下一步改进措施：按时拨付资金资金。</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w:t>
      </w:r>
      <w:r>
        <w:rPr>
          <w:rFonts w:ascii="宋体" w:cs="黑体"/>
          <w:b/>
          <w:color w:val="000000"/>
          <w:kern w:val="0"/>
          <w:sz w:val="32"/>
          <w:szCs w:val="32"/>
        </w:rPr>
        <w:t>3</w:t>
      </w:r>
      <w:r>
        <w:rPr>
          <w:rFonts w:hint="eastAsia" w:ascii="宋体" w:cs="黑体"/>
          <w:b/>
          <w:color w:val="000000"/>
          <w:kern w:val="0"/>
          <w:sz w:val="32"/>
          <w:szCs w:val="32"/>
        </w:rPr>
        <w:t>）部门评价项目绩效评价结果。</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“科技创新”、 “中小企业发展资金”、“电子信息产业孵化基地”等3个项目部门评价报告依据《项目支出绩效评价办法》（财预〔</w:t>
      </w:r>
      <w:r>
        <w:rPr>
          <w:rFonts w:ascii="宋体" w:cs="黑体"/>
          <w:color w:val="000000"/>
          <w:kern w:val="0"/>
          <w:sz w:val="32"/>
          <w:szCs w:val="32"/>
        </w:rPr>
        <w:t>2020</w:t>
      </w:r>
      <w:r>
        <w:rPr>
          <w:rFonts w:hint="eastAsia" w:ascii="宋体" w:cs="黑体"/>
          <w:color w:val="000000"/>
          <w:kern w:val="0"/>
          <w:sz w:val="32"/>
          <w:szCs w:val="32"/>
        </w:rPr>
        <w:t>〕</w:t>
      </w:r>
      <w:r>
        <w:rPr>
          <w:rFonts w:ascii="宋体" w:cs="黑体"/>
          <w:color w:val="000000"/>
          <w:kern w:val="0"/>
          <w:sz w:val="32"/>
          <w:szCs w:val="32"/>
        </w:rPr>
        <w:t xml:space="preserve">10 </w:t>
      </w:r>
      <w:r>
        <w:rPr>
          <w:rFonts w:hint="eastAsia" w:ascii="宋体" w:cs="黑体"/>
          <w:color w:val="000000"/>
          <w:kern w:val="0"/>
          <w:sz w:val="32"/>
          <w:szCs w:val="32"/>
        </w:rPr>
        <w:t>号）中《项目支出绩效评价报告（参考提纲）》、《湖南省预算支出绩效评价管理办法》（湘财绩〔</w:t>
      </w:r>
      <w:r>
        <w:rPr>
          <w:rFonts w:ascii="宋体" w:cs="黑体"/>
          <w:color w:val="000000"/>
          <w:kern w:val="0"/>
          <w:sz w:val="32"/>
          <w:szCs w:val="32"/>
        </w:rPr>
        <w:t>2020</w:t>
      </w:r>
      <w:r>
        <w:rPr>
          <w:rFonts w:hint="eastAsia" w:ascii="宋体" w:cs="黑体"/>
          <w:color w:val="000000"/>
          <w:kern w:val="0"/>
          <w:sz w:val="32"/>
          <w:szCs w:val="32"/>
        </w:rPr>
        <w:t>〕7号）的要求向社会公开。</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widowControl/>
        <w:ind w:left="210" w:leftChars="100" w:firstLine="320" w:firstLineChars="100"/>
        <w:jc w:val="left"/>
        <w:rPr>
          <w:rFonts w:hint="eastAsia" w:ascii="仿宋" w:hAnsi="仿宋" w:cs="宋体"/>
          <w:color w:val="000000"/>
          <w:kern w:val="0"/>
          <w:sz w:val="32"/>
          <w:szCs w:val="32"/>
        </w:rPr>
      </w:pPr>
      <w:r>
        <w:rPr>
          <w:rFonts w:hint="eastAsia" w:ascii="仿宋" w:hAnsi="仿宋" w:cs="宋体"/>
          <w:color w:val="000000"/>
          <w:kern w:val="0"/>
          <w:sz w:val="32"/>
          <w:szCs w:val="32"/>
        </w:rPr>
        <w:t>一、</w:t>
      </w:r>
      <w:r>
        <w:rPr>
          <w:rFonts w:ascii="仿宋" w:hAnsi="仿宋" w:cs="宋体"/>
          <w:color w:val="000000"/>
          <w:kern w:val="0"/>
          <w:sz w:val="32"/>
          <w:szCs w:val="32"/>
        </w:rPr>
        <w:t xml:space="preserve">财政拨款收入：指单位本年度从同级财政部门取得的各类财政 拨款。 </w:t>
      </w:r>
      <w:r>
        <w:rPr>
          <w:rFonts w:hint="eastAsia" w:ascii="仿宋" w:hAnsi="仿宋" w:cs="宋体"/>
          <w:color w:val="000000"/>
          <w:kern w:val="0"/>
          <w:sz w:val="32"/>
          <w:szCs w:val="32"/>
        </w:rPr>
        <w:t xml:space="preserve">  </w:t>
      </w:r>
    </w:p>
    <w:p>
      <w:pPr>
        <w:widowControl/>
        <w:ind w:left="210" w:leftChars="100" w:firstLine="320" w:firstLineChars="100"/>
        <w:jc w:val="left"/>
        <w:rPr>
          <w:rFonts w:hint="eastAsia" w:ascii="仿宋" w:hAnsi="仿宋" w:cs="宋体"/>
          <w:color w:val="000000"/>
          <w:kern w:val="0"/>
          <w:sz w:val="32"/>
          <w:szCs w:val="32"/>
        </w:rPr>
      </w:pPr>
      <w:r>
        <w:rPr>
          <w:rFonts w:hint="eastAsia" w:ascii="仿宋" w:hAnsi="仿宋" w:cs="宋体"/>
          <w:color w:val="000000"/>
          <w:kern w:val="0"/>
          <w:sz w:val="32"/>
          <w:szCs w:val="32"/>
        </w:rPr>
        <w:t>二、</w:t>
      </w:r>
      <w:r>
        <w:rPr>
          <w:rFonts w:ascii="仿宋" w:hAnsi="仿宋" w:cs="宋体"/>
          <w:color w:val="000000"/>
          <w:kern w:val="0"/>
          <w:sz w:val="32"/>
          <w:szCs w:val="32"/>
        </w:rPr>
        <w:t xml:space="preserve">上级补助收入：指事业单位从主管部门和上级单位取得的非财 政补助收入。 </w:t>
      </w:r>
    </w:p>
    <w:p>
      <w:pPr>
        <w:widowControl/>
        <w:ind w:firstLine="480" w:firstLineChars="150"/>
        <w:jc w:val="left"/>
        <w:rPr>
          <w:rFonts w:hint="eastAsia" w:ascii="仿宋" w:hAnsi="仿宋" w:cs="宋体"/>
          <w:color w:val="000000"/>
          <w:kern w:val="0"/>
          <w:sz w:val="32"/>
          <w:szCs w:val="32"/>
        </w:rPr>
      </w:pPr>
      <w:r>
        <w:rPr>
          <w:rFonts w:hint="eastAsia" w:ascii="仿宋" w:hAnsi="仿宋" w:cs="宋体"/>
          <w:color w:val="000000"/>
          <w:kern w:val="0"/>
          <w:sz w:val="32"/>
          <w:szCs w:val="32"/>
        </w:rPr>
        <w:t>三、</w:t>
      </w:r>
      <w:r>
        <w:rPr>
          <w:rFonts w:ascii="仿宋" w:hAnsi="仿宋" w:cs="宋体"/>
          <w:color w:val="000000"/>
          <w:kern w:val="0"/>
          <w:sz w:val="32"/>
          <w:szCs w:val="32"/>
        </w:rPr>
        <w:t xml:space="preserve">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 </w:t>
      </w:r>
    </w:p>
    <w:p>
      <w:pPr>
        <w:widowControl/>
        <w:ind w:firstLine="480" w:firstLineChars="150"/>
        <w:jc w:val="left"/>
        <w:rPr>
          <w:rFonts w:hint="eastAsia" w:ascii="仿宋" w:hAnsi="仿宋" w:cs="宋体"/>
          <w:color w:val="000000"/>
          <w:kern w:val="0"/>
          <w:sz w:val="32"/>
          <w:szCs w:val="32"/>
        </w:rPr>
      </w:pPr>
      <w:r>
        <w:rPr>
          <w:rFonts w:hint="eastAsia" w:ascii="仿宋" w:hAnsi="仿宋" w:cs="宋体"/>
          <w:color w:val="000000"/>
          <w:kern w:val="0"/>
          <w:sz w:val="32"/>
          <w:szCs w:val="32"/>
        </w:rPr>
        <w:t>四、</w:t>
      </w:r>
      <w:r>
        <w:rPr>
          <w:rFonts w:ascii="仿宋" w:hAnsi="仿宋" w:cs="宋体"/>
          <w:color w:val="000000"/>
          <w:kern w:val="0"/>
          <w:sz w:val="32"/>
          <w:szCs w:val="32"/>
        </w:rPr>
        <w:t xml:space="preserve">“三公”经费：指单位用一般公共预算财政拨款安排的因公出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 </w:t>
      </w:r>
    </w:p>
    <w:p>
      <w:pPr>
        <w:widowControl/>
        <w:ind w:firstLine="480" w:firstLineChars="150"/>
        <w:jc w:val="left"/>
        <w:rPr>
          <w:rFonts w:hint="eastAsia" w:ascii="仿宋" w:hAnsi="仿宋" w:cs="宋体"/>
          <w:color w:val="000000"/>
          <w:kern w:val="0"/>
          <w:sz w:val="32"/>
          <w:szCs w:val="32"/>
        </w:rPr>
      </w:pPr>
      <w:r>
        <w:rPr>
          <w:rFonts w:hint="eastAsia" w:ascii="仿宋" w:hAnsi="仿宋" w:cs="宋体"/>
          <w:color w:val="000000"/>
          <w:kern w:val="0"/>
          <w:sz w:val="32"/>
          <w:szCs w:val="32"/>
        </w:rPr>
        <w:t>五、</w:t>
      </w:r>
      <w:r>
        <w:rPr>
          <w:rFonts w:ascii="仿宋" w:hAnsi="仿宋" w:cs="宋体"/>
          <w:color w:val="000000"/>
          <w:kern w:val="0"/>
          <w:sz w:val="32"/>
          <w:szCs w:val="32"/>
        </w:rPr>
        <w:t xml:space="preserve">对附属单位补助支出：指事业单位用财政拨款收入之外的收入 对附属单位补助发生的支出。 </w:t>
      </w:r>
    </w:p>
    <w:p>
      <w:pPr>
        <w:widowControl/>
        <w:ind w:firstLine="480" w:firstLineChars="150"/>
        <w:jc w:val="left"/>
        <w:rPr>
          <w:rFonts w:hint="eastAsia" w:ascii="仿宋" w:hAnsi="仿宋" w:cs="宋体"/>
          <w:color w:val="000000"/>
          <w:kern w:val="0"/>
          <w:sz w:val="32"/>
          <w:szCs w:val="32"/>
        </w:rPr>
      </w:pPr>
      <w:r>
        <w:rPr>
          <w:rFonts w:hint="eastAsia" w:ascii="仿宋" w:hAnsi="仿宋" w:cs="宋体"/>
          <w:color w:val="000000"/>
          <w:kern w:val="0"/>
          <w:sz w:val="32"/>
          <w:szCs w:val="32"/>
        </w:rPr>
        <w:t>六、</w:t>
      </w:r>
      <w:r>
        <w:rPr>
          <w:rFonts w:ascii="仿宋" w:hAnsi="仿宋" w:cs="宋体"/>
          <w:color w:val="000000"/>
          <w:kern w:val="0"/>
          <w:sz w:val="32"/>
          <w:szCs w:val="32"/>
        </w:rPr>
        <w:t xml:space="preserve">经营支出：指事业单位在专业业务活动及其辅助活动之外开展 非独立核算经营活动发生的支出。 </w:t>
      </w:r>
    </w:p>
    <w:p>
      <w:pPr>
        <w:widowControl/>
        <w:ind w:firstLine="480" w:firstLineChars="150"/>
        <w:jc w:val="left"/>
        <w:rPr>
          <w:rFonts w:ascii="宋体" w:cs="宋体"/>
          <w:kern w:val="0"/>
          <w:sz w:val="24"/>
          <w:szCs w:val="24"/>
        </w:rPr>
      </w:pPr>
      <w:r>
        <w:rPr>
          <w:rFonts w:hint="eastAsia" w:ascii="仿宋" w:hAnsi="仿宋" w:cs="宋体"/>
          <w:color w:val="000000"/>
          <w:kern w:val="0"/>
          <w:sz w:val="32"/>
          <w:szCs w:val="32"/>
        </w:rPr>
        <w:t>七、</w:t>
      </w:r>
      <w:r>
        <w:rPr>
          <w:rFonts w:ascii="仿宋" w:hAnsi="仿宋" w:cs="宋体"/>
          <w:color w:val="000000"/>
          <w:kern w:val="0"/>
          <w:sz w:val="32"/>
          <w:szCs w:val="32"/>
        </w:rPr>
        <w:t>上缴上级支出：指事业单位按照财政部门和主管部门的规定上</w:t>
      </w:r>
    </w:p>
    <w:p>
      <w:pPr>
        <w:widowControl/>
        <w:jc w:val="left"/>
        <w:rPr>
          <w:rFonts w:hint="eastAsia" w:ascii="仿宋" w:hAnsi="仿宋" w:cs="宋体"/>
          <w:color w:val="000000"/>
          <w:kern w:val="0"/>
          <w:sz w:val="32"/>
          <w:szCs w:val="32"/>
        </w:rPr>
      </w:pPr>
      <w:r>
        <w:rPr>
          <w:rFonts w:ascii="仿宋" w:hAnsi="仿宋" w:cs="宋体"/>
          <w:color w:val="000000"/>
          <w:kern w:val="0"/>
          <w:sz w:val="32"/>
          <w:szCs w:val="32"/>
        </w:rPr>
        <w:t xml:space="preserve">缴上级单位的支出。 </w:t>
      </w:r>
    </w:p>
    <w:p>
      <w:pPr>
        <w:widowControl/>
        <w:jc w:val="left"/>
        <w:rPr>
          <w:rFonts w:hint="eastAsia" w:ascii="仿宋" w:hAnsi="仿宋" w:cs="宋体"/>
          <w:color w:val="000000"/>
          <w:kern w:val="0"/>
          <w:sz w:val="32"/>
          <w:szCs w:val="32"/>
        </w:rPr>
      </w:pPr>
      <w:r>
        <w:rPr>
          <w:rFonts w:hint="eastAsia" w:ascii="仿宋" w:hAnsi="仿宋" w:cs="宋体"/>
          <w:color w:val="000000"/>
          <w:kern w:val="0"/>
          <w:sz w:val="32"/>
          <w:szCs w:val="32"/>
        </w:rPr>
        <w:t>八、</w:t>
      </w:r>
      <w:r>
        <w:rPr>
          <w:rFonts w:ascii="仿宋" w:hAnsi="仿宋" w:cs="宋体"/>
          <w:color w:val="000000"/>
          <w:kern w:val="0"/>
          <w:sz w:val="32"/>
          <w:szCs w:val="32"/>
        </w:rPr>
        <w:t>事业收入：指事业单位开展专业业务活动及其辅助活动取得的 收入，事业单位收到的财政专户实际核拨的教育收费等资金在此反映。</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九、</w:t>
      </w:r>
      <w:r>
        <w:rPr>
          <w:rFonts w:ascii="仿宋" w:hAnsi="仿宋" w:cs="宋体"/>
          <w:color w:val="000000"/>
          <w:kern w:val="0"/>
          <w:sz w:val="32"/>
          <w:szCs w:val="32"/>
        </w:rPr>
        <w:t xml:space="preserve">经营收入：指事业单位在专业业务活动及其辅助活动之外开展 非独立核算经营活动取得的收入。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w:t>
      </w:r>
      <w:r>
        <w:rPr>
          <w:rFonts w:ascii="仿宋" w:hAnsi="仿宋" w:cs="宋体"/>
          <w:color w:val="000000"/>
          <w:kern w:val="0"/>
          <w:sz w:val="32"/>
          <w:szCs w:val="32"/>
        </w:rPr>
        <w:t xml:space="preserve">附属单位上缴收入：指事业单位附属独立核算单位按照有关规 定上缴的收入。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十一、</w:t>
      </w:r>
      <w:r>
        <w:rPr>
          <w:rFonts w:ascii="仿宋" w:hAnsi="仿宋" w:cs="宋体"/>
          <w:color w:val="000000"/>
          <w:kern w:val="0"/>
          <w:sz w:val="32"/>
          <w:szCs w:val="32"/>
        </w:rPr>
        <w:t xml:space="preserve">其他收入：指单位取得的除上述“财政拨款收入”、“事业收 入”、“经营收入”等以外的各项收入。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十二、</w:t>
      </w:r>
      <w:r>
        <w:rPr>
          <w:rFonts w:ascii="仿宋" w:hAnsi="仿宋" w:cs="宋体"/>
          <w:color w:val="000000"/>
          <w:kern w:val="0"/>
          <w:sz w:val="32"/>
          <w:szCs w:val="32"/>
        </w:rPr>
        <w:t xml:space="preserve">使用非财政拨款结余：指事业单位使用非财政拨款结余（原事 业基金）弥补当年收支差额的数额。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十三、</w:t>
      </w:r>
      <w:r>
        <w:rPr>
          <w:rFonts w:ascii="仿宋" w:hAnsi="仿宋" w:cs="宋体"/>
          <w:color w:val="000000"/>
          <w:kern w:val="0"/>
          <w:sz w:val="32"/>
          <w:szCs w:val="32"/>
        </w:rPr>
        <w:t xml:space="preserve">年初结转和结余：指单位上年结转本年使用的基本支出结转、 项目支出结转和结余和经营结余。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十四、</w:t>
      </w:r>
      <w:r>
        <w:rPr>
          <w:rFonts w:ascii="仿宋" w:hAnsi="仿宋" w:cs="宋体"/>
          <w:color w:val="000000"/>
          <w:kern w:val="0"/>
          <w:sz w:val="32"/>
          <w:szCs w:val="32"/>
        </w:rPr>
        <w:t xml:space="preserve">结余分配：指事业单位按规定对非财政拨款结余资金提取的专 用基金、缴纳的所得税和转入非财政拨款结余等。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十五、</w:t>
      </w:r>
      <w:r>
        <w:rPr>
          <w:rFonts w:ascii="仿宋" w:hAnsi="仿宋" w:cs="宋体"/>
          <w:color w:val="000000"/>
          <w:kern w:val="0"/>
          <w:sz w:val="32"/>
          <w:szCs w:val="32"/>
        </w:rPr>
        <w:t xml:space="preserve">年末结转和结余资金：指本年度或以前年度预算安排、因客观 条件发生变化无法按原计划实施，需要延迟到以后年度按有关规定继续 使用的资金。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十六、</w:t>
      </w:r>
      <w:r>
        <w:rPr>
          <w:rFonts w:ascii="仿宋" w:hAnsi="仿宋" w:cs="宋体"/>
          <w:color w:val="000000"/>
          <w:kern w:val="0"/>
          <w:sz w:val="32"/>
          <w:szCs w:val="32"/>
        </w:rPr>
        <w:t xml:space="preserve">基本支出：指为保障机构正常运转、完成日常工作任务而发生 的支出，包括人员经费和公用经费。 </w:t>
      </w:r>
    </w:p>
    <w:p>
      <w:pPr>
        <w:widowControl/>
        <w:ind w:firstLine="640" w:firstLineChars="200"/>
        <w:jc w:val="left"/>
        <w:rPr>
          <w:rFonts w:ascii="宋体" w:cs="宋体"/>
          <w:kern w:val="0"/>
          <w:sz w:val="24"/>
          <w:szCs w:val="24"/>
        </w:rPr>
      </w:pPr>
      <w:r>
        <w:rPr>
          <w:rFonts w:hint="eastAsia" w:ascii="仿宋" w:hAnsi="仿宋" w:cs="宋体"/>
          <w:color w:val="000000"/>
          <w:kern w:val="0"/>
          <w:sz w:val="32"/>
          <w:szCs w:val="32"/>
        </w:rPr>
        <w:t>十七、</w:t>
      </w:r>
      <w:r>
        <w:rPr>
          <w:rFonts w:ascii="仿宋" w:hAnsi="仿宋" w:cs="宋体"/>
          <w:color w:val="000000"/>
          <w:kern w:val="0"/>
          <w:sz w:val="32"/>
          <w:szCs w:val="32"/>
        </w:rPr>
        <w:t>项目支出：指在为完成特定的工作任务和事业发展目标所发生 的支出。</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十八、</w:t>
      </w:r>
      <w:r>
        <w:rPr>
          <w:rFonts w:ascii="仿宋" w:hAnsi="仿宋" w:cs="宋体"/>
          <w:color w:val="000000"/>
          <w:kern w:val="0"/>
          <w:sz w:val="32"/>
          <w:szCs w:val="32"/>
        </w:rPr>
        <w:t xml:space="preserve">一般公共服务支出（类）政府办公厅（室）及相关机构事务（款） 行政运行（项）：反映行政单位（包括实行公务员管理的事业单位）的 基本 支出。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十九、</w:t>
      </w:r>
      <w:r>
        <w:rPr>
          <w:rFonts w:ascii="仿宋" w:hAnsi="仿宋" w:cs="宋体"/>
          <w:color w:val="000000"/>
          <w:kern w:val="0"/>
          <w:sz w:val="32"/>
          <w:szCs w:val="32"/>
        </w:rPr>
        <w:t xml:space="preserve">一般公共服务支出（类）政府办公厅（室）及相关机构事务（款） 事业运行（项）：反映事业单位的基本支出，不包括行政单位（包括实 行公务 员管理的事业单位）后勤服务中心、医务室等附属事业单位。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二十、</w:t>
      </w:r>
      <w:r>
        <w:rPr>
          <w:rFonts w:ascii="仿宋" w:hAnsi="仿宋" w:cs="宋体"/>
          <w:color w:val="000000"/>
          <w:kern w:val="0"/>
          <w:sz w:val="32"/>
          <w:szCs w:val="32"/>
        </w:rPr>
        <w:t xml:space="preserve">一般公共服务支出（类）政府办公厅（室）及相关机构事务（款） 其他政府办公厅（室）及相关机构事务支出（项）：反映除上述项目以 外的其他政府办公厅（室）及相关机构事 务支出。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二十一、</w:t>
      </w:r>
      <w:r>
        <w:rPr>
          <w:rFonts w:ascii="仿宋" w:hAnsi="仿宋" w:cs="宋体"/>
          <w:color w:val="000000"/>
          <w:kern w:val="0"/>
          <w:sz w:val="32"/>
          <w:szCs w:val="32"/>
        </w:rPr>
        <w:t xml:space="preserve">社会保障和就业支出（类）行政事业单位养老支出（款）机关 事业单位基本养老保险缴费支出（项）：反映机关事业单位实施养老保 险制度由单位缴纳的基本养老保险费支出。 </w:t>
      </w:r>
    </w:p>
    <w:p>
      <w:pPr>
        <w:widowControl/>
        <w:ind w:firstLine="640" w:firstLineChars="200"/>
        <w:jc w:val="left"/>
        <w:rPr>
          <w:rFonts w:hint="eastAsia" w:ascii="仿宋" w:hAnsi="仿宋" w:cs="宋体"/>
          <w:color w:val="000000"/>
          <w:kern w:val="0"/>
          <w:sz w:val="32"/>
          <w:szCs w:val="32"/>
        </w:rPr>
      </w:pPr>
      <w:r>
        <w:rPr>
          <w:rFonts w:hint="eastAsia" w:ascii="仿宋" w:hAnsi="仿宋" w:cs="宋体"/>
          <w:color w:val="000000"/>
          <w:kern w:val="0"/>
          <w:sz w:val="32"/>
          <w:szCs w:val="32"/>
        </w:rPr>
        <w:t>二十二、</w:t>
      </w:r>
      <w:r>
        <w:rPr>
          <w:rFonts w:ascii="仿宋" w:hAnsi="仿宋" w:cs="宋体"/>
          <w:color w:val="000000"/>
          <w:kern w:val="0"/>
          <w:sz w:val="32"/>
          <w:szCs w:val="32"/>
        </w:rPr>
        <w:t xml:space="preserve">卫生健康支出（类）行政事业单位医疗（款）事业单位医疗（项）： 反映财政部门安排的事业单位基本医疗保险缴费经费，未参 加医疗保 险的事业单位的公费医疗经费，按国家规定享受离休 人员待遇的医疗 经费。 </w:t>
      </w:r>
    </w:p>
    <w:p>
      <w:pPr>
        <w:widowControl/>
        <w:ind w:firstLine="640" w:firstLineChars="200"/>
        <w:jc w:val="left"/>
        <w:rPr>
          <w:rFonts w:ascii="宋体" w:hAnsi="宋体" w:eastAsia="黑体" w:cs="黑体"/>
          <w:color w:val="000000"/>
          <w:kern w:val="0"/>
          <w:sz w:val="28"/>
          <w:szCs w:val="32"/>
        </w:rPr>
      </w:pPr>
      <w:r>
        <w:rPr>
          <w:rFonts w:hint="eastAsia" w:ascii="仿宋" w:hAnsi="仿宋" w:cs="宋体"/>
          <w:color w:val="000000"/>
          <w:kern w:val="0"/>
          <w:sz w:val="32"/>
          <w:szCs w:val="32"/>
        </w:rPr>
        <w:t>二十三、</w:t>
      </w:r>
      <w:r>
        <w:rPr>
          <w:rFonts w:ascii="仿宋" w:hAnsi="仿宋" w:cs="宋体"/>
          <w:color w:val="000000"/>
          <w:kern w:val="0"/>
          <w:sz w:val="32"/>
          <w:szCs w:val="32"/>
        </w:rPr>
        <w:t>资源勘探工业信息等支出（类）制造业（款）其他制造业支出 （项）：反映除上述项目以外其他用于制造业方面的支出。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仿宋" w:eastAsia="仿宋" w:cs="仿宋"/>
          <w:b/>
          <w:bCs/>
          <w:sz w:val="36"/>
          <w:szCs w:val="36"/>
        </w:rPr>
      </w:pPr>
      <w:r>
        <w:rPr>
          <w:rFonts w:hint="eastAsia" w:ascii="仿宋" w:eastAsia="仿宋" w:cs="仿宋"/>
          <w:b/>
          <w:bCs/>
          <w:sz w:val="36"/>
          <w:szCs w:val="36"/>
        </w:rPr>
        <w:t>2021年度道县高新技术产业开发区管理委员会</w:t>
      </w:r>
    </w:p>
    <w:p>
      <w:pPr>
        <w:jc w:val="center"/>
        <w:rPr>
          <w:rFonts w:ascii="仿宋" w:eastAsia="仿宋" w:cs="仿宋"/>
          <w:b/>
          <w:bCs/>
          <w:sz w:val="36"/>
          <w:szCs w:val="36"/>
        </w:rPr>
      </w:pPr>
      <w:r>
        <w:rPr>
          <w:rFonts w:hint="eastAsia" w:ascii="仿宋" w:eastAsia="仿宋" w:cs="仿宋"/>
          <w:b/>
          <w:bCs/>
          <w:sz w:val="36"/>
          <w:szCs w:val="36"/>
        </w:rPr>
        <w:t>绩效评价报告</w:t>
      </w:r>
    </w:p>
    <w:p>
      <w:pPr>
        <w:jc w:val="center"/>
        <w:rPr>
          <w:rFonts w:ascii="仿宋" w:eastAsia="仿宋" w:cs="仿宋"/>
          <w:b/>
          <w:bCs/>
          <w:sz w:val="36"/>
          <w:szCs w:val="36"/>
        </w:rPr>
      </w:pPr>
    </w:p>
    <w:p>
      <w:pPr>
        <w:numPr>
          <w:ilvl w:val="0"/>
          <w:numId w:val="2"/>
        </w:numPr>
        <w:jc w:val="left"/>
        <w:rPr>
          <w:rFonts w:ascii="仿宋" w:eastAsia="仿宋" w:cs="仿宋"/>
          <w:b/>
          <w:bCs/>
          <w:sz w:val="32"/>
          <w:szCs w:val="32"/>
        </w:rPr>
      </w:pPr>
      <w:r>
        <w:rPr>
          <w:rFonts w:hint="eastAsia" w:ascii="仿宋" w:eastAsia="仿宋" w:cs="仿宋"/>
          <w:b/>
          <w:bCs/>
          <w:sz w:val="32"/>
          <w:szCs w:val="32"/>
        </w:rPr>
        <w:t>基本情况</w:t>
      </w:r>
    </w:p>
    <w:p>
      <w:pPr>
        <w:jc w:val="left"/>
        <w:rPr>
          <w:rFonts w:ascii="仿宋" w:eastAsia="仿宋" w:cs="仿宋"/>
          <w:sz w:val="32"/>
          <w:szCs w:val="32"/>
        </w:rPr>
      </w:pPr>
      <w:r>
        <w:rPr>
          <w:rFonts w:hint="eastAsia" w:ascii="仿宋" w:eastAsia="仿宋" w:cs="仿宋"/>
          <w:b/>
          <w:bCs/>
          <w:sz w:val="32"/>
          <w:szCs w:val="32"/>
        </w:rPr>
        <w:t xml:space="preserve">    </w:t>
      </w:r>
      <w:r>
        <w:rPr>
          <w:rFonts w:hint="eastAsia" w:ascii="仿宋" w:eastAsia="仿宋" w:cs="仿宋"/>
          <w:sz w:val="32"/>
          <w:szCs w:val="32"/>
        </w:rPr>
        <w:t>（一）部门（单位）基本情况　　　　</w:t>
      </w:r>
    </w:p>
    <w:p>
      <w:pPr>
        <w:ind w:firstLine="640" w:firstLineChars="200"/>
        <w:rPr>
          <w:rFonts w:ascii="仿宋" w:eastAsia="仿宋" w:cs="仿宋_GB2312"/>
          <w:sz w:val="32"/>
          <w:szCs w:val="32"/>
        </w:rPr>
      </w:pPr>
      <w:r>
        <w:rPr>
          <w:rFonts w:hint="eastAsia" w:ascii="仿宋" w:eastAsia="仿宋" w:cs="仿宋_GB2312"/>
          <w:sz w:val="32"/>
          <w:szCs w:val="32"/>
        </w:rPr>
        <w:t>1．主要职能</w:t>
      </w:r>
    </w:p>
    <w:p>
      <w:pPr>
        <w:widowControl/>
        <w:spacing w:after="2"/>
        <w:ind w:firstLine="640" w:firstLineChars="200"/>
        <w:rPr>
          <w:rFonts w:ascii="仿宋" w:eastAsia="仿宋" w:cs="仿宋_GB2312"/>
          <w:color w:val="000000"/>
          <w:kern w:val="0"/>
          <w:sz w:val="32"/>
          <w:szCs w:val="32"/>
        </w:rPr>
      </w:pPr>
      <w:r>
        <w:rPr>
          <w:rFonts w:hint="eastAsia" w:ascii="仿宋" w:eastAsia="仿宋" w:cs="仿宋_GB2312"/>
          <w:color w:val="000000"/>
          <w:kern w:val="0"/>
          <w:sz w:val="32"/>
          <w:szCs w:val="32"/>
        </w:rPr>
        <w:t>（1）负责贯彻执行党和国家关于高新区的方针政策、法律法规和决策部署。</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（2）负责研究拟订和组织实施道县高新区重大发展战略、发展规划和工作计划。</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（3）按照道县国土空间总体规划和产业发展规划要求及相关权限，负责统筹建设发展空间布局。负责拟订道县高新区发展规划、产业布局、产业政策、项目准入标准等重要事项并组织实施。</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（4）负责道县高新区招商引资工作，组织对外经济技术合作与交流。负责道县高新区基础设施、公用事业、重大项目等建设管理相关工作。</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（5）负责道县高新区优化营商环境工作，根据权限依法承担有关行政审批工作，履行行政审批服务职责。负责构建道县高新区创新创业服务体系，协助企业做好人才引进和服务工作。</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（6）负责道县高新区的科技创新、高新技术产业管理和服务，开展有关科技创新和高新技术产业政策研究，构建技术创新服务体系。指导区内企业建立现代化企业制度，推进高新技术产业化、国际化。</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（7）负责道县高新区党的建设和“两新”组织党建工作。</w:t>
      </w:r>
    </w:p>
    <w:p>
      <w:pPr>
        <w:widowControl/>
        <w:spacing w:after="2"/>
        <w:ind w:firstLine="640"/>
        <w:rPr>
          <w:rFonts w:ascii="仿宋" w:eastAsia="仿宋" w:cs="仿宋_GB2312"/>
          <w:color w:val="000000"/>
          <w:kern w:val="0"/>
          <w:sz w:val="32"/>
          <w:szCs w:val="32"/>
        </w:rPr>
      </w:pPr>
      <w:r>
        <w:rPr>
          <w:rFonts w:hint="eastAsia" w:ascii="仿宋" w:eastAsia="仿宋" w:cs="仿宋_GB2312"/>
          <w:color w:val="000000"/>
          <w:kern w:val="0"/>
          <w:sz w:val="32"/>
          <w:szCs w:val="32"/>
        </w:rPr>
        <w:t>（8）根据有关要求和职责分工，承担道县高新区综合管理、统计、信息、安全生产监督管理、生态环境保护、财政收支管理及国有资产管理等工作。</w:t>
      </w:r>
    </w:p>
    <w:p>
      <w:pPr>
        <w:widowControl/>
        <w:spacing w:after="2"/>
        <w:ind w:firstLine="640"/>
        <w:rPr>
          <w:rFonts w:ascii="仿宋" w:eastAsia="仿宋" w:cs="仿宋_GB2312"/>
          <w:sz w:val="32"/>
          <w:szCs w:val="32"/>
        </w:rPr>
      </w:pPr>
      <w:r>
        <w:rPr>
          <w:rFonts w:hint="eastAsia" w:ascii="仿宋" w:eastAsia="仿宋" w:cs="仿宋_GB2312"/>
          <w:color w:val="000000"/>
          <w:kern w:val="0"/>
          <w:sz w:val="32"/>
          <w:szCs w:val="32"/>
        </w:rPr>
        <w:t>（9）承办市委、市政府和县委、县政府交办的其他事项。</w:t>
      </w:r>
      <w:r>
        <w:rPr>
          <w:rFonts w:hint="eastAsia" w:ascii="仿宋" w:eastAsia="仿宋" w:cs="仿宋_GB2312"/>
          <w:sz w:val="32"/>
          <w:szCs w:val="32"/>
        </w:rPr>
        <w:t xml:space="preserve"> </w:t>
      </w:r>
    </w:p>
    <w:p>
      <w:pPr>
        <w:ind w:firstLine="640" w:firstLineChars="200"/>
        <w:rPr>
          <w:rFonts w:ascii="仿宋" w:eastAsia="仿宋" w:cs="仿宋_GB2312"/>
          <w:sz w:val="32"/>
          <w:szCs w:val="32"/>
        </w:rPr>
      </w:pPr>
      <w:r>
        <w:rPr>
          <w:rFonts w:hint="eastAsia" w:ascii="仿宋" w:eastAsia="仿宋" w:cs="仿宋_GB2312"/>
          <w:sz w:val="32"/>
          <w:szCs w:val="32"/>
        </w:rPr>
        <w:t>2．机构设置</w:t>
      </w:r>
    </w:p>
    <w:p>
      <w:pPr>
        <w:widowControl/>
        <w:spacing w:after="2"/>
        <w:ind w:firstLine="628"/>
        <w:rPr>
          <w:rFonts w:ascii="仿宋" w:eastAsia="仿宋" w:cs="仿宋_GB2312"/>
          <w:kern w:val="0"/>
          <w:szCs w:val="21"/>
        </w:rPr>
      </w:pPr>
      <w:r>
        <w:rPr>
          <w:rFonts w:hint="eastAsia" w:ascii="仿宋" w:eastAsia="仿宋" w:cs="仿宋_GB2312"/>
          <w:sz w:val="32"/>
          <w:szCs w:val="32"/>
        </w:rPr>
        <w:t>道县高新技术产业开发区管理委员会</w:t>
      </w:r>
      <w:r>
        <w:rPr>
          <w:rFonts w:hint="eastAsia" w:ascii="仿宋" w:eastAsia="仿宋" w:cs="仿宋_GB2312"/>
          <w:color w:val="000000"/>
          <w:kern w:val="0"/>
          <w:sz w:val="32"/>
          <w:szCs w:val="32"/>
        </w:rPr>
        <w:t>属副处级单位，事业编制42人，实有人员49人，其中管理人员32人，工勤人员6人，其他人员11人。</w:t>
      </w:r>
    </w:p>
    <w:p>
      <w:pPr>
        <w:jc w:val="left"/>
        <w:rPr>
          <w:rFonts w:ascii="仿宋" w:eastAsia="仿宋" w:cs="仿宋"/>
          <w:sz w:val="32"/>
          <w:szCs w:val="32"/>
        </w:rPr>
      </w:pPr>
      <w:r>
        <w:rPr>
          <w:rFonts w:hint="eastAsia" w:ascii="仿宋" w:eastAsia="仿宋" w:cs="仿宋"/>
          <w:sz w:val="32"/>
          <w:szCs w:val="32"/>
        </w:rPr>
        <w:t xml:space="preserve">    （二）部门（单位）年度整体支出绩效目标，省级专项资金绩效目标、其他项目支出（除省级专项资金以外）绩效目标。</w:t>
      </w:r>
    </w:p>
    <w:p>
      <w:pPr>
        <w:jc w:val="left"/>
        <w:rPr>
          <w:rFonts w:ascii="仿宋" w:eastAsia="仿宋" w:cs="仿宋"/>
          <w:sz w:val="32"/>
          <w:szCs w:val="32"/>
        </w:rPr>
      </w:pPr>
      <w:r>
        <w:rPr>
          <w:rFonts w:hint="eastAsia" w:ascii="仿宋" w:eastAsia="仿宋" w:cs="仿宋"/>
          <w:sz w:val="32"/>
          <w:szCs w:val="32"/>
        </w:rPr>
        <w:t xml:space="preserve">    1.整体支出绩效目标。</w:t>
      </w:r>
    </w:p>
    <w:p>
      <w:pPr>
        <w:jc w:val="left"/>
        <w:rPr>
          <w:rFonts w:ascii="仿宋" w:eastAsia="仿宋" w:cs="仿宋"/>
          <w:sz w:val="32"/>
          <w:szCs w:val="32"/>
        </w:rPr>
      </w:pPr>
      <w:r>
        <w:rPr>
          <w:rFonts w:hint="eastAsia" w:ascii="仿宋" w:eastAsia="仿宋" w:cs="仿宋"/>
          <w:sz w:val="32"/>
          <w:szCs w:val="32"/>
        </w:rPr>
        <w:t xml:space="preserve">    ①强化园区规划。根据园区发展、建设规划和产业政策打造“一主一特”产业。</w:t>
      </w:r>
    </w:p>
    <w:p>
      <w:pPr>
        <w:ind w:firstLine="640" w:firstLineChars="200"/>
        <w:jc w:val="left"/>
        <w:rPr>
          <w:rFonts w:ascii="仿宋" w:eastAsia="仿宋" w:cs="仿宋"/>
          <w:sz w:val="32"/>
          <w:szCs w:val="32"/>
        </w:rPr>
      </w:pPr>
      <w:r>
        <w:rPr>
          <w:rFonts w:hint="eastAsia" w:ascii="仿宋" w:eastAsia="仿宋" w:cs="仿宋"/>
          <w:sz w:val="32"/>
          <w:szCs w:val="32"/>
        </w:rPr>
        <w:t>②加强招商引资。通过商会招商、以商招商等方式主动上门招商，年内完成引进项目17个，竣工项目13个，新增入统规模企业15个，认定高新技术企业15个。</w:t>
      </w:r>
    </w:p>
    <w:p>
      <w:pPr>
        <w:ind w:firstLine="640" w:firstLineChars="200"/>
        <w:jc w:val="left"/>
        <w:rPr>
          <w:rFonts w:ascii="仿宋" w:eastAsia="仿宋" w:cs="仿宋"/>
          <w:sz w:val="32"/>
          <w:szCs w:val="32"/>
        </w:rPr>
      </w:pPr>
      <w:r>
        <w:rPr>
          <w:rFonts w:hint="eastAsia" w:ascii="仿宋" w:eastAsia="仿宋" w:cs="仿宋"/>
          <w:sz w:val="32"/>
          <w:szCs w:val="32"/>
        </w:rPr>
        <w:t>③注重优质服务，构建高效平台。进一步加大全程代办的力度，对园区企业安排一名人员为其专门进行服务，做到提前想到，提前告之，放下架子、全力服务，真正做到一站式、保姆式服务。</w:t>
      </w:r>
    </w:p>
    <w:p>
      <w:pPr>
        <w:ind w:firstLine="640" w:firstLineChars="200"/>
        <w:jc w:val="left"/>
        <w:rPr>
          <w:rFonts w:ascii="仿宋" w:eastAsia="仿宋" w:cs="仿宋"/>
          <w:sz w:val="32"/>
          <w:szCs w:val="32"/>
        </w:rPr>
      </w:pPr>
      <w:r>
        <w:rPr>
          <w:rFonts w:hint="eastAsia" w:ascii="仿宋" w:eastAsia="仿宋" w:cs="仿宋"/>
          <w:sz w:val="32"/>
          <w:szCs w:val="32"/>
        </w:rPr>
        <w:t xml:space="preserve">④做好指导监管。安全生产、环境保护强化企业主体责任，同时对单位所有工作人员实行“一岗双责”。　  </w:t>
      </w:r>
    </w:p>
    <w:p>
      <w:pPr>
        <w:jc w:val="left"/>
        <w:rPr>
          <w:rFonts w:ascii="仿宋" w:eastAsia="仿宋" w:cs="仿宋"/>
          <w:sz w:val="32"/>
          <w:szCs w:val="32"/>
        </w:rPr>
      </w:pPr>
      <w:r>
        <w:rPr>
          <w:rFonts w:hint="eastAsia" w:ascii="仿宋" w:eastAsia="仿宋" w:cs="仿宋"/>
          <w:sz w:val="32"/>
          <w:szCs w:val="32"/>
        </w:rPr>
        <w:t xml:space="preserve">    2.其他项目支出（除省级专项资金以外）绩效目标</w:t>
      </w:r>
    </w:p>
    <w:p>
      <w:pPr>
        <w:jc w:val="left"/>
        <w:rPr>
          <w:rFonts w:ascii="仿宋" w:eastAsia="仿宋" w:cs="仿宋"/>
          <w:sz w:val="32"/>
          <w:szCs w:val="32"/>
        </w:rPr>
      </w:pPr>
      <w:r>
        <w:rPr>
          <w:rFonts w:hint="eastAsia" w:ascii="仿宋" w:eastAsia="仿宋" w:cs="仿宋"/>
          <w:sz w:val="32"/>
          <w:szCs w:val="32"/>
        </w:rPr>
        <w:t xml:space="preserve">   一是中小企业发展资金及产业项目资金等项目绩效目标为充分依托区位、资源优势，下功夫谋划一批科技含量高、有发展前景的产业项目。坚持引进来和走出去并重、引资和引技、引智并举，瞄准“珠三角”，紧盯知名民企、行业领军企业，通过高位嫁接、合资合作、战略重组，引进高新技术企业和高端人才。进一步增强园区经济发展实力和示范带动能力。采取精准招商、专业化招商和委托招商等方式，力争2021年园区新招引投资5000万元项目25个，完成引资额20亿元以上。</w:t>
      </w:r>
    </w:p>
    <w:p>
      <w:pPr>
        <w:ind w:firstLine="640" w:firstLineChars="200"/>
        <w:jc w:val="left"/>
        <w:rPr>
          <w:rFonts w:ascii="仿宋" w:eastAsia="仿宋" w:cs="仿宋"/>
          <w:b/>
          <w:bCs/>
          <w:sz w:val="32"/>
          <w:szCs w:val="32"/>
        </w:rPr>
      </w:pPr>
      <w:r>
        <w:rPr>
          <w:rFonts w:hint="eastAsia" w:ascii="仿宋" w:eastAsia="仿宋" w:cs="仿宋"/>
          <w:sz w:val="32"/>
          <w:szCs w:val="32"/>
        </w:rPr>
        <w:t>二是电子信息产业孵化基地及配套设施项目绩效目标为完成项目用地的土地征收和划拨、项目用地内土石方工程、标准厂房主体工程、部分配套基础设施。</w:t>
      </w:r>
    </w:p>
    <w:p>
      <w:pPr>
        <w:ind w:firstLine="640" w:firstLineChars="200"/>
        <w:jc w:val="left"/>
        <w:rPr>
          <w:rFonts w:ascii="仿宋" w:eastAsia="仿宋" w:cs="仿宋"/>
          <w:b/>
          <w:bCs/>
          <w:sz w:val="32"/>
          <w:szCs w:val="32"/>
        </w:rPr>
      </w:pPr>
      <w:r>
        <w:rPr>
          <w:rFonts w:hint="eastAsia" w:ascii="仿宋" w:eastAsia="仿宋" w:cs="仿宋"/>
          <w:b/>
          <w:bCs/>
          <w:sz w:val="32"/>
          <w:szCs w:val="32"/>
        </w:rPr>
        <w:t>二、一般公共预算支出情况</w:t>
      </w:r>
    </w:p>
    <w:p>
      <w:pPr>
        <w:ind w:firstLine="640" w:firstLineChars="200"/>
        <w:jc w:val="left"/>
        <w:rPr>
          <w:rFonts w:ascii="仿宋" w:eastAsia="仿宋" w:cs="仿宋"/>
          <w:sz w:val="32"/>
          <w:szCs w:val="32"/>
        </w:rPr>
      </w:pPr>
      <w:r>
        <w:rPr>
          <w:rFonts w:hint="eastAsia" w:ascii="仿宋" w:eastAsia="仿宋" w:cs="仿宋"/>
          <w:sz w:val="32"/>
          <w:szCs w:val="32"/>
        </w:rPr>
        <w:t>（一）基本支出情况</w:t>
      </w:r>
    </w:p>
    <w:p>
      <w:pPr>
        <w:ind w:firstLine="640" w:firstLineChars="200"/>
        <w:jc w:val="left"/>
        <w:rPr>
          <w:rFonts w:ascii="仿宋" w:eastAsia="仿宋" w:cs="仿宋"/>
          <w:sz w:val="32"/>
          <w:szCs w:val="32"/>
        </w:rPr>
      </w:pPr>
      <w:r>
        <w:rPr>
          <w:rFonts w:hint="eastAsia" w:ascii="仿宋" w:eastAsia="仿宋" w:cs="仿宋"/>
          <w:sz w:val="32"/>
          <w:szCs w:val="32"/>
        </w:rPr>
        <w:t>　2021年度财政拨款基本支出</w:t>
      </w:r>
      <w:r>
        <w:rPr>
          <w:rFonts w:hint="eastAsia" w:ascii="仿宋" w:eastAsia="仿宋"/>
          <w:sz w:val="32"/>
          <w:szCs w:val="32"/>
        </w:rPr>
        <w:t>733.44</w:t>
      </w:r>
      <w:r>
        <w:rPr>
          <w:rFonts w:hint="eastAsia" w:ascii="仿宋" w:eastAsia="仿宋" w:cs="仿宋"/>
          <w:sz w:val="32"/>
          <w:szCs w:val="32"/>
        </w:rPr>
        <w:t>万元，其中：人员经费509.25万元，占基本支出的69.43%,主要包括基本工资144.83万元、津贴补贴74.86万元、奖金139.65万元、机关事业单位基本养老保险缴费39.56万元、职业年金0.09，职工医疗保险20.67万元、住房公积金2.66万元，其他社会保障缴费5.4万元；公用经费224.19万元，占基本支出的30.57%，主要包括办公费13.32万元、咨询费6万元、水电费3.4万元、邮电费0.08万元、差旅费6.57万元、维护费12.95万元、会议费0.52万元、培训费1.88万元、公务接待费37万元、劳务费5.58万元、工会经费21.68万元、福利费20.73万元、公务用车运行维护费4.15万元、其他交通费用26.88万元、其他商品和服务支出63.47万元。</w:t>
      </w:r>
    </w:p>
    <w:p>
      <w:pPr>
        <w:numPr>
          <w:ilvl w:val="0"/>
          <w:numId w:val="3"/>
        </w:numPr>
        <w:ind w:firstLine="640" w:firstLineChars="200"/>
        <w:jc w:val="left"/>
        <w:rPr>
          <w:rFonts w:ascii="仿宋" w:eastAsia="仿宋" w:cs="仿宋"/>
          <w:sz w:val="32"/>
          <w:szCs w:val="32"/>
        </w:rPr>
      </w:pPr>
      <w:r>
        <w:rPr>
          <w:rFonts w:hint="eastAsia" w:ascii="仿宋" w:eastAsia="仿宋" w:cs="仿宋"/>
          <w:sz w:val="32"/>
          <w:szCs w:val="32"/>
        </w:rPr>
        <w:t>项目支出情况</w:t>
      </w:r>
    </w:p>
    <w:p>
      <w:pPr>
        <w:jc w:val="left"/>
        <w:rPr>
          <w:rFonts w:ascii="仿宋" w:eastAsia="仿宋" w:cs="仿宋"/>
          <w:sz w:val="32"/>
          <w:szCs w:val="32"/>
        </w:rPr>
      </w:pPr>
      <w:r>
        <w:rPr>
          <w:rFonts w:hint="eastAsia" w:ascii="仿宋" w:eastAsia="仿宋" w:cs="仿宋"/>
          <w:sz w:val="32"/>
          <w:szCs w:val="32"/>
        </w:rPr>
        <w:t xml:space="preserve">    2021年度一般公共项目支出80万元，其中科技创新服务平台建设80万，中小企业发展资金及产业项目资金等217万。</w:t>
      </w:r>
    </w:p>
    <w:p>
      <w:pPr>
        <w:numPr>
          <w:ilvl w:val="0"/>
          <w:numId w:val="4"/>
        </w:numPr>
        <w:ind w:firstLine="640" w:firstLineChars="200"/>
        <w:jc w:val="left"/>
        <w:rPr>
          <w:rFonts w:ascii="仿宋" w:eastAsia="仿宋" w:cs="仿宋"/>
          <w:b/>
          <w:bCs/>
          <w:sz w:val="32"/>
          <w:szCs w:val="32"/>
        </w:rPr>
      </w:pPr>
      <w:r>
        <w:rPr>
          <w:rFonts w:hint="eastAsia" w:ascii="仿宋" w:eastAsia="仿宋" w:cs="仿宋"/>
          <w:b/>
          <w:bCs/>
          <w:sz w:val="32"/>
          <w:szCs w:val="32"/>
        </w:rPr>
        <w:t>政府性基金预算支出情况</w:t>
      </w:r>
    </w:p>
    <w:p>
      <w:pPr>
        <w:jc w:val="left"/>
        <w:rPr>
          <w:rFonts w:ascii="仿宋" w:eastAsia="仿宋" w:cs="仿宋"/>
          <w:sz w:val="32"/>
          <w:szCs w:val="32"/>
        </w:rPr>
      </w:pPr>
      <w:r>
        <w:rPr>
          <w:rFonts w:hint="eastAsia" w:ascii="仿宋" w:eastAsia="仿宋" w:cs="仿宋"/>
          <w:sz w:val="32"/>
          <w:szCs w:val="32"/>
        </w:rPr>
        <w:t xml:space="preserve">    本单位2021年度政府性基金预算支出合计19921.76万元，其中电子信息产业孵化基地及配套设施项目支出土地出让金1640万元，中小企业发展资金及产业项目资金18281.76万元。</w:t>
      </w:r>
    </w:p>
    <w:p>
      <w:pPr>
        <w:jc w:val="left"/>
        <w:rPr>
          <w:rFonts w:ascii="仿宋" w:eastAsia="仿宋" w:cs="仿宋"/>
          <w:sz w:val="32"/>
          <w:szCs w:val="32"/>
        </w:rPr>
      </w:pPr>
    </w:p>
    <w:p>
      <w:pPr>
        <w:numPr>
          <w:ilvl w:val="0"/>
          <w:numId w:val="5"/>
        </w:numPr>
        <w:ind w:firstLine="640" w:firstLineChars="200"/>
        <w:jc w:val="left"/>
        <w:rPr>
          <w:rFonts w:ascii="仿宋" w:eastAsia="仿宋" w:cs="仿宋"/>
          <w:b/>
          <w:bCs/>
          <w:sz w:val="32"/>
          <w:szCs w:val="32"/>
        </w:rPr>
      </w:pPr>
      <w:r>
        <w:rPr>
          <w:rFonts w:hint="eastAsia" w:ascii="仿宋" w:eastAsia="仿宋" w:cs="仿宋"/>
          <w:b/>
          <w:bCs/>
          <w:sz w:val="32"/>
          <w:szCs w:val="32"/>
        </w:rPr>
        <w:t>国有资本经营预算支出情况</w:t>
      </w:r>
    </w:p>
    <w:p>
      <w:pPr>
        <w:ind w:firstLine="640" w:firstLineChars="200"/>
        <w:jc w:val="left"/>
        <w:rPr>
          <w:rFonts w:ascii="仿宋" w:eastAsia="仿宋" w:cs="仿宋"/>
          <w:sz w:val="32"/>
          <w:szCs w:val="32"/>
        </w:rPr>
      </w:pPr>
      <w:r>
        <w:rPr>
          <w:rFonts w:hint="eastAsia" w:ascii="仿宋" w:eastAsia="仿宋" w:cs="仿宋"/>
          <w:sz w:val="32"/>
          <w:szCs w:val="32"/>
        </w:rPr>
        <w:t>本单位2021年度无涉及国有资本经营的预算支出。</w:t>
      </w:r>
    </w:p>
    <w:p>
      <w:pPr>
        <w:numPr>
          <w:ilvl w:val="0"/>
          <w:numId w:val="6"/>
        </w:numPr>
        <w:ind w:firstLine="640" w:firstLineChars="200"/>
        <w:jc w:val="left"/>
        <w:rPr>
          <w:rFonts w:ascii="仿宋" w:eastAsia="仿宋" w:cs="仿宋"/>
          <w:b/>
          <w:bCs/>
          <w:sz w:val="32"/>
          <w:szCs w:val="32"/>
        </w:rPr>
      </w:pPr>
      <w:r>
        <w:rPr>
          <w:rFonts w:hint="eastAsia" w:ascii="仿宋" w:eastAsia="仿宋" w:cs="仿宋"/>
          <w:b/>
          <w:bCs/>
          <w:sz w:val="32"/>
          <w:szCs w:val="32"/>
        </w:rPr>
        <w:t>社会保险基金预算支出情况</w:t>
      </w:r>
    </w:p>
    <w:p>
      <w:pPr>
        <w:ind w:firstLine="640" w:firstLineChars="200"/>
        <w:jc w:val="left"/>
        <w:rPr>
          <w:rFonts w:ascii="仿宋" w:eastAsia="仿宋" w:cs="仿宋"/>
          <w:sz w:val="32"/>
          <w:szCs w:val="32"/>
        </w:rPr>
      </w:pPr>
      <w:r>
        <w:rPr>
          <w:rFonts w:hint="eastAsia" w:ascii="仿宋" w:eastAsia="仿宋" w:cs="仿宋"/>
          <w:sz w:val="32"/>
          <w:szCs w:val="32"/>
        </w:rPr>
        <w:t>本单位2021年度无涉及社会保险基金预算支出。</w:t>
      </w:r>
    </w:p>
    <w:p>
      <w:pPr>
        <w:numPr>
          <w:ilvl w:val="0"/>
          <w:numId w:val="7"/>
        </w:numPr>
        <w:ind w:firstLine="640" w:firstLineChars="200"/>
        <w:jc w:val="left"/>
        <w:rPr>
          <w:rFonts w:ascii="仿宋" w:eastAsia="仿宋" w:cs="仿宋"/>
          <w:b/>
          <w:bCs/>
          <w:sz w:val="32"/>
          <w:szCs w:val="32"/>
        </w:rPr>
      </w:pPr>
      <w:r>
        <w:rPr>
          <w:rFonts w:hint="eastAsia" w:ascii="仿宋" w:eastAsia="仿宋" w:cs="仿宋"/>
          <w:b/>
          <w:bCs/>
          <w:sz w:val="32"/>
          <w:szCs w:val="32"/>
        </w:rPr>
        <w:t>部门整体支出绩效情况</w:t>
      </w:r>
    </w:p>
    <w:p>
      <w:pPr>
        <w:spacing w:line="560" w:lineRule="exact"/>
        <w:ind w:firstLine="640" w:firstLineChars="200"/>
        <w:rPr>
          <w:rFonts w:ascii="仿宋" w:eastAsia="仿宋" w:cs="仿宋_GB2312"/>
          <w:sz w:val="32"/>
          <w:szCs w:val="32"/>
        </w:rPr>
      </w:pPr>
      <w:r>
        <w:rPr>
          <w:rFonts w:hint="eastAsia" w:ascii="仿宋" w:eastAsia="仿宋" w:cs="楷体_GB2312"/>
          <w:b/>
          <w:bCs/>
          <w:sz w:val="32"/>
          <w:szCs w:val="32"/>
        </w:rPr>
        <w:t>（一）园区经济呈现新气象。</w:t>
      </w:r>
      <w:r>
        <w:rPr>
          <w:rFonts w:hint="eastAsia" w:ascii="仿宋" w:eastAsia="仿宋" w:cs="仿宋_GB2312"/>
          <w:sz w:val="32"/>
          <w:szCs w:val="32"/>
        </w:rPr>
        <w:t>园区完成规模工业总产值173.18亿元，同比增长43.31%；技工贸总收入206.3亿元，增幅9.53%；规模企业实缴税金3.06亿元，同比增长36.92%；工业增加值增幅14.51%；主导产业营业收入占比69.28%；研发经费生产总值占比3.07%；高新技术产业营业收入占比84.34%；招商引资金额约58.97亿元，增幅33.37%；进出口金额完成14.95亿元，增幅46.57%。2021年新签约投资5000万元以上工业项目26个，其中“一主一特”项目21个，占比80.77%；新开工投资5000万元以上工业项目23个，其中“一主一特”项目19个，占比82.61%；新竣工投资5000万元以上工业项目19个，其中“一主一特”项目15个，占比78.95%；新增入统规模企业16家；新增高新技术企业17家。今年成功培育2家企业（富明户外、仟亿药业）在湖南股权交易所挂牌上市。</w:t>
      </w:r>
    </w:p>
    <w:p>
      <w:pPr>
        <w:spacing w:line="560" w:lineRule="exact"/>
        <w:ind w:firstLine="640" w:firstLineChars="200"/>
        <w:rPr>
          <w:rFonts w:ascii="仿宋" w:eastAsia="仿宋" w:cs="仿宋_GB2312"/>
          <w:sz w:val="32"/>
          <w:szCs w:val="32"/>
        </w:rPr>
      </w:pPr>
      <w:r>
        <w:rPr>
          <w:rFonts w:hint="eastAsia" w:ascii="仿宋" w:eastAsia="仿宋" w:cs="楷体_GB2312"/>
          <w:b/>
          <w:bCs/>
          <w:sz w:val="32"/>
          <w:szCs w:val="32"/>
        </w:rPr>
        <w:t>（二）招商引资取得新成绩。</w:t>
      </w:r>
      <w:r>
        <w:rPr>
          <w:rFonts w:hint="eastAsia" w:ascii="仿宋" w:eastAsia="仿宋" w:cs="仿宋_GB2312"/>
          <w:sz w:val="32"/>
          <w:szCs w:val="32"/>
        </w:rPr>
        <w:t>围绕“一主一特”产业定位，大力开展产业链精准招商。新签约投资5000万元以上工业项目26个，其中“一主一特”项目21个，占比80.77%。</w:t>
      </w:r>
      <w:r>
        <w:rPr>
          <w:rFonts w:hint="eastAsia" w:ascii="仿宋" w:eastAsia="仿宋" w:cs="仿宋_GB2312"/>
          <w:b/>
          <w:bCs/>
          <w:sz w:val="32"/>
          <w:szCs w:val="32"/>
        </w:rPr>
        <w:t>一是</w:t>
      </w:r>
      <w:r>
        <w:rPr>
          <w:rFonts w:hint="eastAsia" w:ascii="仿宋" w:eastAsia="仿宋" w:cs="仿宋_GB2312"/>
          <w:sz w:val="32"/>
          <w:szCs w:val="32"/>
        </w:rPr>
        <w:t>压实责任抓招商。实行县委书记、县长靠前指挥，带头每月轮流外出招商，县高新区主要领导带领招商小分队深入一线广泛招商。</w:t>
      </w:r>
      <w:r>
        <w:rPr>
          <w:rFonts w:hint="eastAsia" w:ascii="仿宋" w:eastAsia="仿宋" w:cs="仿宋_GB2312"/>
          <w:b/>
          <w:bCs/>
          <w:sz w:val="32"/>
          <w:szCs w:val="32"/>
        </w:rPr>
        <w:t>二是</w:t>
      </w:r>
      <w:r>
        <w:rPr>
          <w:rFonts w:hint="eastAsia" w:ascii="仿宋" w:eastAsia="仿宋" w:cs="仿宋_GB2312"/>
          <w:sz w:val="32"/>
          <w:szCs w:val="32"/>
        </w:rPr>
        <w:t>创新方式抓招商。按照“政府专业小分队+市场化”的招商模式，组建了2支由县级领导带队的工业招商小分队，同时聘请了华企云谷等5个第三方机构，紧密对接招商目标企业。</w:t>
      </w:r>
      <w:r>
        <w:rPr>
          <w:rFonts w:hint="eastAsia" w:ascii="仿宋" w:eastAsia="仿宋" w:cs="仿宋_GB2312"/>
          <w:b/>
          <w:bCs/>
          <w:sz w:val="32"/>
          <w:szCs w:val="32"/>
        </w:rPr>
        <w:t>三是</w:t>
      </w:r>
      <w:r>
        <w:rPr>
          <w:rFonts w:hint="eastAsia" w:ascii="仿宋" w:eastAsia="仿宋" w:cs="仿宋_GB2312"/>
          <w:sz w:val="32"/>
          <w:szCs w:val="32"/>
        </w:rPr>
        <w:t>注重实效抓招商。坚持意向项目促签约、签约项目促开工、开工项目促投产，新引进项目明确一个县级领导主抓并实施“五个一”推进和全程帮代办服务机制，从签约开始，入驻标准化厂房的半年内必须投产，供地自建厂房的一年半内必须投产。2021年园区招商引资项目履约率达96.16%，开工率达88.47%、竣工率82.61%。</w:t>
      </w:r>
    </w:p>
    <w:p>
      <w:pPr>
        <w:spacing w:line="560" w:lineRule="exact"/>
        <w:ind w:firstLine="640" w:firstLineChars="200"/>
        <w:rPr>
          <w:rFonts w:ascii="仿宋" w:eastAsia="仿宋" w:cs="仿宋_GB2312"/>
          <w:sz w:val="32"/>
          <w:szCs w:val="32"/>
        </w:rPr>
      </w:pPr>
      <w:r>
        <w:rPr>
          <w:rFonts w:hint="eastAsia" w:ascii="仿宋" w:eastAsia="仿宋" w:cs="楷体_GB2312"/>
          <w:b/>
          <w:bCs/>
          <w:sz w:val="32"/>
          <w:szCs w:val="32"/>
        </w:rPr>
        <w:t>（三）项目建设取得新进展。</w:t>
      </w:r>
      <w:r>
        <w:rPr>
          <w:rFonts w:hint="eastAsia" w:ascii="仿宋" w:eastAsia="仿宋" w:cs="仿宋_GB2312"/>
          <w:b/>
          <w:bCs/>
          <w:sz w:val="32"/>
          <w:szCs w:val="32"/>
        </w:rPr>
        <w:t>一是</w:t>
      </w:r>
      <w:r>
        <w:rPr>
          <w:rFonts w:hint="eastAsia" w:ascii="仿宋" w:eastAsia="仿宋" w:cs="仿宋_GB2312"/>
          <w:sz w:val="32"/>
          <w:szCs w:val="32"/>
        </w:rPr>
        <w:t>主特产业突出。新开工投资5000万元以上工业项目23个，“一主一特”项目19个，占比82.61%；新竣工投产投资5000万元以上工业项目19个，“一主一特”项目15个，占比78.95%。</w:t>
      </w:r>
      <w:r>
        <w:rPr>
          <w:rFonts w:hint="eastAsia" w:ascii="仿宋" w:eastAsia="仿宋" w:cs="仿宋_GB2312"/>
          <w:b/>
          <w:bCs/>
          <w:sz w:val="32"/>
          <w:szCs w:val="32"/>
        </w:rPr>
        <w:t>二是</w:t>
      </w:r>
      <w:r>
        <w:rPr>
          <w:rFonts w:hint="eastAsia" w:ascii="仿宋" w:eastAsia="仿宋" w:cs="仿宋_GB2312"/>
          <w:sz w:val="32"/>
          <w:szCs w:val="32"/>
        </w:rPr>
        <w:t>承载能力显著提升。建成标准厂房约17万平方米，新“135”工程升级版项目约33万平方米完成主体建设。工业污水处理厂投入运营，园区亮化全覆盖，路网进一步完善。完善数字小镇配套建设及项目入驻建设，已入驻企业16家，已投产13家，3家装修中，筹备2022年6月正式开园并举办首届智能制造博览会。</w:t>
      </w:r>
    </w:p>
    <w:p>
      <w:pPr>
        <w:spacing w:line="560" w:lineRule="exact"/>
        <w:ind w:firstLine="640" w:firstLineChars="200"/>
        <w:rPr>
          <w:rFonts w:ascii="仿宋" w:eastAsia="仿宋" w:cs="仿宋_GB2312"/>
          <w:sz w:val="32"/>
          <w:szCs w:val="32"/>
        </w:rPr>
      </w:pPr>
      <w:r>
        <w:rPr>
          <w:rFonts w:hint="eastAsia" w:ascii="仿宋" w:eastAsia="仿宋" w:cs="楷体_GB2312"/>
          <w:b/>
          <w:bCs/>
          <w:sz w:val="32"/>
          <w:szCs w:val="32"/>
        </w:rPr>
        <w:t>（四）营商环境不断优化。</w:t>
      </w:r>
      <w:r>
        <w:rPr>
          <w:rFonts w:hint="eastAsia" w:ascii="仿宋" w:eastAsia="仿宋" w:cs="仿宋_GB2312"/>
          <w:sz w:val="32"/>
          <w:szCs w:val="32"/>
        </w:rPr>
        <w:t>一是切实把服务企业发展摆在首要位置，诚信兑现各项优惠政策。二是持续深化“放管服”改革，推动出台了《道县园区赋权事项清单（试行）》（道政办函〔2021 〕35号），赋权48项审批事项；组建园区全程帮代办中心，代办项目34个，代办事项119件。三是推进全员联企帮扶服务制度。联企人员每周深入企业收集意见建议，建立“一企一策”及时高效解决。四是严格推进落实“双随机一公开”监管和“企业宁静日”制度，涉企检查活动由园区管委会统筹安排。</w:t>
      </w:r>
    </w:p>
    <w:p>
      <w:pPr>
        <w:spacing w:line="560" w:lineRule="exact"/>
        <w:ind w:firstLine="640" w:firstLineChars="200"/>
        <w:rPr>
          <w:rFonts w:ascii="仿宋" w:eastAsia="仿宋" w:cs="仿宋_GB2312"/>
          <w:sz w:val="32"/>
          <w:szCs w:val="32"/>
        </w:rPr>
      </w:pPr>
      <w:r>
        <w:rPr>
          <w:rFonts w:hint="eastAsia" w:ascii="仿宋" w:eastAsia="仿宋" w:cs="楷体_GB2312"/>
          <w:b/>
          <w:bCs/>
          <w:sz w:val="32"/>
          <w:szCs w:val="32"/>
        </w:rPr>
        <w:t>（五）创先争优取得新成效。</w:t>
      </w:r>
      <w:r>
        <w:rPr>
          <w:rFonts w:hint="eastAsia" w:ascii="仿宋" w:eastAsia="仿宋" w:cs="仿宋_GB2312"/>
          <w:sz w:val="32"/>
          <w:szCs w:val="32"/>
        </w:rPr>
        <w:t>在全省“五好”园区评价中排名上升32名，成功承办湖南省电子信息制造业发展工作现场会，道县光电显示及电子元器件产业集群入围湖南省培育先进制造业集群。道县高新区科技创新服务平台、道县高新区省级“双创”基地创新能力分别获省科技厅、省发改委专项资金支持；成功创建湖南省绿色园区；成功申报制造强省专项项目7个，中小企业发展专项项目2个。成功培育2家企业（富明户外、仟亿药业）在湖南股权交易所挂牌上市。湖南美莱珀科技荣获湖南省2021年湖湘高层次人才聚集工程创新团队、湖南省科学技术进步奖二等奖；道县龙威盛、永州凯新鞋业分别获得全国工人先锋号、湖南省工人先锋号；湖南展鸿获得2021年湖南省创新创业大赛初创企业组优秀奖。</w:t>
      </w:r>
    </w:p>
    <w:p>
      <w:pPr>
        <w:ind w:firstLine="640" w:firstLineChars="200"/>
        <w:jc w:val="left"/>
        <w:rPr>
          <w:rFonts w:ascii="仿宋" w:eastAsia="仿宋" w:cs="仿宋"/>
          <w:b/>
          <w:bCs/>
          <w:sz w:val="32"/>
          <w:szCs w:val="32"/>
        </w:rPr>
      </w:pPr>
      <w:r>
        <w:rPr>
          <w:rFonts w:hint="eastAsia" w:ascii="仿宋" w:eastAsia="仿宋" w:cs="仿宋"/>
          <w:b/>
          <w:bCs/>
          <w:sz w:val="32"/>
          <w:szCs w:val="32"/>
        </w:rPr>
        <w:t>七、存在的问题及原因分析</w:t>
      </w:r>
    </w:p>
    <w:p>
      <w:pPr>
        <w:ind w:firstLine="640" w:firstLineChars="200"/>
        <w:jc w:val="left"/>
        <w:rPr>
          <w:rFonts w:ascii="仿宋" w:eastAsia="仿宋" w:cs="仿宋"/>
          <w:sz w:val="32"/>
          <w:szCs w:val="32"/>
        </w:rPr>
      </w:pPr>
      <w:r>
        <w:rPr>
          <w:rFonts w:hint="eastAsia" w:ascii="仿宋" w:eastAsia="仿宋" w:cs="仿宋"/>
          <w:sz w:val="32"/>
          <w:szCs w:val="32"/>
        </w:rPr>
        <w:t>2021年项目支出大于年初预算数，主要原因是原由县财政预算并支付的征地、优惠政策兑现等资金改为由园区管委会支付。</w:t>
      </w:r>
    </w:p>
    <w:p>
      <w:pPr>
        <w:numPr>
          <w:ilvl w:val="0"/>
          <w:numId w:val="8"/>
        </w:numPr>
        <w:ind w:firstLine="640" w:firstLineChars="200"/>
        <w:jc w:val="left"/>
        <w:rPr>
          <w:rFonts w:ascii="仿宋" w:eastAsia="仿宋" w:cs="仿宋"/>
          <w:b/>
          <w:bCs/>
          <w:sz w:val="32"/>
          <w:szCs w:val="32"/>
        </w:rPr>
      </w:pPr>
      <w:r>
        <w:rPr>
          <w:rFonts w:hint="eastAsia" w:ascii="仿宋" w:eastAsia="仿宋" w:cs="仿宋"/>
          <w:b/>
          <w:bCs/>
          <w:sz w:val="32"/>
          <w:szCs w:val="32"/>
        </w:rPr>
        <w:t>下一步改进措施</w:t>
      </w:r>
    </w:p>
    <w:p>
      <w:pPr>
        <w:ind w:firstLine="640" w:firstLineChars="200"/>
        <w:jc w:val="left"/>
        <w:rPr>
          <w:rFonts w:ascii="仿宋" w:eastAsia="仿宋" w:cs="仿宋"/>
          <w:sz w:val="32"/>
          <w:szCs w:val="32"/>
        </w:rPr>
      </w:pPr>
      <w:r>
        <w:rPr>
          <w:rFonts w:ascii="仿宋" w:eastAsia="仿宋" w:cs="仿宋"/>
          <w:sz w:val="32"/>
          <w:szCs w:val="32"/>
        </w:rPr>
        <w:t>（一）加强财务人员业务知识学习及培训。定期参与财政局组织</w:t>
      </w:r>
      <w:r>
        <w:rPr>
          <w:rFonts w:hint="eastAsia" w:ascii="仿宋" w:eastAsia="仿宋" w:cs="仿宋"/>
          <w:sz w:val="32"/>
          <w:szCs w:val="32"/>
        </w:rPr>
        <w:t>的</w:t>
      </w:r>
      <w:r>
        <w:rPr>
          <w:rFonts w:ascii="仿宋" w:eastAsia="仿宋" w:cs="仿宋"/>
          <w:sz w:val="32"/>
          <w:szCs w:val="32"/>
        </w:rPr>
        <w:t>培训会，</w:t>
      </w:r>
      <w:r>
        <w:rPr>
          <w:rFonts w:hint="eastAsia" w:ascii="仿宋" w:eastAsia="仿宋" w:cs="仿宋"/>
          <w:sz w:val="32"/>
          <w:szCs w:val="32"/>
        </w:rPr>
        <w:t>与财政业务股室加强交流，</w:t>
      </w:r>
      <w:r>
        <w:rPr>
          <w:rFonts w:ascii="仿宋" w:eastAsia="仿宋" w:cs="仿宋"/>
          <w:sz w:val="32"/>
          <w:szCs w:val="32"/>
        </w:rPr>
        <w:t>提高业务水平，确保财务日常工作的正常运行。</w:t>
      </w:r>
    </w:p>
    <w:p>
      <w:pPr>
        <w:ind w:firstLine="640" w:firstLineChars="200"/>
        <w:jc w:val="left"/>
        <w:rPr>
          <w:rFonts w:ascii="仿宋" w:eastAsia="仿宋" w:cs="仿宋"/>
          <w:sz w:val="32"/>
          <w:szCs w:val="32"/>
        </w:rPr>
      </w:pPr>
      <w:r>
        <w:rPr>
          <w:rFonts w:ascii="仿宋" w:eastAsia="仿宋" w:cs="仿宋"/>
          <w:sz w:val="32"/>
          <w:szCs w:val="32"/>
        </w:rPr>
        <w:t>（二）</w:t>
      </w:r>
      <w:r>
        <w:rPr>
          <w:rFonts w:hint="eastAsia" w:ascii="仿宋" w:eastAsia="仿宋" w:cs="仿宋"/>
          <w:sz w:val="32"/>
          <w:szCs w:val="32"/>
        </w:rPr>
        <w:t>建立目标明确的绩效管理计划。</w:t>
      </w:r>
    </w:p>
    <w:p>
      <w:pPr>
        <w:ind w:firstLine="640" w:firstLineChars="200"/>
        <w:jc w:val="left"/>
        <w:rPr>
          <w:rFonts w:ascii="仿宋" w:eastAsia="仿宋"/>
        </w:rPr>
      </w:pPr>
      <w:r>
        <w:rPr>
          <w:rFonts w:hint="eastAsia" w:ascii="仿宋" w:eastAsia="仿宋" w:cs="仿宋"/>
          <w:sz w:val="32"/>
          <w:szCs w:val="32"/>
        </w:rPr>
        <w:t>（三）实行全方位绩效评估，评估结果公开。</w:t>
      </w:r>
    </w:p>
    <w:p>
      <w:pPr>
        <w:ind w:firstLine="640" w:firstLineChars="200"/>
        <w:jc w:val="left"/>
        <w:rPr>
          <w:rFonts w:ascii="仿宋" w:eastAsia="仿宋" w:cs="仿宋"/>
          <w:b/>
          <w:bCs/>
          <w:sz w:val="32"/>
          <w:szCs w:val="32"/>
        </w:rPr>
      </w:pPr>
      <w:r>
        <w:rPr>
          <w:rFonts w:hint="eastAsia" w:ascii="仿宋" w:eastAsia="仿宋" w:cs="仿宋"/>
          <w:b/>
          <w:bCs/>
          <w:sz w:val="32"/>
          <w:szCs w:val="32"/>
        </w:rPr>
        <w:t>九、绩效自评结果拟应用和公开情况</w:t>
      </w:r>
    </w:p>
    <w:p>
      <w:pPr>
        <w:ind w:firstLine="640" w:firstLineChars="200"/>
        <w:jc w:val="left"/>
        <w:rPr>
          <w:rFonts w:ascii="仿宋" w:eastAsia="仿宋" w:cs="仿宋"/>
          <w:sz w:val="32"/>
          <w:szCs w:val="32"/>
        </w:rPr>
      </w:pPr>
      <w:r>
        <w:rPr>
          <w:rFonts w:hint="eastAsia" w:ascii="仿宋" w:eastAsia="仿宋" w:cs="仿宋"/>
          <w:sz w:val="32"/>
          <w:szCs w:val="32"/>
        </w:rPr>
        <w:t>本年度绩效自评结果为91分。按财政局有关规定在政府网站公开。</w:t>
      </w:r>
    </w:p>
    <w:p>
      <w:pPr>
        <w:ind w:firstLine="640" w:firstLineChars="200"/>
        <w:jc w:val="center"/>
        <w:rPr>
          <w:rFonts w:ascii="仿宋" w:eastAsia="仿宋"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F7C9A"/>
    <w:multiLevelType w:val="singleLevel"/>
    <w:tmpl w:val="156F7C9A"/>
    <w:lvl w:ilvl="0" w:tentative="0">
      <w:start w:val="2"/>
      <w:numFmt w:val="chineseCounting"/>
      <w:suff w:val="nothing"/>
      <w:lvlText w:val="（%1）"/>
      <w:lvlJc w:val="left"/>
      <w:pPr>
        <w:tabs>
          <w:tab w:val="left" w:pos="0"/>
        </w:tabs>
        <w:ind w:left="0" w:firstLine="0"/>
      </w:pPr>
    </w:lvl>
  </w:abstractNum>
  <w:abstractNum w:abstractNumId="1">
    <w:nsid w:val="1B026286"/>
    <w:multiLevelType w:val="singleLevel"/>
    <w:tmpl w:val="1B026286"/>
    <w:lvl w:ilvl="0" w:tentative="0">
      <w:start w:val="6"/>
      <w:numFmt w:val="chineseCounting"/>
      <w:suff w:val="nothing"/>
      <w:lvlText w:val="%1、"/>
      <w:lvlJc w:val="left"/>
      <w:pPr>
        <w:tabs>
          <w:tab w:val="left" w:pos="0"/>
        </w:tabs>
        <w:ind w:left="0" w:firstLine="0"/>
      </w:pPr>
    </w:lvl>
  </w:abstractNum>
  <w:abstractNum w:abstractNumId="2">
    <w:nsid w:val="1EEB6690"/>
    <w:multiLevelType w:val="singleLevel"/>
    <w:tmpl w:val="1EEB6690"/>
    <w:lvl w:ilvl="0" w:tentative="0">
      <w:start w:val="4"/>
      <w:numFmt w:val="chineseCounting"/>
      <w:suff w:val="nothing"/>
      <w:lvlText w:val="%1、"/>
      <w:lvlJc w:val="left"/>
      <w:pPr>
        <w:tabs>
          <w:tab w:val="left" w:pos="0"/>
        </w:tabs>
        <w:ind w:left="0" w:firstLine="0"/>
      </w:pPr>
    </w:lvl>
  </w:abstractNum>
  <w:abstractNum w:abstractNumId="3">
    <w:nsid w:val="35831F3B"/>
    <w:multiLevelType w:val="singleLevel"/>
    <w:tmpl w:val="35831F3B"/>
    <w:lvl w:ilvl="0" w:tentative="0">
      <w:start w:val="5"/>
      <w:numFmt w:val="chineseCounting"/>
      <w:suff w:val="nothing"/>
      <w:lvlText w:val="%1、"/>
      <w:lvlJc w:val="left"/>
      <w:pPr>
        <w:tabs>
          <w:tab w:val="left" w:pos="0"/>
        </w:tabs>
        <w:ind w:left="0" w:firstLine="0"/>
      </w:pPr>
    </w:lvl>
  </w:abstractNum>
  <w:abstractNum w:abstractNumId="4">
    <w:nsid w:val="3AB87522"/>
    <w:multiLevelType w:val="singleLevel"/>
    <w:tmpl w:val="3AB87522"/>
    <w:lvl w:ilvl="0" w:tentative="0">
      <w:start w:val="1"/>
      <w:numFmt w:val="chineseCounting"/>
      <w:suff w:val="nothing"/>
      <w:lvlText w:val="%1、"/>
      <w:lvlJc w:val="left"/>
      <w:pPr>
        <w:tabs>
          <w:tab w:val="left" w:pos="0"/>
        </w:tabs>
        <w:ind w:left="0" w:firstLine="0"/>
      </w:pPr>
    </w:lvl>
  </w:abstractNum>
  <w:abstractNum w:abstractNumId="5">
    <w:nsid w:val="60753AC6"/>
    <w:multiLevelType w:val="multilevel"/>
    <w:tmpl w:val="60753AC6"/>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6460799C"/>
    <w:multiLevelType w:val="singleLevel"/>
    <w:tmpl w:val="6460799C"/>
    <w:lvl w:ilvl="0" w:tentative="0">
      <w:start w:val="8"/>
      <w:numFmt w:val="chineseCounting"/>
      <w:suff w:val="nothing"/>
      <w:lvlText w:val="%1、"/>
      <w:lvlJc w:val="left"/>
      <w:pPr>
        <w:tabs>
          <w:tab w:val="left" w:pos="0"/>
        </w:tabs>
        <w:ind w:left="0" w:firstLine="0"/>
      </w:pPr>
    </w:lvl>
  </w:abstractNum>
  <w:abstractNum w:abstractNumId="7">
    <w:nsid w:val="689E37BB"/>
    <w:multiLevelType w:val="singleLevel"/>
    <w:tmpl w:val="689E37BB"/>
    <w:lvl w:ilvl="0" w:tentative="0">
      <w:start w:val="3"/>
      <w:numFmt w:val="chineseCounting"/>
      <w:suff w:val="nothing"/>
      <w:lvlText w:val="%1、"/>
      <w:lvlJc w:val="left"/>
      <w:pPr>
        <w:tabs>
          <w:tab w:val="left" w:pos="0"/>
        </w:tabs>
        <w:ind w:left="0" w:firstLine="0"/>
      </w:pPr>
    </w:lvl>
  </w:abstractNum>
  <w:num w:numId="1">
    <w:abstractNumId w:val="5"/>
  </w:num>
  <w:num w:numId="2">
    <w:abstractNumId w:val="4"/>
  </w:num>
  <w:num w:numId="3">
    <w:abstractNumId w:val="0"/>
  </w:num>
  <w:num w:numId="4">
    <w:abstractNumId w:val="7"/>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2"/>
  </w:compat>
  <w:docVars>
    <w:docVar w:name="commondata" w:val="eyJoZGlkIjoiNWE3YTE2NWIwYjFhMDQ0MmViZDRlYjYwZmFmMjQ1ZmYifQ=="/>
  </w:docVars>
  <w:rsids>
    <w:rsidRoot w:val="00775655"/>
    <w:rsid w:val="00101BD1"/>
    <w:rsid w:val="001E5ECA"/>
    <w:rsid w:val="006F4010"/>
    <w:rsid w:val="00775655"/>
    <w:rsid w:val="008B3F1D"/>
    <w:rsid w:val="00EC0E54"/>
    <w:rsid w:val="074937CA"/>
    <w:rsid w:val="14A1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3135</Words>
  <Characters>17870</Characters>
  <Lines>148</Lines>
  <Paragraphs>41</Paragraphs>
  <TotalTime>0</TotalTime>
  <ScaleCrop>false</ScaleCrop>
  <LinksUpToDate>false</LinksUpToDate>
  <CharactersWithSpaces>20964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2023-09-28T05:02:03Z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