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0508">
      <w:pPr>
        <w:pStyle w:val="2"/>
        <w:rPr>
          <w:rFonts w:eastAsia="方正黑体_GBK"/>
          <w:sz w:val="32"/>
        </w:rPr>
      </w:pPr>
      <w:r>
        <w:rPr>
          <w:rFonts w:eastAsia="方正黑体_GBK"/>
          <w:sz w:val="32"/>
        </w:rPr>
        <w:t>附件6</w:t>
      </w:r>
    </w:p>
    <w:p w14:paraId="74E44C5D">
      <w:pPr>
        <w:pStyle w:val="2"/>
        <w:spacing w:after="0" w:line="560" w:lineRule="exact"/>
        <w:jc w:val="center"/>
        <w:rPr>
          <w:rFonts w:eastAsia="仿宋_GB2312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东安县</w:t>
      </w:r>
      <w:r>
        <w:rPr>
          <w:rFonts w:eastAsia="方正小标宋简体"/>
          <w:color w:val="000000"/>
          <w:sz w:val="44"/>
          <w:szCs w:val="44"/>
        </w:rPr>
        <w:t>应急管理行政执法事项清单（行政征用1项）</w:t>
      </w:r>
    </w:p>
    <w:bookmarkEnd w:id="0"/>
    <w:tbl>
      <w:tblPr>
        <w:tblStyle w:val="3"/>
        <w:tblW w:w="524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494"/>
        <w:gridCol w:w="6067"/>
        <w:gridCol w:w="1836"/>
        <w:gridCol w:w="1851"/>
        <w:gridCol w:w="1883"/>
      </w:tblGrid>
      <w:tr w14:paraId="1942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643E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EA9E">
            <w:pPr>
              <w:topLinePunct/>
              <w:adjustRightInd w:val="0"/>
              <w:snapToGrid w:val="0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20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3F56">
            <w:pPr>
              <w:topLinePunct/>
              <w:adjustRightInd w:val="0"/>
              <w:snapToGrid w:val="0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实施依据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7A9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实施主体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C4FB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行使层级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288D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事项备注</w:t>
            </w:r>
          </w:p>
        </w:tc>
      </w:tr>
      <w:tr w14:paraId="566C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48BC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633D">
            <w:pPr>
              <w:topLinePunct/>
              <w:adjustRightInd w:val="0"/>
              <w:snapToGrid w:val="0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根据应急管理需要实施的征用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9F7F">
            <w:pPr>
              <w:topLinePunct/>
              <w:adjustRightInd w:val="0"/>
              <w:snapToGrid w:val="0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1.《中华人民共和国突发事件应对法》（主席令第25号自2024年11月1日起施行）第十二条 2.《中华人民共和国防洪法》第四十五条、第五十一条；3.《中华人民共和国抗旱条例》（国务院令第552号）第四十七条；4.《中华人民共和国防汛条例》（国务院令第86条，2011年1月8日修订）第三十二条；5.《生产安全事故应急条例》第十八条（国务院令第708号）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92A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应急管理部门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91E2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CA28">
            <w:pPr>
              <w:topLinePunct/>
              <w:adjustRightInd w:val="0"/>
              <w:snapToGrid w:val="0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</w:tbl>
    <w:p w14:paraId="0C841C8D">
      <w:pPr>
        <w:pStyle w:val="2"/>
        <w:rPr>
          <w:rFonts w:eastAsia="方正黑体_GBK"/>
          <w:sz w:val="32"/>
        </w:rPr>
      </w:pPr>
    </w:p>
    <w:p w14:paraId="1CF4CA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BD"/>
    <w:rsid w:val="00315ABD"/>
    <w:rsid w:val="007F09B9"/>
    <w:rsid w:val="56A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245</Characters>
  <Lines>6</Lines>
  <Paragraphs>6</Paragraphs>
  <TotalTime>0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2025-03-06T07:16:00Z</dcterms:created>
  <dc:creator>姜雯婕</dc:creator>
  <cp:lastModifiedBy>飘</cp:lastModifiedBy>
  <dcterms:modified xsi:type="dcterms:W3CDTF">2025-03-29T04:12:59Z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eyJoZGlkIjoiZGE2MDU0ZWM3MjA1MjkwOWZiNGFlZjk1ZThhNGM0Y2IiLCJ1c2VySWQiOiI2MDI3NzIxMzEifQ==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93A2D6A4F5134D1F9EB66D13522F0F28_12</vt:lpwstr>
  </property>
</Properties>
</file>