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i w:val="0"/>
          <w:caps w:val="0"/>
          <w:color w:val="333333"/>
          <w:spacing w:val="0"/>
          <w:sz w:val="45"/>
          <w:szCs w:val="45"/>
        </w:rPr>
      </w:pPr>
      <w:r>
        <w:rPr>
          <w:rFonts w:hint="eastAsia" w:ascii="微软雅黑" w:hAnsi="微软雅黑" w:eastAsia="微软雅黑" w:cs="微软雅黑"/>
          <w:b/>
          <w:i w:val="0"/>
          <w:caps w:val="0"/>
          <w:color w:val="333333"/>
          <w:spacing w:val="0"/>
          <w:sz w:val="45"/>
          <w:szCs w:val="45"/>
          <w:shd w:val="clear" w:fill="FFFFFF"/>
          <w:lang w:val="en-US" w:eastAsia="zh-CN"/>
        </w:rPr>
        <w:t>东安</w:t>
      </w:r>
      <w:r>
        <w:rPr>
          <w:rFonts w:hint="eastAsia" w:ascii="微软雅黑" w:hAnsi="微软雅黑" w:eastAsia="微软雅黑" w:cs="微软雅黑"/>
          <w:b/>
          <w:i w:val="0"/>
          <w:caps w:val="0"/>
          <w:color w:val="333333"/>
          <w:spacing w:val="0"/>
          <w:sz w:val="45"/>
          <w:szCs w:val="45"/>
          <w:shd w:val="clear" w:fill="FFFFFF"/>
        </w:rPr>
        <w:t>县应急管理局重大行政执法决定法制审核目录清单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instrText xml:space="preserve"> HYPERLINK "http://www.cnjx.gov.cn/OpennessContent/show/javascript:;" \o "分享到微信" </w:instrTex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instrText xml:space="preserve"> HYPERLINK "http://www.cnjx.gov.cn/OpennessContent/show/javascript:;" \o "分享到新浪微博" </w:instrTex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instrText xml:space="preserve"> HYPERLINK "http://www.cnjx.gov.cn/OpennessContent/show/javascript:;" \o "分享到QQ空间" </w:instrTex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end"/>
      </w:r>
    </w:p>
    <w:tbl>
      <w:tblPr>
        <w:tblStyle w:val="4"/>
        <w:tblW w:w="14156" w:type="dxa"/>
        <w:tblInd w:w="-236" w:type="dxa"/>
        <w:shd w:val="clear" w:color="auto" w:fill="auto"/>
        <w:tblLayout w:type="autofit"/>
        <w:tblCellMar>
          <w:top w:w="0" w:type="dxa"/>
          <w:left w:w="0" w:type="dxa"/>
          <w:bottom w:w="0" w:type="dxa"/>
          <w:right w:w="0" w:type="dxa"/>
        </w:tblCellMar>
      </w:tblPr>
      <w:tblGrid>
        <w:gridCol w:w="881"/>
        <w:gridCol w:w="772"/>
        <w:gridCol w:w="3556"/>
        <w:gridCol w:w="3523"/>
        <w:gridCol w:w="1543"/>
        <w:gridCol w:w="3881"/>
      </w:tblGrid>
      <w:tr>
        <w:tblPrEx>
          <w:shd w:val="clear" w:color="auto" w:fill="auto"/>
          <w:tblCellMar>
            <w:top w:w="0" w:type="dxa"/>
            <w:left w:w="0" w:type="dxa"/>
            <w:bottom w:w="0" w:type="dxa"/>
            <w:right w:w="0" w:type="dxa"/>
          </w:tblCellMar>
        </w:tblPrEx>
        <w:trPr>
          <w:trHeight w:val="84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序号</w:t>
            </w:r>
          </w:p>
        </w:tc>
        <w:tc>
          <w:tcPr>
            <w:tcW w:w="772"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执法项目大类</w:t>
            </w: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审核的具体执法决定项目</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应提交的审核资料</w:t>
            </w: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提交部门</w:t>
            </w:r>
          </w:p>
        </w:tc>
        <w:tc>
          <w:tcPr>
            <w:tcW w:w="3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审核重点</w:t>
            </w:r>
          </w:p>
        </w:tc>
      </w:tr>
      <w:tr>
        <w:tblPrEx>
          <w:shd w:val="clear" w:color="auto" w:fill="auto"/>
          <w:tblCellMar>
            <w:top w:w="0" w:type="dxa"/>
            <w:left w:w="0" w:type="dxa"/>
            <w:bottom w:w="0" w:type="dxa"/>
            <w:right w:w="0" w:type="dxa"/>
          </w:tblCellMar>
        </w:tblPrEx>
        <w:trPr>
          <w:trHeight w:val="1399"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1</w:t>
            </w:r>
          </w:p>
        </w:tc>
        <w:tc>
          <w:tcPr>
            <w:tcW w:w="772"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行政处罚类决定</w:t>
            </w: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对公民处以1000元以上的罚款，对法人或者其他组织处以2万元以上的罚款；没收违法所得或者没收非法财物价值相当于上述规定的数额。</w:t>
            </w:r>
          </w:p>
        </w:tc>
        <w:tc>
          <w:tcPr>
            <w:tcW w:w="3523" w:type="dxa"/>
            <w:vMerge w:val="restart"/>
            <w:tcBorders>
              <w:top w:val="single" w:color="333333" w:sz="6" w:space="0"/>
              <w:left w:val="single" w:color="333333" w:sz="6" w:space="0"/>
              <w:bottom w:val="single" w:color="000000" w:sz="4"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1、现场检查记录、询问笔录等执法文书；</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2、相关证据资料；案件调查终结报告；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3、拟制的行政处罚决定类文书。</w:t>
            </w: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restart"/>
            <w:tcBorders>
              <w:top w:val="single" w:color="333333" w:sz="6" w:space="0"/>
              <w:left w:val="single" w:color="333333" w:sz="6" w:space="0"/>
              <w:bottom w:val="single" w:color="000000" w:sz="4"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（一）行政执法主体是否合法，行政执法人员是否具备执法资格；（二）当事人的基本情况及违法事实是否查清； （三）违法事实是否清楚，证据是否确凿、充分，材料是否齐全；（四）适用法律、法规、规章是否准确，执行裁量基准是否适当；（五）行政执法决定是否适当；（六）程序是否合法，是否充分保障行政相对人权利；（七）是否有超越本机关职权范围或滥用职权的情形；（八）行政执法文书是否规范、齐备；（九）违法行为是否涉嫌犯罪需要移送司法机关；（十）其他依法应当审核的事项。</w:t>
            </w:r>
          </w:p>
        </w:tc>
      </w:tr>
      <w:tr>
        <w:tblPrEx>
          <w:shd w:val="clear" w:color="auto" w:fill="auto"/>
          <w:tblCellMar>
            <w:top w:w="0" w:type="dxa"/>
            <w:left w:w="0" w:type="dxa"/>
            <w:bottom w:w="0" w:type="dxa"/>
            <w:right w:w="0" w:type="dxa"/>
          </w:tblCellMar>
        </w:tblPrEx>
        <w:trPr>
          <w:trHeight w:val="809"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2</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拟做出责令停产停业整顿责令停业决定的。</w:t>
            </w:r>
          </w:p>
        </w:tc>
        <w:tc>
          <w:tcPr>
            <w:tcW w:w="3523"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9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3</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拟做出给予暂扣或者吊销许可证决定的。</w:t>
            </w:r>
          </w:p>
        </w:tc>
        <w:tc>
          <w:tcPr>
            <w:tcW w:w="3523"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9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4</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对发生法律效力的行政执法决定进行纠正，及可能作出行政赔</w:t>
            </w:r>
            <w:bookmarkStart w:id="0" w:name="_GoBack"/>
            <w:bookmarkEnd w:id="0"/>
            <w:r>
              <w:rPr>
                <w:rFonts w:hint="eastAsia" w:ascii="仿宋_GB2312" w:hAnsi="仿宋_GB2312" w:eastAsia="仿宋_GB2312" w:cs="仿宋_GB2312"/>
                <w:kern w:val="0"/>
                <w:sz w:val="21"/>
                <w:szCs w:val="21"/>
                <w:lang w:val="en-US" w:eastAsia="zh-CN" w:bidi="ar"/>
              </w:rPr>
              <w:t>偿或者不予行政赔偿决定的。</w:t>
            </w:r>
          </w:p>
        </w:tc>
        <w:tc>
          <w:tcPr>
            <w:tcW w:w="3523"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9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5</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ascii="仿宋_GB2312" w:hAnsi="仿宋_GB2312" w:eastAsia="仿宋_GB2312" w:cs="仿宋_GB2312"/>
                <w:i w:val="0"/>
                <w:iCs w:val="0"/>
                <w:caps w:val="0"/>
                <w:color w:val="333333"/>
                <w:spacing w:val="0"/>
                <w:sz w:val="21"/>
                <w:szCs w:val="21"/>
              </w:rPr>
              <w:t>直接关系当事人或者第三人重大权益</w:t>
            </w:r>
            <w:r>
              <w:rPr>
                <w:rFonts w:hint="eastAsia" w:ascii="仿宋_GB2312" w:hAnsi="仿宋_GB2312" w:eastAsia="仿宋_GB2312" w:cs="仿宋_GB2312"/>
                <w:i w:val="0"/>
                <w:iCs w:val="0"/>
                <w:caps w:val="0"/>
                <w:color w:val="333333"/>
                <w:spacing w:val="0"/>
                <w:sz w:val="21"/>
                <w:szCs w:val="21"/>
                <w:lang w:eastAsia="zh-CN"/>
              </w:rPr>
              <w:t>，</w:t>
            </w:r>
            <w:r>
              <w:rPr>
                <w:rFonts w:hint="eastAsia" w:ascii="仿宋_GB2312" w:hAnsi="仿宋_GB2312" w:eastAsia="仿宋_GB2312" w:cs="仿宋_GB2312"/>
                <w:kern w:val="0"/>
                <w:sz w:val="21"/>
                <w:szCs w:val="21"/>
                <w:lang w:val="en-US" w:eastAsia="zh-CN" w:bidi="ar"/>
              </w:rPr>
              <w:t>经听证程序后作出的行政处罚决定。</w:t>
            </w:r>
          </w:p>
        </w:tc>
        <w:tc>
          <w:tcPr>
            <w:tcW w:w="3523"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1089"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6</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案件承办机构负责人认为应当提请法制审核的其他涉及重大公共利益、案情复杂，疑难，或者涉及多个法律关系的行政处罚决定。</w:t>
            </w:r>
          </w:p>
        </w:tc>
        <w:tc>
          <w:tcPr>
            <w:tcW w:w="3523"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000000" w:sz="4"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242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7</w:t>
            </w:r>
          </w:p>
        </w:tc>
        <w:tc>
          <w:tcPr>
            <w:tcW w:w="772"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行政强制事项</w:t>
            </w: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封存造成职业病危害事故或者可能导致职业病危害事故发生的材料和设备的。</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1、现场检查记录、询问笔录等执法文书；</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2、相关证据资料；案件调查终结报告；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3、拟制的查封扣押类文书。</w:t>
            </w: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一）行政执法机关主体是否合法，行政执法人员是否具备执法资格；（二）主要事实是否清楚，证据是否确凿、充分；（三）适用法律、法规、规章是否准确；（四）是否符合采取强制措施的条件，程序是否合法，是否充分保障行政相对人权利；（五）是否有超越本机关职权范围或滥用职权的情形；（六）行政执法文书是否规范、齐备；（七）其他依法应当审核的事项。</w:t>
            </w:r>
          </w:p>
        </w:tc>
      </w:tr>
      <w:tr>
        <w:tblPrEx>
          <w:shd w:val="clear" w:color="auto" w:fill="auto"/>
          <w:tblCellMar>
            <w:top w:w="0" w:type="dxa"/>
            <w:left w:w="0" w:type="dxa"/>
            <w:bottom w:w="0" w:type="dxa"/>
            <w:right w:w="0" w:type="dxa"/>
          </w:tblCellMar>
        </w:tblPrEx>
        <w:trPr>
          <w:trHeight w:val="1678"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8</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通知有关单位停止供电、停止供应民用爆炸物品等措施，强制生产经营单位履行决定。</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1、现场检查记录、询问笔录等执法文书；</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        2、相关证据资料；案件调查终结报告；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3、拟制的停止供电、停止供应民用爆炸物品类文书。</w:t>
            </w: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r>
      <w:tr>
        <w:tblPrEx>
          <w:shd w:val="clear" w:color="auto" w:fill="auto"/>
          <w:tblCellMar>
            <w:top w:w="0" w:type="dxa"/>
            <w:left w:w="0" w:type="dxa"/>
            <w:bottom w:w="0" w:type="dxa"/>
            <w:right w:w="0" w:type="dxa"/>
          </w:tblCellMar>
        </w:tblPrEx>
        <w:trPr>
          <w:trHeight w:val="2190" w:hRule="atLeast"/>
        </w:trPr>
        <w:tc>
          <w:tcPr>
            <w:tcW w:w="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9</w:t>
            </w:r>
          </w:p>
        </w:tc>
        <w:tc>
          <w:tcPr>
            <w:tcW w:w="77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rPr>
                <w:rFonts w:hint="eastAsia" w:ascii="仿宋_GB2312" w:hAnsi="仿宋_GB2312" w:eastAsia="仿宋_GB2312" w:cs="仿宋_GB2312"/>
                <w:sz w:val="21"/>
                <w:szCs w:val="21"/>
              </w:rPr>
            </w:pPr>
          </w:p>
        </w:tc>
        <w:tc>
          <w:tcPr>
            <w:tcW w:w="3556"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申请人民法院强制执行。</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1、行政决定书及作出决定的事实、理由和依据；</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2、当事人的意见及行政机关催告情况说明；</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3、申请强制执行的情况说明；</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4、拟制的强制执行申请书。</w:t>
            </w:r>
          </w:p>
        </w:tc>
        <w:tc>
          <w:tcPr>
            <w:tcW w:w="1543"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局机关各科（室）</w:t>
            </w:r>
          </w:p>
        </w:tc>
        <w:tc>
          <w:tcPr>
            <w:tcW w:w="3881" w:type="dxa"/>
            <w:tcBorders>
              <w:top w:val="single" w:color="333333" w:sz="6" w:space="0"/>
              <w:left w:val="single" w:color="333333" w:sz="6" w:space="0"/>
              <w:bottom w:val="single" w:color="333333" w:sz="6" w:space="0"/>
              <w:right w:val="single" w:color="333333"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一）在法定期限内，当事人是否已申请行政复议或者提起行政诉讼；（二）是否已按规定时限下达《行政强制执行事先催告书》；（三）是否有查封、扣押的财物可依法拍卖抵缴罚款；（四）申请强制执行是否符合其它法定条件。（五）其他依法应当审核的事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WViNWQ4YWVkOTZkOGMwNjgwODcyYzYyNWE5YzgifQ=="/>
  </w:docVars>
  <w:rsids>
    <w:rsidRoot w:val="69AB086F"/>
    <w:rsid w:val="03970F65"/>
    <w:rsid w:val="15A401BC"/>
    <w:rsid w:val="1ED96C15"/>
    <w:rsid w:val="2DFD3561"/>
    <w:rsid w:val="52012BC9"/>
    <w:rsid w:val="533D20D0"/>
    <w:rsid w:val="60517ACF"/>
    <w:rsid w:val="612F2F10"/>
    <w:rsid w:val="69AB086F"/>
    <w:rsid w:val="7F6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1292</Words>
  <Characters>1295</Characters>
  <Lines>0</Lines>
  <Paragraphs>0</Paragraphs>
  <TotalTime>20</TotalTime>
  <ScaleCrop>false</ScaleCrop>
  <LinksUpToDate>false</LinksUpToDate>
  <CharactersWithSpaces>1316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2020-08-05T06:24:00Z</dcterms:created>
  <dc:creator>刘志</dc:creator>
  <cp:lastModifiedBy>ᶠᶸᶜᵏ ᵧₒᵤ°海洋℡</cp:lastModifiedBy>
  <cp:lastPrinted>2021-09-24T01:09:00Z</cp:lastPrinted>
  <dcterms:modified xsi:type="dcterms:W3CDTF">2023-07-11T08:28:54Z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ECE55E597AFB466996510845615CCAA9</vt:lpwstr>
  </property>
</Properties>
</file>