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ABDB5D6">
      <w:pPr>
        <w:adjustRightInd w:val="0"/>
        <w:spacing w:line="600" w:lineRule="exact"/>
        <w:jc w:val="center"/>
        <w:rPr>
          <w:rFonts w:eastAsia="方正小标宋_GBK"/>
          <w:sz w:val="36"/>
          <w:szCs w:val="36"/>
        </w:rPr>
      </w:pPr>
      <w:r>
        <w:rPr>
          <w:rFonts w:hint="eastAsia" w:eastAsia="方正小标宋_GBK"/>
          <w:sz w:val="36"/>
          <w:szCs w:val="36"/>
        </w:rPr>
        <w:t>202</w:t>
      </w:r>
      <w:r>
        <w:rPr>
          <w:rFonts w:hint="eastAsia" w:eastAsia="方正小标宋_GBK"/>
          <w:sz w:val="36"/>
          <w:szCs w:val="36"/>
          <w:lang w:val="en-US" w:eastAsia="zh-CN"/>
        </w:rPr>
        <w:t>5</w:t>
      </w:r>
      <w:r>
        <w:rPr>
          <w:rFonts w:hint="eastAsia" w:eastAsia="方正小标宋_GBK"/>
          <w:sz w:val="36"/>
          <w:szCs w:val="36"/>
        </w:rPr>
        <w:t>年度</w:t>
      </w:r>
      <w:r>
        <w:rPr>
          <w:rFonts w:hint="eastAsia" w:ascii="仿宋" w:hAnsi="仿宋" w:eastAsia="仿宋"/>
          <w:b/>
          <w:sz w:val="36"/>
          <w:szCs w:val="36"/>
          <w:u w:val="single"/>
        </w:rPr>
        <w:t>（大盛中学）</w:t>
      </w:r>
      <w:r>
        <w:rPr>
          <w:rFonts w:hint="eastAsia" w:eastAsia="方正小标宋_GBK"/>
          <w:sz w:val="36"/>
          <w:szCs w:val="36"/>
        </w:rPr>
        <w:t>部门整体</w:t>
      </w:r>
      <w:r>
        <w:rPr>
          <w:rFonts w:eastAsia="方正小标宋_GBK"/>
          <w:sz w:val="36"/>
          <w:szCs w:val="36"/>
        </w:rPr>
        <w:t>支出绩效</w:t>
      </w:r>
      <w:r>
        <w:rPr>
          <w:rFonts w:hint="eastAsia" w:eastAsia="方正小标宋_GBK"/>
          <w:sz w:val="36"/>
          <w:szCs w:val="36"/>
        </w:rPr>
        <w:t>评价</w:t>
      </w:r>
      <w:r>
        <w:rPr>
          <w:rFonts w:eastAsia="方正小标宋_GBK"/>
          <w:sz w:val="36"/>
          <w:szCs w:val="36"/>
        </w:rPr>
        <w:t>报告</w:t>
      </w:r>
    </w:p>
    <w:p w14:paraId="22DCF8F2">
      <w:pPr>
        <w:adjustRightInd w:val="0"/>
        <w:snapToGrid w:val="0"/>
        <w:spacing w:line="600" w:lineRule="exact"/>
        <w:ind w:firstLine="640" w:firstLineChars="200"/>
        <w:rPr>
          <w:rFonts w:eastAsia="黑体"/>
          <w:sz w:val="32"/>
          <w:szCs w:val="32"/>
        </w:rPr>
      </w:pPr>
      <w:r>
        <w:rPr>
          <w:rFonts w:eastAsia="黑体"/>
          <w:sz w:val="32"/>
          <w:szCs w:val="32"/>
        </w:rPr>
        <w:t>一、</w:t>
      </w:r>
      <w:r>
        <w:rPr>
          <w:rFonts w:hint="eastAsia" w:eastAsia="黑体"/>
          <w:sz w:val="32"/>
          <w:szCs w:val="32"/>
        </w:rPr>
        <w:t>部门</w:t>
      </w:r>
      <w:r>
        <w:rPr>
          <w:rFonts w:eastAsia="黑体"/>
          <w:sz w:val="32"/>
          <w:szCs w:val="32"/>
        </w:rPr>
        <w:t>概况</w:t>
      </w:r>
    </w:p>
    <w:p w14:paraId="03458810">
      <w:pPr>
        <w:adjustRightInd w:val="0"/>
        <w:snapToGrid w:val="0"/>
        <w:spacing w:line="600" w:lineRule="exact"/>
        <w:ind w:firstLine="640" w:firstLineChars="200"/>
        <w:rPr>
          <w:rFonts w:hint="eastAsia" w:ascii="仿宋" w:hAnsi="仿宋" w:eastAsia="仿宋"/>
          <w:color w:val="333333"/>
          <w:kern w:val="0"/>
          <w:sz w:val="32"/>
          <w:szCs w:val="32"/>
        </w:rPr>
      </w:pPr>
      <w:r>
        <w:rPr>
          <w:rFonts w:hint="eastAsia" w:ascii="仿宋" w:hAnsi="仿宋" w:eastAsia="仿宋"/>
          <w:color w:val="333333"/>
          <w:kern w:val="0"/>
          <w:sz w:val="32"/>
          <w:szCs w:val="32"/>
        </w:rPr>
        <w:t>东安县井大盛镇大盛中学隶属于东安县教育局，是一所全额拨款事业单位，主要职责是实施三年初中义务教育，促进基础教育发展。学校内设机构</w:t>
      </w:r>
      <w:r>
        <w:rPr>
          <w:rFonts w:ascii="仿宋" w:hAnsi="仿宋" w:eastAsia="仿宋"/>
          <w:color w:val="333333"/>
          <w:kern w:val="0"/>
          <w:sz w:val="32"/>
          <w:szCs w:val="32"/>
        </w:rPr>
        <w:t>3</w:t>
      </w:r>
      <w:r>
        <w:rPr>
          <w:rFonts w:hint="eastAsia" w:ascii="仿宋" w:hAnsi="仿宋" w:eastAsia="仿宋"/>
          <w:color w:val="333333"/>
          <w:kern w:val="0"/>
          <w:sz w:val="32"/>
          <w:szCs w:val="32"/>
        </w:rPr>
        <w:t>个：教导室、安保室、总务室， 202</w:t>
      </w:r>
      <w:r>
        <w:rPr>
          <w:rFonts w:hint="eastAsia" w:ascii="仿宋" w:hAnsi="仿宋" w:eastAsia="仿宋"/>
          <w:color w:val="333333"/>
          <w:kern w:val="0"/>
          <w:sz w:val="32"/>
          <w:szCs w:val="32"/>
          <w:lang w:val="en-US" w:eastAsia="zh-CN"/>
        </w:rPr>
        <w:t>5</w:t>
      </w:r>
      <w:r>
        <w:rPr>
          <w:rFonts w:hint="eastAsia" w:ascii="仿宋" w:hAnsi="仿宋" w:eastAsia="仿宋"/>
          <w:color w:val="333333"/>
          <w:kern w:val="0"/>
          <w:sz w:val="32"/>
          <w:szCs w:val="32"/>
        </w:rPr>
        <w:t>年9月中小学在校学生</w:t>
      </w:r>
      <w:r>
        <w:rPr>
          <w:rFonts w:hint="eastAsia" w:ascii="仿宋" w:hAnsi="仿宋" w:eastAsia="仿宋"/>
          <w:color w:val="333333"/>
          <w:kern w:val="0"/>
          <w:sz w:val="32"/>
          <w:szCs w:val="32"/>
          <w:lang w:val="en-US" w:eastAsia="zh-CN"/>
        </w:rPr>
        <w:t>174</w:t>
      </w:r>
      <w:r>
        <w:rPr>
          <w:rFonts w:hint="eastAsia" w:ascii="仿宋" w:hAnsi="仿宋" w:eastAsia="仿宋"/>
          <w:color w:val="333333"/>
          <w:kern w:val="0"/>
          <w:sz w:val="32"/>
          <w:szCs w:val="32"/>
        </w:rPr>
        <w:t xml:space="preserve"> 人；在职教职工</w:t>
      </w:r>
      <w:r>
        <w:rPr>
          <w:rFonts w:hint="eastAsia" w:ascii="仿宋" w:hAnsi="仿宋" w:eastAsia="仿宋"/>
          <w:color w:val="333333"/>
          <w:kern w:val="0"/>
          <w:sz w:val="32"/>
          <w:szCs w:val="32"/>
          <w:lang w:val="en-US" w:eastAsia="zh-CN"/>
        </w:rPr>
        <w:t>25</w:t>
      </w:r>
      <w:r>
        <w:rPr>
          <w:rFonts w:hint="eastAsia" w:ascii="仿宋" w:hAnsi="仿宋" w:eastAsia="仿宋"/>
          <w:color w:val="333333"/>
          <w:kern w:val="0"/>
          <w:sz w:val="32"/>
          <w:szCs w:val="32"/>
        </w:rPr>
        <w:t>人，退休教职工3</w:t>
      </w:r>
      <w:r>
        <w:rPr>
          <w:rFonts w:hint="eastAsia" w:ascii="仿宋" w:hAnsi="仿宋" w:eastAsia="仿宋"/>
          <w:color w:val="333333"/>
          <w:kern w:val="0"/>
          <w:sz w:val="32"/>
          <w:szCs w:val="32"/>
          <w:lang w:val="en-US" w:eastAsia="zh-CN"/>
        </w:rPr>
        <w:t>5</w:t>
      </w:r>
      <w:r>
        <w:rPr>
          <w:rFonts w:hint="eastAsia" w:ascii="仿宋" w:hAnsi="仿宋" w:eastAsia="仿宋"/>
          <w:color w:val="333333"/>
          <w:kern w:val="0"/>
          <w:sz w:val="32"/>
          <w:szCs w:val="32"/>
        </w:rPr>
        <w:t xml:space="preserve"> 人。</w:t>
      </w:r>
    </w:p>
    <w:p w14:paraId="3C4041B6">
      <w:pPr>
        <w:adjustRightInd w:val="0"/>
        <w:snapToGrid w:val="0"/>
        <w:spacing w:line="600" w:lineRule="exact"/>
        <w:ind w:firstLine="640" w:firstLineChars="200"/>
        <w:rPr>
          <w:rFonts w:eastAsia="黑体"/>
          <w:sz w:val="32"/>
          <w:szCs w:val="32"/>
        </w:rPr>
      </w:pPr>
      <w:r>
        <w:rPr>
          <w:rFonts w:eastAsia="黑体"/>
          <w:sz w:val="32"/>
          <w:szCs w:val="32"/>
        </w:rPr>
        <w:t>二、</w:t>
      </w:r>
      <w:r>
        <w:rPr>
          <w:rFonts w:hint="eastAsia" w:eastAsia="黑体"/>
          <w:sz w:val="32"/>
          <w:szCs w:val="32"/>
        </w:rPr>
        <w:t>部门整体支出</w:t>
      </w:r>
      <w:r>
        <w:rPr>
          <w:rFonts w:eastAsia="黑体"/>
          <w:sz w:val="32"/>
          <w:szCs w:val="32"/>
        </w:rPr>
        <w:t>使用情况</w:t>
      </w:r>
    </w:p>
    <w:p w14:paraId="65762520">
      <w:pPr>
        <w:adjustRightInd w:val="0"/>
        <w:snapToGrid w:val="0"/>
        <w:spacing w:line="600" w:lineRule="exact"/>
        <w:ind w:firstLine="643" w:firstLineChars="200"/>
        <w:rPr>
          <w:rFonts w:ascii="楷体_GB2312" w:eastAsia="楷体_GB2312"/>
          <w:b/>
          <w:sz w:val="32"/>
          <w:szCs w:val="32"/>
        </w:rPr>
      </w:pPr>
      <w:r>
        <w:rPr>
          <w:rFonts w:hint="eastAsia" w:ascii="楷体_GB2312" w:eastAsia="楷体_GB2312"/>
          <w:b/>
          <w:sz w:val="32"/>
          <w:szCs w:val="32"/>
        </w:rPr>
        <w:t>（一）基本收支情况</w:t>
      </w:r>
    </w:p>
    <w:p w14:paraId="041F5A66">
      <w:pPr>
        <w:pStyle w:val="7"/>
        <w:shd w:val="clear" w:color="auto" w:fill="FFFFFF"/>
        <w:spacing w:before="0" w:beforeAutospacing="0" w:after="150" w:afterAutospacing="0" w:line="450" w:lineRule="atLeast"/>
        <w:ind w:firstLine="640" w:firstLineChars="200"/>
        <w:rPr>
          <w:rFonts w:hint="eastAsia" w:ascii="仿宋" w:hAnsi="仿宋" w:eastAsia="仿宋" w:cs="Times New Roman"/>
          <w:color w:val="333333"/>
          <w:kern w:val="2"/>
          <w:sz w:val="32"/>
          <w:szCs w:val="32"/>
          <w:shd w:val="clear" w:color="auto" w:fill="FFFFFF"/>
        </w:rPr>
      </w:pPr>
      <w:r>
        <w:rPr>
          <w:rFonts w:hint="eastAsia" w:ascii="仿宋" w:hAnsi="仿宋" w:eastAsia="仿宋" w:cs="Times New Roman"/>
          <w:color w:val="333333"/>
          <w:kern w:val="2"/>
          <w:sz w:val="32"/>
          <w:szCs w:val="32"/>
          <w:shd w:val="clear" w:color="auto" w:fill="FFFFFF"/>
        </w:rPr>
        <w:t>部门财政资金收入情况：</w:t>
      </w:r>
      <w:r>
        <w:rPr>
          <w:rFonts w:hint="eastAsia" w:ascii="仿宋" w:hAnsi="仿宋" w:eastAsia="仿宋" w:cs="Times New Roman"/>
          <w:color w:val="333333"/>
          <w:kern w:val="2"/>
          <w:sz w:val="32"/>
          <w:szCs w:val="32"/>
          <w:shd w:val="clear" w:color="auto" w:fill="FFFFFF"/>
          <w:lang w:eastAsia="zh-CN"/>
        </w:rPr>
        <w:t>2025</w:t>
      </w:r>
      <w:r>
        <w:rPr>
          <w:rFonts w:hint="eastAsia" w:ascii="仿宋" w:hAnsi="仿宋" w:eastAsia="仿宋" w:cs="Times New Roman"/>
          <w:color w:val="333333"/>
          <w:kern w:val="2"/>
          <w:sz w:val="32"/>
          <w:szCs w:val="32"/>
          <w:shd w:val="clear" w:color="auto" w:fill="FFFFFF"/>
        </w:rPr>
        <w:t>年学校财政资金年初预算</w:t>
      </w:r>
      <w:r>
        <w:rPr>
          <w:rFonts w:hint="eastAsia" w:ascii="仿宋" w:hAnsi="仿宋" w:eastAsia="仿宋" w:cs="Times New Roman"/>
          <w:color w:val="333333"/>
          <w:kern w:val="2"/>
          <w:sz w:val="32"/>
          <w:szCs w:val="32"/>
          <w:shd w:val="clear" w:color="auto" w:fill="FFFFFF"/>
          <w:lang w:val="en-US" w:eastAsia="zh-CN"/>
        </w:rPr>
        <w:t>333.93</w:t>
      </w:r>
      <w:r>
        <w:rPr>
          <w:rFonts w:hint="eastAsia" w:ascii="仿宋" w:hAnsi="仿宋" w:eastAsia="仿宋" w:cs="Times New Roman"/>
          <w:color w:val="333333"/>
          <w:kern w:val="2"/>
          <w:sz w:val="32"/>
          <w:szCs w:val="32"/>
          <w:shd w:val="clear" w:color="auto" w:fill="FFFFFF"/>
        </w:rPr>
        <w:t xml:space="preserve">万元，全年实际预算收入 </w:t>
      </w:r>
      <w:r>
        <w:rPr>
          <w:rFonts w:hint="eastAsia" w:ascii="仿宋" w:hAnsi="仿宋" w:eastAsia="仿宋" w:cs="Times New Roman"/>
          <w:color w:val="333333"/>
          <w:kern w:val="2"/>
          <w:sz w:val="32"/>
          <w:szCs w:val="32"/>
          <w:shd w:val="clear" w:color="auto" w:fill="FFFFFF"/>
          <w:lang w:val="en-US" w:eastAsia="zh-CN"/>
        </w:rPr>
        <w:t>785.70</w:t>
      </w:r>
      <w:r>
        <w:rPr>
          <w:rFonts w:hint="eastAsia" w:ascii="仿宋" w:hAnsi="仿宋" w:eastAsia="仿宋" w:cs="Times New Roman"/>
          <w:color w:val="333333"/>
          <w:kern w:val="2"/>
          <w:sz w:val="32"/>
          <w:szCs w:val="32"/>
          <w:shd w:val="clear" w:color="auto" w:fill="FFFFFF"/>
        </w:rPr>
        <w:t>万元， 其中一般公共预算</w:t>
      </w:r>
      <w:r>
        <w:rPr>
          <w:rFonts w:hint="eastAsia" w:ascii="仿宋" w:hAnsi="仿宋" w:eastAsia="仿宋" w:cs="Times New Roman"/>
          <w:color w:val="333333"/>
          <w:kern w:val="2"/>
          <w:sz w:val="32"/>
          <w:szCs w:val="32"/>
          <w:shd w:val="clear" w:color="auto" w:fill="FFFFFF"/>
          <w:lang w:val="en-US" w:eastAsia="zh-CN"/>
        </w:rPr>
        <w:t>财政</w:t>
      </w:r>
      <w:r>
        <w:rPr>
          <w:rFonts w:hint="eastAsia" w:ascii="仿宋" w:hAnsi="仿宋" w:eastAsia="仿宋" w:cs="Times New Roman"/>
          <w:color w:val="333333"/>
          <w:kern w:val="2"/>
          <w:sz w:val="32"/>
          <w:szCs w:val="32"/>
          <w:shd w:val="clear" w:color="auto" w:fill="FFFFFF"/>
        </w:rPr>
        <w:t>拨款</w:t>
      </w:r>
      <w:r>
        <w:rPr>
          <w:rFonts w:hint="eastAsia" w:ascii="仿宋" w:hAnsi="仿宋" w:eastAsia="仿宋" w:cs="Times New Roman"/>
          <w:color w:val="333333"/>
          <w:kern w:val="2"/>
          <w:sz w:val="32"/>
          <w:szCs w:val="32"/>
          <w:shd w:val="clear" w:color="auto" w:fill="FFFFFF"/>
          <w:lang w:val="en-US" w:eastAsia="zh-CN"/>
        </w:rPr>
        <w:t>749.7</w:t>
      </w:r>
      <w:r>
        <w:rPr>
          <w:rFonts w:hint="eastAsia" w:ascii="仿宋" w:hAnsi="仿宋" w:eastAsia="仿宋" w:cs="Times New Roman"/>
          <w:color w:val="333333"/>
          <w:kern w:val="2"/>
          <w:sz w:val="32"/>
          <w:szCs w:val="32"/>
          <w:shd w:val="clear" w:color="auto" w:fill="FFFFFF"/>
        </w:rPr>
        <w:t>万元。</w:t>
      </w:r>
    </w:p>
    <w:p w14:paraId="7E3AB15E">
      <w:pPr>
        <w:pStyle w:val="7"/>
        <w:shd w:val="clear" w:color="auto" w:fill="FFFFFF"/>
        <w:spacing w:before="0" w:beforeAutospacing="0" w:after="150" w:afterAutospacing="0" w:line="450" w:lineRule="atLeast"/>
        <w:ind w:firstLine="640" w:firstLineChars="200"/>
        <w:rPr>
          <w:rFonts w:hint="eastAsia" w:ascii="仿宋" w:hAnsi="仿宋" w:eastAsia="仿宋" w:cs="Times New Roman"/>
          <w:color w:val="333333"/>
          <w:kern w:val="2"/>
          <w:sz w:val="32"/>
          <w:szCs w:val="32"/>
          <w:shd w:val="clear" w:color="auto" w:fill="FFFFFF"/>
        </w:rPr>
      </w:pPr>
      <w:r>
        <w:rPr>
          <w:rFonts w:hint="eastAsia" w:ascii="仿宋" w:hAnsi="仿宋" w:eastAsia="仿宋" w:cs="Times New Roman"/>
          <w:color w:val="333333"/>
          <w:kern w:val="2"/>
          <w:sz w:val="32"/>
          <w:szCs w:val="32"/>
          <w:shd w:val="clear" w:color="auto" w:fill="FFFFFF"/>
        </w:rPr>
        <w:t>部门财政资金支出情况：</w:t>
      </w:r>
      <w:r>
        <w:rPr>
          <w:rFonts w:hint="eastAsia" w:ascii="仿宋" w:hAnsi="仿宋" w:eastAsia="仿宋" w:cs="Times New Roman"/>
          <w:color w:val="333333"/>
          <w:kern w:val="2"/>
          <w:sz w:val="32"/>
          <w:szCs w:val="32"/>
          <w:shd w:val="clear" w:color="auto" w:fill="FFFFFF"/>
          <w:lang w:eastAsia="zh-CN"/>
        </w:rPr>
        <w:t>2025</w:t>
      </w:r>
      <w:r>
        <w:rPr>
          <w:rFonts w:hint="eastAsia" w:ascii="仿宋" w:hAnsi="仿宋" w:eastAsia="仿宋" w:cs="Times New Roman"/>
          <w:color w:val="333333"/>
          <w:kern w:val="2"/>
          <w:sz w:val="32"/>
          <w:szCs w:val="32"/>
          <w:shd w:val="clear" w:color="auto" w:fill="FFFFFF"/>
        </w:rPr>
        <w:t>年财政拨款资金支出共计</w:t>
      </w:r>
      <w:r>
        <w:rPr>
          <w:rFonts w:hint="eastAsia" w:ascii="仿宋" w:hAnsi="仿宋" w:eastAsia="仿宋" w:cs="Times New Roman"/>
          <w:color w:val="333333"/>
          <w:kern w:val="2"/>
          <w:sz w:val="32"/>
          <w:szCs w:val="32"/>
          <w:shd w:val="clear" w:color="auto" w:fill="FFFFFF"/>
          <w:lang w:val="en-US" w:eastAsia="zh-CN"/>
        </w:rPr>
        <w:t>785.70</w:t>
      </w:r>
      <w:r>
        <w:rPr>
          <w:rFonts w:hint="eastAsia" w:ascii="仿宋" w:hAnsi="仿宋" w:eastAsia="仿宋" w:cs="Times New Roman"/>
          <w:color w:val="333333"/>
          <w:kern w:val="2"/>
          <w:sz w:val="32"/>
          <w:szCs w:val="32"/>
          <w:shd w:val="clear" w:color="auto" w:fill="FFFFFF"/>
        </w:rPr>
        <w:t>万元，基本支出</w:t>
      </w:r>
      <w:r>
        <w:rPr>
          <w:rFonts w:hint="eastAsia" w:ascii="仿宋" w:hAnsi="仿宋" w:eastAsia="仿宋" w:cs="Times New Roman"/>
          <w:color w:val="333333"/>
          <w:kern w:val="2"/>
          <w:sz w:val="32"/>
          <w:szCs w:val="32"/>
          <w:shd w:val="clear" w:color="auto" w:fill="FFFFFF"/>
          <w:lang w:val="en-US" w:eastAsia="zh-CN"/>
        </w:rPr>
        <w:t>749.7</w:t>
      </w:r>
      <w:r>
        <w:rPr>
          <w:rFonts w:hint="eastAsia" w:ascii="仿宋" w:hAnsi="仿宋" w:eastAsia="仿宋" w:cs="Times New Roman"/>
          <w:color w:val="333333"/>
          <w:kern w:val="2"/>
          <w:sz w:val="32"/>
          <w:szCs w:val="32"/>
          <w:shd w:val="clear" w:color="auto" w:fill="FFFFFF"/>
        </w:rPr>
        <w:t>万，其中人员类支出</w:t>
      </w:r>
      <w:r>
        <w:rPr>
          <w:rFonts w:hint="eastAsia" w:ascii="仿宋" w:hAnsi="仿宋" w:eastAsia="仿宋" w:cs="Times New Roman"/>
          <w:color w:val="333333"/>
          <w:kern w:val="2"/>
          <w:sz w:val="32"/>
          <w:szCs w:val="32"/>
          <w:shd w:val="clear" w:color="auto" w:fill="FFFFFF"/>
          <w:lang w:val="en-US" w:eastAsia="zh-CN"/>
        </w:rPr>
        <w:t>674.2</w:t>
      </w:r>
      <w:r>
        <w:rPr>
          <w:rFonts w:hint="eastAsia" w:ascii="仿宋" w:hAnsi="仿宋" w:eastAsia="仿宋" w:cs="Times New Roman"/>
          <w:color w:val="333333"/>
          <w:kern w:val="2"/>
          <w:sz w:val="32"/>
          <w:szCs w:val="32"/>
          <w:shd w:val="clear" w:color="auto" w:fill="FFFFFF"/>
        </w:rPr>
        <w:t>万，</w:t>
      </w:r>
      <w:r>
        <w:rPr>
          <w:rFonts w:hint="eastAsia" w:ascii="仿宋" w:hAnsi="仿宋" w:eastAsia="仿宋" w:cs="仿宋"/>
          <w:color w:val="000000"/>
          <w:sz w:val="32"/>
          <w:szCs w:val="32"/>
        </w:rPr>
        <w:t>主要包括基本工资、津贴补贴、奖金、绩效工资、机关事业单位基本养老保险缴费、职业年金缴费、职工基本医疗保险缴费、住房公积金、其他工资福利支出、生活补助。</w:t>
      </w:r>
      <w:r>
        <w:rPr>
          <w:rFonts w:hint="eastAsia" w:ascii="仿宋" w:hAnsi="仿宋" w:eastAsia="仿宋" w:cs="Times New Roman"/>
          <w:color w:val="333333"/>
          <w:kern w:val="2"/>
          <w:sz w:val="32"/>
          <w:szCs w:val="32"/>
          <w:shd w:val="clear" w:color="auto" w:fill="FFFFFF"/>
        </w:rPr>
        <w:t>公用类支出</w:t>
      </w:r>
      <w:r>
        <w:rPr>
          <w:rFonts w:hint="eastAsia" w:ascii="仿宋" w:hAnsi="仿宋" w:eastAsia="仿宋" w:cs="Times New Roman"/>
          <w:color w:val="333333"/>
          <w:kern w:val="2"/>
          <w:sz w:val="32"/>
          <w:szCs w:val="32"/>
          <w:shd w:val="clear" w:color="auto" w:fill="FFFFFF"/>
          <w:lang w:val="en-US" w:eastAsia="zh-CN"/>
        </w:rPr>
        <w:t>75.5</w:t>
      </w:r>
      <w:r>
        <w:rPr>
          <w:rFonts w:hint="eastAsia" w:ascii="仿宋" w:hAnsi="仿宋" w:eastAsia="仿宋" w:cs="Times New Roman"/>
          <w:color w:val="333333"/>
          <w:kern w:val="2"/>
          <w:sz w:val="32"/>
          <w:szCs w:val="32"/>
          <w:shd w:val="clear" w:color="auto" w:fill="FFFFFF"/>
        </w:rPr>
        <w:t>万，</w:t>
      </w:r>
      <w:r>
        <w:rPr>
          <w:rFonts w:hint="eastAsia" w:ascii="仿宋" w:hAnsi="仿宋" w:eastAsia="仿宋" w:cs="仿宋"/>
          <w:color w:val="000000"/>
          <w:sz w:val="32"/>
          <w:szCs w:val="32"/>
        </w:rPr>
        <w:t>主要包括办公费、印刷费、水费、电费、邮电费、差旅费、维修（护）费、培训费、公务接待费、专用材料费、劳务费、工会经费、福利费、其他交通费用、其他商品和服务支出</w:t>
      </w:r>
      <w:r>
        <w:rPr>
          <w:rFonts w:hint="eastAsia" w:ascii="仿宋" w:hAnsi="仿宋" w:eastAsia="仿宋" w:cs="Times New Roman"/>
          <w:color w:val="333333"/>
          <w:kern w:val="2"/>
          <w:sz w:val="32"/>
          <w:szCs w:val="32"/>
          <w:shd w:val="clear" w:color="auto" w:fill="FFFFFF"/>
        </w:rPr>
        <w:t>。</w:t>
      </w:r>
    </w:p>
    <w:p w14:paraId="40663DF8">
      <w:pPr>
        <w:adjustRightInd w:val="0"/>
        <w:snapToGrid w:val="0"/>
        <w:spacing w:line="600" w:lineRule="exact"/>
        <w:ind w:firstLine="643" w:firstLineChars="200"/>
        <w:rPr>
          <w:rFonts w:ascii="楷体_GB2312" w:eastAsia="楷体_GB2312"/>
          <w:b/>
          <w:sz w:val="32"/>
          <w:szCs w:val="32"/>
        </w:rPr>
      </w:pPr>
      <w:r>
        <w:rPr>
          <w:rFonts w:hint="eastAsia" w:ascii="楷体_GB2312" w:eastAsia="楷体_GB2312"/>
          <w:b/>
          <w:sz w:val="32"/>
          <w:szCs w:val="32"/>
        </w:rPr>
        <w:t>（二）项目支出</w:t>
      </w:r>
    </w:p>
    <w:p w14:paraId="5A2A0835">
      <w:pPr>
        <w:adjustRightInd w:val="0"/>
        <w:snapToGrid w:val="0"/>
        <w:spacing w:line="600" w:lineRule="exact"/>
        <w:ind w:firstLine="640" w:firstLineChars="200"/>
        <w:rPr>
          <w:rFonts w:hint="eastAsia" w:ascii="仿宋" w:hAnsi="仿宋" w:eastAsia="仿宋"/>
          <w:color w:val="333333"/>
          <w:sz w:val="32"/>
          <w:szCs w:val="32"/>
          <w:shd w:val="clear" w:color="auto" w:fill="FFFFFF"/>
        </w:rPr>
      </w:pPr>
      <w:r>
        <w:rPr>
          <w:rFonts w:hint="eastAsia" w:ascii="仿宋" w:hAnsi="仿宋" w:eastAsia="仿宋"/>
          <w:color w:val="333333"/>
          <w:sz w:val="32"/>
          <w:szCs w:val="32"/>
          <w:shd w:val="clear" w:color="auto" w:fill="FFFFFF"/>
        </w:rPr>
        <w:t>本年无专项支出。我校在资金管理使用上按计划、按预算安排分配和使用，严格按照资金的开支标准范围进行开支，建立了完善的资金审批程序，制定了切实可行的实施方案，方案经批准后，不得随意更改，杜绝了资金的无序支出。在项目实施过程中，明确了实施单位与相关责任人，明确了项目建设所达到的具体任务和目标。</w:t>
      </w:r>
    </w:p>
    <w:p w14:paraId="120C53D1">
      <w:pPr>
        <w:adjustRightInd w:val="0"/>
        <w:snapToGrid w:val="0"/>
        <w:spacing w:line="600" w:lineRule="exact"/>
        <w:ind w:firstLine="640" w:firstLineChars="200"/>
        <w:rPr>
          <w:rFonts w:eastAsia="黑体"/>
          <w:sz w:val="32"/>
          <w:szCs w:val="32"/>
        </w:rPr>
      </w:pPr>
      <w:r>
        <w:rPr>
          <w:rFonts w:eastAsia="黑体"/>
          <w:sz w:val="32"/>
          <w:szCs w:val="32"/>
        </w:rPr>
        <w:t>三、</w:t>
      </w:r>
      <w:r>
        <w:rPr>
          <w:rFonts w:hint="eastAsia" w:eastAsia="黑体"/>
          <w:sz w:val="32"/>
          <w:szCs w:val="32"/>
        </w:rPr>
        <w:t>部门整体支出管理情况</w:t>
      </w:r>
    </w:p>
    <w:p w14:paraId="04FBB33A">
      <w:pPr>
        <w:adjustRightInd w:val="0"/>
        <w:snapToGrid w:val="0"/>
        <w:spacing w:line="600" w:lineRule="exact"/>
        <w:ind w:firstLine="640" w:firstLineChars="200"/>
        <w:rPr>
          <w:rFonts w:eastAsia="仿宋_GB2312"/>
          <w:sz w:val="32"/>
          <w:szCs w:val="32"/>
        </w:rPr>
      </w:pPr>
      <w:r>
        <w:rPr>
          <w:rFonts w:hint="eastAsia" w:eastAsia="仿宋_GB2312"/>
          <w:sz w:val="32"/>
          <w:szCs w:val="32"/>
        </w:rPr>
        <w:t>1.政府性债务管理：无</w:t>
      </w:r>
    </w:p>
    <w:p w14:paraId="44A95C6C">
      <w:pPr>
        <w:adjustRightInd w:val="0"/>
        <w:snapToGrid w:val="0"/>
        <w:spacing w:line="600" w:lineRule="exact"/>
        <w:ind w:firstLine="640" w:firstLineChars="200"/>
        <w:rPr>
          <w:rFonts w:eastAsia="仿宋_GB2312"/>
          <w:sz w:val="32"/>
          <w:szCs w:val="32"/>
        </w:rPr>
      </w:pPr>
      <w:r>
        <w:rPr>
          <w:rFonts w:hint="eastAsia" w:eastAsia="仿宋_GB2312"/>
          <w:sz w:val="32"/>
          <w:szCs w:val="32"/>
        </w:rPr>
        <w:t>2.三公经费预算</w:t>
      </w:r>
      <w:r>
        <w:rPr>
          <w:rFonts w:hint="eastAsia" w:eastAsia="仿宋_GB2312"/>
          <w:sz w:val="32"/>
          <w:szCs w:val="32"/>
          <w:lang w:val="en-US" w:eastAsia="zh-CN"/>
        </w:rPr>
        <w:t>0</w:t>
      </w:r>
      <w:r>
        <w:rPr>
          <w:rFonts w:hint="eastAsia" w:eastAsia="仿宋_GB2312"/>
          <w:sz w:val="32"/>
          <w:szCs w:val="32"/>
        </w:rPr>
        <w:t>万元，实际支出</w:t>
      </w:r>
      <w:r>
        <w:rPr>
          <w:rFonts w:hint="eastAsia" w:eastAsia="仿宋_GB2312"/>
          <w:sz w:val="32"/>
          <w:szCs w:val="32"/>
          <w:lang w:val="en-US" w:eastAsia="zh-CN"/>
        </w:rPr>
        <w:t>0</w:t>
      </w:r>
      <w:r>
        <w:rPr>
          <w:rFonts w:hint="eastAsia" w:eastAsia="仿宋_GB2312"/>
          <w:sz w:val="32"/>
          <w:szCs w:val="32"/>
        </w:rPr>
        <w:t>万元，其中因公出国（境）费0万元，公务车购置费及维护费0万元，公务接待费</w:t>
      </w:r>
      <w:r>
        <w:rPr>
          <w:rFonts w:hint="eastAsia" w:eastAsia="仿宋_GB2312"/>
          <w:sz w:val="32"/>
          <w:szCs w:val="32"/>
          <w:lang w:val="en-US" w:eastAsia="zh-CN"/>
        </w:rPr>
        <w:t>0</w:t>
      </w:r>
      <w:r>
        <w:rPr>
          <w:rFonts w:hint="eastAsia" w:eastAsia="仿宋_GB2312"/>
          <w:sz w:val="32"/>
          <w:szCs w:val="32"/>
        </w:rPr>
        <w:t>万元。</w:t>
      </w:r>
    </w:p>
    <w:p w14:paraId="410D5947">
      <w:pPr>
        <w:adjustRightInd w:val="0"/>
        <w:snapToGrid w:val="0"/>
        <w:spacing w:line="600" w:lineRule="exact"/>
        <w:ind w:firstLine="640" w:firstLineChars="200"/>
        <w:rPr>
          <w:rFonts w:eastAsia="仿宋_GB2312"/>
          <w:sz w:val="32"/>
          <w:szCs w:val="32"/>
        </w:rPr>
      </w:pPr>
      <w:r>
        <w:rPr>
          <w:rFonts w:hint="eastAsia" w:eastAsia="仿宋_GB2312"/>
          <w:sz w:val="32"/>
          <w:szCs w:val="32"/>
        </w:rPr>
        <w:t>3.学校项目支出严格按照国家财经法规、预算资金管理办法、财务管理制度以及专项资金管理办法的规定，围绕预算分配权、资金拨付权、行政审批权等关键环节和岗位加强监管工作，把项目资金的审批分配、监督检查与绩效评价结合起来，做到专款专用。</w:t>
      </w:r>
    </w:p>
    <w:p w14:paraId="6A878ABD">
      <w:pPr>
        <w:adjustRightInd w:val="0"/>
        <w:snapToGrid w:val="0"/>
        <w:spacing w:line="600" w:lineRule="exact"/>
        <w:ind w:firstLine="640" w:firstLineChars="200"/>
        <w:rPr>
          <w:rFonts w:eastAsia="仿宋_GB2312"/>
          <w:sz w:val="32"/>
          <w:szCs w:val="32"/>
        </w:rPr>
      </w:pPr>
      <w:r>
        <w:rPr>
          <w:rFonts w:hint="eastAsia" w:eastAsia="仿宋_GB2312"/>
          <w:sz w:val="32"/>
          <w:szCs w:val="32"/>
        </w:rPr>
        <w:t>4.严格按照县委、县政府全面推进行政事业单位信息公开工作的安排部署，细化公开内容，按时完成了预决算信息公开工作。</w:t>
      </w:r>
    </w:p>
    <w:p w14:paraId="5FB97836">
      <w:pPr>
        <w:adjustRightInd w:val="0"/>
        <w:snapToGrid w:val="0"/>
        <w:spacing w:line="600" w:lineRule="exact"/>
        <w:ind w:firstLine="640" w:firstLineChars="200"/>
        <w:rPr>
          <w:rFonts w:eastAsia="黑体"/>
          <w:sz w:val="32"/>
          <w:szCs w:val="32"/>
        </w:rPr>
      </w:pPr>
      <w:r>
        <w:rPr>
          <w:rFonts w:eastAsia="黑体"/>
          <w:sz w:val="32"/>
          <w:szCs w:val="32"/>
        </w:rPr>
        <w:t>四、</w:t>
      </w:r>
      <w:r>
        <w:rPr>
          <w:rFonts w:hint="eastAsia" w:eastAsia="黑体"/>
          <w:sz w:val="32"/>
          <w:szCs w:val="32"/>
        </w:rPr>
        <w:t>部门整体支出</w:t>
      </w:r>
      <w:r>
        <w:rPr>
          <w:rFonts w:eastAsia="黑体"/>
          <w:sz w:val="32"/>
          <w:szCs w:val="32"/>
        </w:rPr>
        <w:t>绩效情况</w:t>
      </w:r>
    </w:p>
    <w:p w14:paraId="495FF808">
      <w:pPr>
        <w:keepNext w:val="0"/>
        <w:keepLines w:val="0"/>
        <w:widowControl w:val="0"/>
        <w:suppressLineNumbers w:val="0"/>
        <w:spacing w:before="0" w:beforeAutospacing="0" w:after="0" w:afterAutospacing="0" w:line="520" w:lineRule="exact"/>
        <w:ind w:left="0" w:right="0" w:firstLine="640" w:firstLineChars="200"/>
        <w:jc w:val="both"/>
        <w:rPr>
          <w:rFonts w:hint="eastAsia" w:eastAsia="仿宋_GB2312"/>
          <w:sz w:val="32"/>
          <w:szCs w:val="32"/>
        </w:rPr>
      </w:pPr>
      <w:r>
        <w:rPr>
          <w:rFonts w:hint="eastAsia" w:eastAsia="仿宋_GB2312"/>
          <w:sz w:val="32"/>
          <w:szCs w:val="32"/>
        </w:rPr>
        <w:t>东安县大盛镇大盛中学在</w:t>
      </w:r>
      <w:r>
        <w:rPr>
          <w:rFonts w:hint="eastAsia" w:eastAsia="仿宋_GB2312"/>
          <w:sz w:val="32"/>
          <w:szCs w:val="32"/>
          <w:lang w:eastAsia="zh-CN"/>
        </w:rPr>
        <w:t>2025</w:t>
      </w:r>
      <w:r>
        <w:rPr>
          <w:rFonts w:hint="eastAsia" w:eastAsia="仿宋_GB2312"/>
          <w:sz w:val="32"/>
          <w:szCs w:val="32"/>
        </w:rPr>
        <w:t>年度部门整体支出绩效方面表现优异，各项相关指标均达到了预期目标，充分体现了财务管理的规范性和资金使用的高效性。</w:t>
      </w:r>
    </w:p>
    <w:p w14:paraId="34174378">
      <w:pPr>
        <w:keepNext w:val="0"/>
        <w:keepLines w:val="0"/>
        <w:widowControl w:val="0"/>
        <w:suppressLineNumbers w:val="0"/>
        <w:spacing w:before="0" w:beforeAutospacing="0" w:after="0" w:afterAutospacing="0" w:line="520" w:lineRule="exact"/>
        <w:ind w:left="0" w:right="0" w:firstLine="640" w:firstLineChars="200"/>
        <w:jc w:val="both"/>
        <w:rPr>
          <w:rFonts w:hint="eastAsia" w:eastAsia="仿宋_GB2312"/>
          <w:sz w:val="32"/>
          <w:szCs w:val="32"/>
        </w:rPr>
      </w:pPr>
      <w:r>
        <w:rPr>
          <w:rFonts w:hint="eastAsia" w:eastAsia="仿宋_GB2312"/>
          <w:sz w:val="32"/>
          <w:szCs w:val="32"/>
        </w:rPr>
        <w:t>在支出结构方面，学校将资金合理分配于人员类支出和公用类支出两大块。人员类支出共计</w:t>
      </w:r>
      <w:r>
        <w:rPr>
          <w:rFonts w:hint="eastAsia" w:eastAsia="仿宋_GB2312"/>
          <w:sz w:val="32"/>
          <w:szCs w:val="32"/>
          <w:lang w:val="en-US" w:eastAsia="zh-CN"/>
        </w:rPr>
        <w:t>674.2</w:t>
      </w:r>
      <w:r>
        <w:rPr>
          <w:rFonts w:hint="eastAsia" w:eastAsia="仿宋_GB2312"/>
          <w:sz w:val="32"/>
          <w:szCs w:val="32"/>
        </w:rPr>
        <w:t>万元，占比高达</w:t>
      </w:r>
      <w:r>
        <w:rPr>
          <w:rFonts w:hint="eastAsia" w:eastAsia="仿宋_GB2312"/>
          <w:sz w:val="32"/>
          <w:szCs w:val="32"/>
          <w:lang w:val="en-US" w:eastAsia="zh-CN"/>
        </w:rPr>
        <w:t>89.92</w:t>
      </w:r>
      <w:r>
        <w:rPr>
          <w:rFonts w:hint="eastAsia" w:eastAsia="仿宋_GB2312"/>
          <w:sz w:val="32"/>
          <w:szCs w:val="32"/>
        </w:rPr>
        <w:t>%，主要用于保障教职工的基本工资、津贴补贴、社会保险缴费等各项福利待遇，确保了教职工队伍的稳定和教学质量的不断提升。公用类支出</w:t>
      </w:r>
      <w:r>
        <w:rPr>
          <w:rFonts w:hint="eastAsia" w:eastAsia="仿宋_GB2312"/>
          <w:sz w:val="32"/>
          <w:szCs w:val="32"/>
          <w:lang w:val="en-US" w:eastAsia="zh-CN"/>
        </w:rPr>
        <w:t>75.5</w:t>
      </w:r>
      <w:r>
        <w:rPr>
          <w:rFonts w:hint="eastAsia" w:eastAsia="仿宋_GB2312"/>
          <w:sz w:val="32"/>
          <w:szCs w:val="32"/>
        </w:rPr>
        <w:t>万元，占比</w:t>
      </w:r>
      <w:r>
        <w:rPr>
          <w:rFonts w:hint="eastAsia" w:eastAsia="仿宋_GB2312"/>
          <w:sz w:val="32"/>
          <w:szCs w:val="32"/>
          <w:lang w:val="en-US" w:eastAsia="zh-CN"/>
        </w:rPr>
        <w:t>10.07</w:t>
      </w:r>
      <w:r>
        <w:rPr>
          <w:rFonts w:hint="eastAsia" w:eastAsia="仿宋_GB2312"/>
          <w:sz w:val="32"/>
          <w:szCs w:val="32"/>
        </w:rPr>
        <w:t>%，主要用于日常办公、教学设备维护、水电费、差旅费等开支，保障了学校的正常运转。</w:t>
      </w:r>
    </w:p>
    <w:p w14:paraId="50ED806D">
      <w:pPr>
        <w:keepNext w:val="0"/>
        <w:keepLines w:val="0"/>
        <w:widowControl w:val="0"/>
        <w:suppressLineNumbers w:val="0"/>
        <w:spacing w:before="0" w:beforeAutospacing="0" w:after="0" w:afterAutospacing="0" w:line="520" w:lineRule="exact"/>
        <w:ind w:left="0" w:right="0" w:firstLine="640" w:firstLineChars="200"/>
        <w:jc w:val="both"/>
        <w:rPr>
          <w:rFonts w:hint="eastAsia" w:eastAsia="仿宋_GB2312"/>
          <w:sz w:val="32"/>
          <w:szCs w:val="32"/>
          <w:lang w:val="en-US" w:eastAsia="zh-CN"/>
        </w:rPr>
      </w:pPr>
      <w:r>
        <w:rPr>
          <w:rFonts w:hint="eastAsia" w:eastAsia="仿宋_GB2312"/>
          <w:sz w:val="32"/>
          <w:szCs w:val="32"/>
        </w:rPr>
        <w:t>在重点工作任务完成方面，学校公办初中运行管理工作完成率达到了100%，各项教育教学活动有序开展，未出现安全事故，充分履行了教书育人的职责。同时，学校在成本控制方面也取得了显著成效</w:t>
      </w:r>
      <w:r>
        <w:rPr>
          <w:rFonts w:hint="eastAsia" w:eastAsia="仿宋_GB2312"/>
          <w:sz w:val="32"/>
          <w:szCs w:val="32"/>
          <w:lang w:eastAsia="zh-CN"/>
        </w:rPr>
        <w:t>。</w:t>
      </w:r>
    </w:p>
    <w:p w14:paraId="176518F4">
      <w:pPr>
        <w:keepNext w:val="0"/>
        <w:keepLines w:val="0"/>
        <w:widowControl w:val="0"/>
        <w:suppressLineNumbers w:val="0"/>
        <w:spacing w:before="0" w:beforeAutospacing="0" w:after="0" w:afterAutospacing="0" w:line="520" w:lineRule="exact"/>
        <w:ind w:left="0" w:right="0" w:firstLine="640" w:firstLineChars="200"/>
        <w:jc w:val="both"/>
        <w:rPr>
          <w:rFonts w:hint="eastAsia" w:eastAsia="仿宋_GB2312"/>
          <w:sz w:val="32"/>
          <w:szCs w:val="32"/>
        </w:rPr>
      </w:pPr>
      <w:r>
        <w:rPr>
          <w:rFonts w:hint="eastAsia" w:eastAsia="仿宋_GB2312"/>
          <w:sz w:val="32"/>
          <w:szCs w:val="32"/>
        </w:rPr>
        <w:t>此外，学校还高度重视社会效益和满意度指标。通过加强教学管理、提升教学质量、改善校园环境等措施，有效保障了公办初中的正常运行，并显著提升了教育质量。学生及家长对学校教学的满意度达到了9</w:t>
      </w:r>
      <w:r>
        <w:rPr>
          <w:rFonts w:hint="eastAsia" w:eastAsia="仿宋_GB2312"/>
          <w:sz w:val="32"/>
          <w:szCs w:val="32"/>
          <w:lang w:val="en-US" w:eastAsia="zh-CN"/>
        </w:rPr>
        <w:t>4</w:t>
      </w:r>
      <w:r>
        <w:rPr>
          <w:rFonts w:hint="eastAsia" w:eastAsia="仿宋_GB2312"/>
          <w:sz w:val="32"/>
          <w:szCs w:val="32"/>
        </w:rPr>
        <w:t>%，超过了设定的＞90%的目标值，充分体现了学校在教育教学工作中的努力和成效。</w:t>
      </w:r>
    </w:p>
    <w:p w14:paraId="1A16CEA4">
      <w:pPr>
        <w:keepNext w:val="0"/>
        <w:keepLines w:val="0"/>
        <w:widowControl w:val="0"/>
        <w:suppressLineNumbers w:val="0"/>
        <w:spacing w:before="0" w:beforeAutospacing="0" w:after="0" w:afterAutospacing="0" w:line="520" w:lineRule="exact"/>
        <w:ind w:left="0" w:right="0" w:firstLine="640" w:firstLineChars="200"/>
        <w:jc w:val="both"/>
        <w:rPr>
          <w:rFonts w:hint="eastAsia" w:eastAsia="仿宋_GB2312"/>
          <w:sz w:val="32"/>
          <w:szCs w:val="32"/>
        </w:rPr>
      </w:pPr>
      <w:r>
        <w:rPr>
          <w:rFonts w:hint="eastAsia" w:eastAsia="仿宋_GB2312"/>
          <w:sz w:val="32"/>
          <w:szCs w:val="32"/>
        </w:rPr>
        <w:t>综上所述，东安县大盛镇大盛中学在</w:t>
      </w:r>
      <w:r>
        <w:rPr>
          <w:rFonts w:hint="eastAsia" w:eastAsia="仿宋_GB2312"/>
          <w:sz w:val="32"/>
          <w:szCs w:val="32"/>
          <w:lang w:eastAsia="zh-CN"/>
        </w:rPr>
        <w:t>2025</w:t>
      </w:r>
      <w:r>
        <w:rPr>
          <w:rFonts w:hint="eastAsia" w:eastAsia="仿宋_GB2312"/>
          <w:sz w:val="32"/>
          <w:szCs w:val="32"/>
        </w:rPr>
        <w:t>年度部门整体支出绩效方面取得了显著成效，各项相关指标均达到了预期目标，为学校的可持续发展奠定了坚实基础。未来，学校将继续加强财务管理和资金使用的规范性和高效性，不断提升教育教学质量和办学水平。通过项目实施，确保学校正常运转，保障了教育教学工作的正常运行。</w:t>
      </w:r>
    </w:p>
    <w:p w14:paraId="0EEBC795">
      <w:pPr>
        <w:keepNext w:val="0"/>
        <w:keepLines w:val="0"/>
        <w:widowControl w:val="0"/>
        <w:suppressLineNumbers w:val="0"/>
        <w:spacing w:before="0" w:beforeAutospacing="0" w:after="0" w:afterAutospacing="0" w:line="520" w:lineRule="exact"/>
        <w:ind w:left="0" w:right="0" w:firstLine="640" w:firstLineChars="200"/>
        <w:jc w:val="both"/>
        <w:rPr>
          <w:rFonts w:hint="eastAsia" w:eastAsia="仿宋_GB2312"/>
          <w:sz w:val="32"/>
          <w:szCs w:val="32"/>
          <w:lang w:eastAsia="zh-CN"/>
        </w:rPr>
      </w:pPr>
      <w:r>
        <w:rPr>
          <w:rFonts w:hint="eastAsia" w:eastAsia="仿宋_GB2312"/>
          <w:sz w:val="32"/>
          <w:szCs w:val="32"/>
        </w:rPr>
        <w:t>根据预算绩效管理的相关规定，本部门于</w:t>
      </w:r>
      <w:r>
        <w:rPr>
          <w:rFonts w:hint="eastAsia" w:eastAsia="仿宋_GB2312"/>
          <w:sz w:val="32"/>
          <w:szCs w:val="32"/>
          <w:lang w:eastAsia="zh-CN"/>
        </w:rPr>
        <w:t>2025</w:t>
      </w:r>
      <w:r>
        <w:rPr>
          <w:rFonts w:hint="eastAsia" w:eastAsia="仿宋_GB2312"/>
          <w:sz w:val="32"/>
          <w:szCs w:val="32"/>
        </w:rPr>
        <w:t>年度对纳入部门预算的全部支出进行了全面的绩效自我评价，覆盖了预算总额的百分之百。评价结果显示，我校的财务管理工作严格遵循了国家财务管理制度的要求，财务制度完善、会计核算严谨规范。学校运行经费的使用严格依照计划，科学且合理，部门整体支出对我校各项工作的顺畅高效运行起到了关键的支撑作用</w:t>
      </w:r>
      <w:r>
        <w:rPr>
          <w:rFonts w:hint="eastAsia" w:eastAsia="仿宋_GB2312"/>
          <w:sz w:val="32"/>
          <w:szCs w:val="32"/>
          <w:lang w:eastAsia="zh-CN"/>
        </w:rPr>
        <w:t>，</w:t>
      </w:r>
      <w:r>
        <w:rPr>
          <w:rFonts w:hint="eastAsia" w:ascii="仿宋" w:hAnsi="仿宋" w:eastAsia="仿宋" w:cs="仿宋"/>
          <w:color w:val="000000"/>
          <w:kern w:val="0"/>
          <w:sz w:val="32"/>
          <w:szCs w:val="32"/>
          <w:lang w:val="en-US" w:eastAsia="zh-CN" w:bidi="ar"/>
        </w:rPr>
        <w:t>对照《部门整体支出绩效评价指标表》（见附件），我校各项指标都较好地达到了相关要求，2025年部门整体支出绩效自评得分为97分，评价结果为优。</w:t>
      </w:r>
    </w:p>
    <w:p w14:paraId="6BF45A90">
      <w:pPr>
        <w:numPr>
          <w:ilvl w:val="0"/>
          <w:numId w:val="1"/>
        </w:numPr>
        <w:adjustRightInd w:val="0"/>
        <w:snapToGrid w:val="0"/>
        <w:spacing w:line="600" w:lineRule="exact"/>
        <w:ind w:firstLine="640" w:firstLineChars="200"/>
        <w:rPr>
          <w:rFonts w:hint="eastAsia" w:ascii="黑体" w:eastAsia="黑体"/>
          <w:sz w:val="32"/>
          <w:szCs w:val="32"/>
        </w:rPr>
      </w:pPr>
      <w:r>
        <w:rPr>
          <w:rFonts w:hint="eastAsia" w:ascii="黑体" w:eastAsia="黑体"/>
          <w:sz w:val="32"/>
          <w:szCs w:val="32"/>
        </w:rPr>
        <w:t>结合《部门整体支出绩效评价指标表》（见附件）的评价结果</w:t>
      </w:r>
    </w:p>
    <w:p w14:paraId="3622050E">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i w:val="0"/>
          <w:iCs w:val="0"/>
          <w:caps w:val="0"/>
          <w:color w:val="000000"/>
          <w:spacing w:val="0"/>
          <w:kern w:val="0"/>
          <w:sz w:val="32"/>
          <w:szCs w:val="32"/>
          <w:lang w:val="en-US" w:eastAsia="zh-CN" w:bidi="ar-SA"/>
        </w:rPr>
      </w:pPr>
      <w:r>
        <w:rPr>
          <w:rFonts w:hint="eastAsia" w:ascii="Times New Roman" w:hAnsi="Times New Roman" w:eastAsia="仿宋_GB2312" w:cs="Times New Roman"/>
          <w:kern w:val="2"/>
          <w:sz w:val="32"/>
          <w:szCs w:val="32"/>
          <w:lang w:val="en-US" w:eastAsia="zh-CN" w:bidi="ar-SA"/>
        </w:rPr>
        <w:t>遵循预算绩效管理的原则，本部门于</w:t>
      </w:r>
      <w:r>
        <w:rPr>
          <w:rFonts w:hint="eastAsia" w:eastAsia="仿宋_GB2312" w:cs="Times New Roman"/>
          <w:kern w:val="2"/>
          <w:sz w:val="32"/>
          <w:szCs w:val="32"/>
          <w:lang w:val="en-US" w:eastAsia="zh-CN" w:bidi="ar-SA"/>
        </w:rPr>
        <w:t>2025</w:t>
      </w:r>
      <w:r>
        <w:rPr>
          <w:rFonts w:hint="eastAsia" w:ascii="Times New Roman" w:hAnsi="Times New Roman" w:eastAsia="仿宋_GB2312" w:cs="Times New Roman"/>
          <w:kern w:val="2"/>
          <w:sz w:val="32"/>
          <w:szCs w:val="32"/>
          <w:lang w:val="en-US" w:eastAsia="zh-CN" w:bidi="ar-SA"/>
        </w:rPr>
        <w:t>年度对全部纳入部门预算的支出进行了全面的绩效自我评价，覆盖预算总额的百分之百。评价结果显示，我校财务管理工作严格遵循国家财务管理制度，建立了较为完善的财务制度，并确保会计核算的规范性。对于学校的运营经费，我们依据计划进行了科学且合理的分配与使用。部门整体支出有效保障了我校各项工作的顺畅与高效运行，发挥了至关重要的作用。</w:t>
      </w:r>
      <w:r>
        <w:rPr>
          <w:rFonts w:hint="eastAsia" w:ascii="仿宋" w:hAnsi="仿宋" w:eastAsia="仿宋" w:cs="仿宋"/>
          <w:i w:val="0"/>
          <w:iCs w:val="0"/>
          <w:caps w:val="0"/>
          <w:color w:val="000000"/>
          <w:spacing w:val="0"/>
          <w:kern w:val="0"/>
          <w:sz w:val="32"/>
          <w:szCs w:val="32"/>
          <w:lang w:val="en-US" w:eastAsia="zh-CN" w:bidi="ar-SA"/>
        </w:rPr>
        <w:t>对照《部门整体支出绩效评价指标表》（见附件），我校各项指标都较好地达到了相关要求，2025年部门整体支出绩效自评得分为97分，评价结果为优。</w:t>
      </w:r>
    </w:p>
    <w:p w14:paraId="0F5E0263">
      <w:pPr>
        <w:pStyle w:val="2"/>
        <w:keepNext w:val="0"/>
        <w:keepLines w:val="0"/>
        <w:pageBreakBefore w:val="0"/>
        <w:widowControl/>
        <w:numPr>
          <w:ilvl w:val="0"/>
          <w:numId w:val="0"/>
        </w:numPr>
        <w:kinsoku/>
        <w:wordWrap/>
        <w:overflowPunct/>
        <w:topLinePunct w:val="0"/>
        <w:autoSpaceDE/>
        <w:autoSpaceDN/>
        <w:bidi w:val="0"/>
        <w:adjustRightInd/>
        <w:snapToGrid/>
        <w:ind w:firstLine="640" w:firstLineChars="200"/>
        <w:textAlignment w:val="auto"/>
        <w:rPr>
          <w:rFonts w:hint="eastAsia" w:ascii="Times New Roman" w:hAnsi="Times New Roman" w:eastAsia="仿宋_GB2312" w:cs="Times New Roman"/>
          <w:kern w:val="2"/>
          <w:sz w:val="32"/>
          <w:szCs w:val="32"/>
          <w:lang w:val="en-US" w:eastAsia="zh-CN" w:bidi="ar-SA"/>
        </w:rPr>
      </w:pPr>
    </w:p>
    <w:p w14:paraId="3BDF23D5">
      <w:pPr>
        <w:adjustRightInd w:val="0"/>
        <w:snapToGrid w:val="0"/>
        <w:spacing w:line="600" w:lineRule="exact"/>
        <w:ind w:firstLine="640" w:firstLineChars="200"/>
        <w:rPr>
          <w:rFonts w:ascii="黑体" w:eastAsia="黑体"/>
          <w:sz w:val="32"/>
          <w:szCs w:val="32"/>
        </w:rPr>
      </w:pPr>
      <w:r>
        <w:rPr>
          <w:rFonts w:hint="eastAsia" w:ascii="黑体" w:eastAsia="黑体"/>
          <w:sz w:val="32"/>
          <w:szCs w:val="32"/>
        </w:rPr>
        <w:t>六、存在的主要问题</w:t>
      </w:r>
    </w:p>
    <w:p w14:paraId="2276AE48">
      <w:pPr>
        <w:adjustRightInd w:val="0"/>
        <w:snapToGrid w:val="0"/>
        <w:spacing w:line="600" w:lineRule="exact"/>
        <w:rPr>
          <w:rFonts w:hint="eastAsia" w:eastAsia="仿宋_GB2312"/>
          <w:sz w:val="32"/>
          <w:szCs w:val="32"/>
        </w:rPr>
      </w:pPr>
      <w:r>
        <w:rPr>
          <w:rFonts w:hint="eastAsia" w:eastAsia="仿宋_GB2312"/>
          <w:sz w:val="32"/>
          <w:szCs w:val="32"/>
        </w:rPr>
        <w:t>预算管理方面存在的问题</w:t>
      </w:r>
    </w:p>
    <w:p w14:paraId="73D7ED37">
      <w:pPr>
        <w:adjustRightInd w:val="0"/>
        <w:snapToGrid w:val="0"/>
        <w:spacing w:line="600" w:lineRule="exact"/>
        <w:ind w:firstLine="640" w:firstLineChars="200"/>
        <w:rPr>
          <w:rFonts w:hint="eastAsia" w:eastAsia="仿宋_GB2312"/>
          <w:sz w:val="32"/>
          <w:szCs w:val="32"/>
        </w:rPr>
      </w:pPr>
      <w:r>
        <w:rPr>
          <w:rFonts w:hint="eastAsia" w:eastAsia="仿宋_GB2312"/>
          <w:sz w:val="32"/>
          <w:szCs w:val="32"/>
          <w:lang w:val="en-US" w:eastAsia="zh-CN"/>
        </w:rPr>
        <w:t>1、</w:t>
      </w:r>
      <w:r>
        <w:rPr>
          <w:rFonts w:hint="eastAsia" w:eastAsia="仿宋_GB2312"/>
          <w:sz w:val="32"/>
          <w:szCs w:val="32"/>
        </w:rPr>
        <w:t>预算编制的精准度与合理性需提升：</w:t>
      </w:r>
    </w:p>
    <w:p w14:paraId="7B33A6EE">
      <w:pPr>
        <w:adjustRightInd w:val="0"/>
        <w:snapToGrid w:val="0"/>
        <w:spacing w:line="600" w:lineRule="exact"/>
        <w:ind w:firstLine="640" w:firstLineChars="200"/>
        <w:rPr>
          <w:rFonts w:hint="eastAsia" w:eastAsia="仿宋_GB2312"/>
          <w:sz w:val="32"/>
          <w:szCs w:val="32"/>
        </w:rPr>
      </w:pPr>
      <w:r>
        <w:rPr>
          <w:rFonts w:hint="eastAsia" w:eastAsia="仿宋_GB2312"/>
          <w:sz w:val="32"/>
          <w:szCs w:val="32"/>
        </w:rPr>
        <w:t>学校在预算编制阶段可能未能充分预测到实际支出需求，导致预算执行过程中出现了偏差。这可能会影响资金的有效配置和使用效率。</w:t>
      </w:r>
    </w:p>
    <w:p w14:paraId="2FA4BD11">
      <w:pPr>
        <w:adjustRightInd w:val="0"/>
        <w:snapToGrid w:val="0"/>
        <w:spacing w:line="600" w:lineRule="exact"/>
        <w:ind w:firstLine="640" w:firstLineChars="200"/>
        <w:rPr>
          <w:rFonts w:hint="eastAsia" w:eastAsia="仿宋_GB2312"/>
          <w:sz w:val="32"/>
          <w:szCs w:val="32"/>
        </w:rPr>
      </w:pPr>
      <w:r>
        <w:rPr>
          <w:rFonts w:hint="eastAsia" w:eastAsia="仿宋_GB2312"/>
          <w:sz w:val="32"/>
          <w:szCs w:val="32"/>
          <w:lang w:val="en-US" w:eastAsia="zh-CN"/>
        </w:rPr>
        <w:t>2、</w:t>
      </w:r>
      <w:r>
        <w:rPr>
          <w:rFonts w:hint="eastAsia" w:eastAsia="仿宋_GB2312"/>
          <w:sz w:val="32"/>
          <w:szCs w:val="32"/>
        </w:rPr>
        <w:t>预算与决算衔接不畅：</w:t>
      </w:r>
    </w:p>
    <w:p w14:paraId="62BECE5B">
      <w:pPr>
        <w:adjustRightInd w:val="0"/>
        <w:snapToGrid w:val="0"/>
        <w:spacing w:line="600" w:lineRule="exact"/>
        <w:ind w:firstLine="640" w:firstLineChars="200"/>
        <w:rPr>
          <w:rFonts w:hint="eastAsia" w:eastAsia="仿宋_GB2312"/>
          <w:sz w:val="32"/>
          <w:szCs w:val="32"/>
        </w:rPr>
      </w:pPr>
      <w:r>
        <w:rPr>
          <w:rFonts w:hint="eastAsia" w:eastAsia="仿宋_GB2312"/>
          <w:sz w:val="32"/>
          <w:szCs w:val="32"/>
        </w:rPr>
        <w:t>预算编制时可能未能充分考虑实际执行中的各种变化因素，导致决算与预算之间存在显著差异，影响了预算管理的效果。</w:t>
      </w:r>
    </w:p>
    <w:p w14:paraId="1FE97F93">
      <w:pPr>
        <w:adjustRightInd w:val="0"/>
        <w:snapToGrid w:val="0"/>
        <w:spacing w:line="600" w:lineRule="exact"/>
        <w:ind w:firstLine="640" w:firstLineChars="200"/>
        <w:rPr>
          <w:rFonts w:hint="eastAsia" w:eastAsia="仿宋_GB2312"/>
          <w:sz w:val="32"/>
          <w:szCs w:val="32"/>
        </w:rPr>
      </w:pPr>
      <w:r>
        <w:rPr>
          <w:rFonts w:hint="eastAsia" w:eastAsia="仿宋_GB2312"/>
          <w:sz w:val="32"/>
          <w:szCs w:val="32"/>
        </w:rPr>
        <w:t>预算管理方面存在的问题</w:t>
      </w:r>
    </w:p>
    <w:p w14:paraId="15ECEFB0">
      <w:pPr>
        <w:adjustRightInd w:val="0"/>
        <w:snapToGrid w:val="0"/>
        <w:spacing w:line="600" w:lineRule="exact"/>
        <w:ind w:firstLine="640" w:firstLineChars="200"/>
        <w:rPr>
          <w:rFonts w:hint="eastAsia" w:eastAsia="仿宋_GB2312"/>
          <w:sz w:val="32"/>
          <w:szCs w:val="32"/>
        </w:rPr>
      </w:pPr>
      <w:r>
        <w:rPr>
          <w:rFonts w:hint="eastAsia" w:eastAsia="仿宋_GB2312"/>
          <w:sz w:val="32"/>
          <w:szCs w:val="32"/>
        </w:rPr>
        <w:t>1、预算调整的规范性与及时性不足：</w:t>
      </w:r>
    </w:p>
    <w:p w14:paraId="5F2F34B7">
      <w:pPr>
        <w:adjustRightInd w:val="0"/>
        <w:snapToGrid w:val="0"/>
        <w:spacing w:line="600" w:lineRule="exact"/>
        <w:ind w:firstLine="640" w:firstLineChars="200"/>
        <w:rPr>
          <w:rFonts w:hint="eastAsia" w:eastAsia="仿宋_GB2312"/>
          <w:sz w:val="32"/>
          <w:szCs w:val="32"/>
        </w:rPr>
      </w:pPr>
      <w:r>
        <w:rPr>
          <w:rFonts w:hint="eastAsia" w:eastAsia="仿宋_GB2312"/>
          <w:sz w:val="32"/>
          <w:szCs w:val="32"/>
        </w:rPr>
        <w:t>学校在预算执行过程中，面对突发支出需求或计划变动时，缺乏明确的调整流程和快速响应机制，部分调整未按规定履行审批手续，或因审批周期过长错过资金使用关键节点。这不仅违背了预算管理的规范性要求，还可能导致紧急工作推进受阻，影响整体工作进度。</w:t>
      </w:r>
    </w:p>
    <w:p w14:paraId="79E9378C">
      <w:pPr>
        <w:adjustRightInd w:val="0"/>
        <w:snapToGrid w:val="0"/>
        <w:spacing w:line="600" w:lineRule="exact"/>
        <w:ind w:firstLine="640" w:firstLineChars="200"/>
        <w:rPr>
          <w:rFonts w:hint="eastAsia" w:eastAsia="仿宋_GB2312"/>
          <w:sz w:val="32"/>
          <w:szCs w:val="32"/>
        </w:rPr>
      </w:pPr>
      <w:r>
        <w:rPr>
          <w:rFonts w:hint="eastAsia" w:eastAsia="仿宋_GB2312"/>
          <w:sz w:val="32"/>
          <w:szCs w:val="32"/>
        </w:rPr>
        <w:t>2、预算编制的参与度与数据支撑薄弱：</w:t>
      </w:r>
    </w:p>
    <w:p w14:paraId="0E95C002">
      <w:pPr>
        <w:adjustRightInd w:val="0"/>
        <w:snapToGrid w:val="0"/>
        <w:spacing w:line="600" w:lineRule="exact"/>
        <w:ind w:firstLine="640" w:firstLineChars="200"/>
        <w:rPr>
          <w:rFonts w:hint="eastAsia" w:eastAsia="仿宋_GB2312"/>
          <w:sz w:val="32"/>
          <w:szCs w:val="32"/>
        </w:rPr>
      </w:pPr>
      <w:r>
        <w:rPr>
          <w:rFonts w:hint="eastAsia" w:eastAsia="仿宋_GB2312"/>
          <w:sz w:val="32"/>
          <w:szCs w:val="32"/>
        </w:rPr>
        <w:t>预算编制多由财务部门主导，一线教学、后勤等部门参与度较低，且编制过程中对历史支出数据、未来发展规划的参考不足，多依赖经验估算。这容易导致预算与各部门实际工作需求脱节，出现 “重编制、轻实际” 的情况，进一步加剧预算执行偏差。</w:t>
      </w:r>
    </w:p>
    <w:p w14:paraId="34F0EC27">
      <w:pPr>
        <w:adjustRightInd w:val="0"/>
        <w:snapToGrid w:val="0"/>
        <w:spacing w:line="600" w:lineRule="exact"/>
        <w:ind w:firstLine="640" w:firstLineChars="200"/>
        <w:rPr>
          <w:rFonts w:hint="eastAsia" w:eastAsia="仿宋_GB2312"/>
          <w:sz w:val="32"/>
          <w:szCs w:val="32"/>
        </w:rPr>
      </w:pPr>
      <w:r>
        <w:rPr>
          <w:rFonts w:hint="eastAsia" w:eastAsia="仿宋_GB2312"/>
          <w:sz w:val="32"/>
          <w:szCs w:val="32"/>
        </w:rPr>
        <w:t>部门履职方面存在的问题</w:t>
      </w:r>
    </w:p>
    <w:p w14:paraId="16FDD3BA">
      <w:pPr>
        <w:adjustRightInd w:val="0"/>
        <w:snapToGrid w:val="0"/>
        <w:spacing w:line="600" w:lineRule="exact"/>
        <w:ind w:firstLine="640" w:firstLineChars="200"/>
        <w:rPr>
          <w:rFonts w:hint="eastAsia" w:eastAsia="仿宋_GB2312"/>
          <w:sz w:val="32"/>
          <w:szCs w:val="32"/>
        </w:rPr>
      </w:pPr>
      <w:r>
        <w:rPr>
          <w:rFonts w:hint="eastAsia" w:eastAsia="仿宋_GB2312"/>
          <w:sz w:val="32"/>
          <w:szCs w:val="32"/>
        </w:rPr>
        <w:t>1、预算执行的监督与反馈机制不健全：</w:t>
      </w:r>
    </w:p>
    <w:p w14:paraId="344F44CF">
      <w:pPr>
        <w:adjustRightInd w:val="0"/>
        <w:snapToGrid w:val="0"/>
        <w:spacing w:line="600" w:lineRule="exact"/>
        <w:ind w:firstLine="640" w:firstLineChars="200"/>
        <w:rPr>
          <w:rFonts w:hint="eastAsia" w:eastAsia="仿宋_GB2312"/>
          <w:sz w:val="32"/>
          <w:szCs w:val="32"/>
        </w:rPr>
      </w:pPr>
      <w:r>
        <w:rPr>
          <w:rFonts w:hint="eastAsia" w:eastAsia="仿宋_GB2312"/>
          <w:sz w:val="32"/>
          <w:szCs w:val="32"/>
        </w:rPr>
        <w:t>各部门在预算执行过程中，缺乏常态化的自我监督与数据反馈意识，未定期梳理资金使用情况并向财务部门同步信息，导致财务部门难以实时掌握执行动态。这可能造成问题发现滞后，无法及时采取纠偏措施，最终影响预算目标的实现。</w:t>
      </w:r>
    </w:p>
    <w:p w14:paraId="7E15768B">
      <w:pPr>
        <w:adjustRightInd w:val="0"/>
        <w:snapToGrid w:val="0"/>
        <w:spacing w:line="600" w:lineRule="exact"/>
        <w:ind w:firstLine="640" w:firstLineChars="200"/>
        <w:rPr>
          <w:rFonts w:hint="eastAsia" w:eastAsia="仿宋_GB2312"/>
          <w:sz w:val="32"/>
          <w:szCs w:val="32"/>
        </w:rPr>
      </w:pPr>
      <w:r>
        <w:rPr>
          <w:rFonts w:hint="eastAsia" w:eastAsia="仿宋_GB2312"/>
          <w:sz w:val="32"/>
          <w:szCs w:val="32"/>
        </w:rPr>
        <w:t>2、跨部门协作的效率与协同性待提升：</w:t>
      </w:r>
    </w:p>
    <w:p w14:paraId="062A33AC">
      <w:pPr>
        <w:adjustRightInd w:val="0"/>
        <w:snapToGrid w:val="0"/>
        <w:spacing w:line="600" w:lineRule="exact"/>
        <w:ind w:firstLine="640" w:firstLineChars="200"/>
        <w:rPr>
          <w:rFonts w:hint="eastAsia" w:eastAsia="仿宋_GB2312"/>
          <w:sz w:val="32"/>
          <w:szCs w:val="32"/>
        </w:rPr>
      </w:pPr>
      <w:r>
        <w:rPr>
          <w:rFonts w:hint="eastAsia" w:eastAsia="仿宋_GB2312"/>
          <w:sz w:val="32"/>
          <w:szCs w:val="32"/>
        </w:rPr>
        <w:t>在涉及多部门配合的工作（如大型活动筹备、设施改造等）中，部门间缺乏清晰的职责划分与高效的沟通机制，常出现任务推诿、信息不对称的情况，导致工作推进缓慢、资源内耗增加。随着学校业务复杂度提升，跨部门协作的低效问题将更明显影响整体履职效能。</w:t>
      </w:r>
    </w:p>
    <w:p w14:paraId="2FA2D97D">
      <w:pPr>
        <w:adjustRightInd w:val="0"/>
        <w:snapToGrid w:val="0"/>
        <w:spacing w:line="600" w:lineRule="exact"/>
        <w:ind w:firstLine="640" w:firstLineChars="200"/>
        <w:rPr>
          <w:rFonts w:eastAsia="黑体"/>
          <w:sz w:val="32"/>
          <w:szCs w:val="32"/>
        </w:rPr>
      </w:pPr>
      <w:r>
        <w:rPr>
          <w:rFonts w:hint="eastAsia" w:eastAsia="黑体"/>
          <w:sz w:val="32"/>
          <w:szCs w:val="32"/>
        </w:rPr>
        <w:t>七</w:t>
      </w:r>
      <w:r>
        <w:rPr>
          <w:rFonts w:eastAsia="黑体"/>
          <w:sz w:val="32"/>
          <w:szCs w:val="32"/>
        </w:rPr>
        <w:t>、</w:t>
      </w:r>
      <w:r>
        <w:rPr>
          <w:rFonts w:hint="eastAsia" w:eastAsia="黑体"/>
          <w:sz w:val="32"/>
          <w:szCs w:val="32"/>
        </w:rPr>
        <w:t>改进措施和有关建议</w:t>
      </w:r>
    </w:p>
    <w:p w14:paraId="49B7A757">
      <w:pPr>
        <w:adjustRightInd w:val="0"/>
        <w:snapToGrid w:val="0"/>
        <w:spacing w:line="600" w:lineRule="exact"/>
        <w:ind w:firstLine="640" w:firstLineChars="200"/>
        <w:rPr>
          <w:rFonts w:hint="eastAsia" w:eastAsia="仿宋_GB2312"/>
          <w:sz w:val="32"/>
          <w:szCs w:val="32"/>
        </w:rPr>
      </w:pPr>
      <w:r>
        <w:rPr>
          <w:rFonts w:hint="eastAsia" w:eastAsia="仿宋_GB2312"/>
          <w:sz w:val="32"/>
          <w:szCs w:val="32"/>
        </w:rPr>
        <w:t>我单位后续在工作执行过程中，将进一步强化经费管控力度，科学统筹各类资金，推行 “分类核算、分项列支” 的精细化管理模式，把经费支出细化到具体工作环节（如设备采购、服务外包、日常运维等），确保每一笔资金使用都对应明确的绩效目标，实现经费支出与年初设定绩效的精准匹配。</w:t>
      </w:r>
    </w:p>
    <w:p w14:paraId="42F23FCA">
      <w:pPr>
        <w:adjustRightInd w:val="0"/>
        <w:snapToGrid w:val="0"/>
        <w:spacing w:line="600" w:lineRule="exact"/>
        <w:ind w:firstLine="640" w:firstLineChars="200"/>
        <w:rPr>
          <w:rFonts w:hint="eastAsia" w:eastAsia="仿宋_GB2312"/>
          <w:sz w:val="32"/>
          <w:szCs w:val="32"/>
        </w:rPr>
      </w:pPr>
      <w:r>
        <w:rPr>
          <w:rFonts w:hint="eastAsia" w:eastAsia="仿宋_GB2312"/>
          <w:sz w:val="32"/>
          <w:szCs w:val="32"/>
        </w:rPr>
        <w:t>同时，健全项目全流程跟踪管理机制。</w:t>
      </w:r>
    </w:p>
    <w:p w14:paraId="573BC12C">
      <w:pPr>
        <w:adjustRightInd w:val="0"/>
        <w:snapToGrid w:val="0"/>
        <w:spacing w:line="600" w:lineRule="exact"/>
        <w:ind w:firstLine="640" w:firstLineChars="200"/>
        <w:rPr>
          <w:rFonts w:hint="eastAsia" w:eastAsia="仿宋_GB2312"/>
          <w:sz w:val="32"/>
          <w:szCs w:val="32"/>
        </w:rPr>
      </w:pPr>
      <w:r>
        <w:rPr>
          <w:rFonts w:hint="eastAsia" w:eastAsia="仿宋_GB2312"/>
          <w:sz w:val="32"/>
          <w:szCs w:val="32"/>
        </w:rPr>
        <w:t>对于检查结果，建立分级处置机制：对进度达标、绩效指标完成良好的项目，在单位内部通报表扬，并将其经验做法整理成案例供其他项目参考；对进展滞后、绩效偏离预期的项目，立即启动协调会议，联合项目负责人、财务部门及相关业务科室分析问题根源（如资源不足、流程卡点等），制定针对性整改方案（如补充调配资源、优化执行流程），明确整改时限与责任人，后续每周跟进整改进度，直至项目回归正常轨道，切实保障所有项目均能达到预期绩效目标。</w:t>
      </w:r>
    </w:p>
    <w:p w14:paraId="6857033C">
      <w:pPr>
        <w:adjustRightInd w:val="0"/>
        <w:snapToGrid w:val="0"/>
        <w:spacing w:line="600" w:lineRule="exact"/>
        <w:ind w:firstLine="640" w:firstLineChars="200"/>
        <w:rPr>
          <w:rFonts w:eastAsia="仿宋_GB2312"/>
          <w:sz w:val="32"/>
          <w:szCs w:val="32"/>
        </w:rPr>
      </w:pPr>
    </w:p>
    <w:p w14:paraId="019D8854">
      <w:pPr>
        <w:adjustRightInd w:val="0"/>
        <w:snapToGrid w:val="0"/>
        <w:spacing w:line="600" w:lineRule="exact"/>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附件：</w:t>
      </w:r>
      <w:r>
        <w:fldChar w:fldCharType="begin"/>
      </w:r>
      <w:r>
        <w:instrText xml:space="preserve"> HYPERLINK "file:///C:\\Users\\Administrator\\Desktop\\10.18\\绩效自评模板\\2016年永州市直部门整体支出绩效评价指标表.doc" </w:instrText>
      </w:r>
      <w:r>
        <w:fldChar w:fldCharType="separate"/>
      </w:r>
      <w:r>
        <w:rPr>
          <w:rStyle w:val="11"/>
          <w:rFonts w:hint="eastAsia" w:ascii="仿宋_GB2312" w:hAnsi="仿宋_GB2312" w:eastAsia="仿宋_GB2312" w:cs="仿宋_GB2312"/>
          <w:sz w:val="30"/>
          <w:szCs w:val="30"/>
        </w:rPr>
        <w:t>部门整体支出绩效评价指标表</w:t>
      </w:r>
      <w:r>
        <w:rPr>
          <w:rStyle w:val="11"/>
          <w:rFonts w:hint="eastAsia" w:ascii="仿宋_GB2312" w:hAnsi="仿宋_GB2312" w:eastAsia="仿宋_GB2312" w:cs="仿宋_GB2312"/>
          <w:sz w:val="30"/>
          <w:szCs w:val="30"/>
        </w:rPr>
        <w:fldChar w:fldCharType="end"/>
      </w:r>
    </w:p>
    <w:tbl>
      <w:tblPr>
        <w:tblStyle w:val="8"/>
        <w:tblpPr w:leftFromText="180" w:rightFromText="180" w:vertAnchor="text" w:horzAnchor="page" w:tblpX="1706" w:tblpY="1256"/>
        <w:tblOverlap w:val="never"/>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417"/>
        <w:gridCol w:w="494"/>
        <w:gridCol w:w="522"/>
        <w:gridCol w:w="752"/>
        <w:gridCol w:w="766"/>
        <w:gridCol w:w="766"/>
        <w:gridCol w:w="74"/>
        <w:gridCol w:w="417"/>
        <w:gridCol w:w="417"/>
        <w:gridCol w:w="618"/>
        <w:gridCol w:w="933"/>
        <w:gridCol w:w="2352"/>
      </w:tblGrid>
      <w:tr w14:paraId="52ADCB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8528" w:type="dxa"/>
            <w:gridSpan w:val="12"/>
            <w:tcBorders>
              <w:top w:val="nil"/>
              <w:left w:val="nil"/>
              <w:bottom w:val="nil"/>
              <w:right w:val="nil"/>
            </w:tcBorders>
            <w:shd w:val="clear" w:color="auto" w:fill="auto"/>
            <w:noWrap/>
            <w:vAlign w:val="center"/>
          </w:tcPr>
          <w:p w14:paraId="41610B45">
            <w:pPr>
              <w:keepNext w:val="0"/>
              <w:keepLines w:val="0"/>
              <w:widowControl/>
              <w:suppressLineNumbers w:val="0"/>
              <w:spacing w:before="0" w:beforeAutospacing="0" w:after="0" w:afterAutospacing="0"/>
              <w:ind w:left="0" w:right="0"/>
              <w:jc w:val="center"/>
              <w:textAlignment w:val="center"/>
              <w:rPr>
                <w:rFonts w:hint="default" w:ascii="方正小标宋简体" w:hAnsi="方正小标宋简体" w:eastAsia="方正小标宋简体" w:cs="方正小标宋简体"/>
                <w:i w:val="0"/>
                <w:iCs w:val="0"/>
                <w:color w:val="000000"/>
                <w:sz w:val="56"/>
                <w:szCs w:val="56"/>
                <w:u w:val="none"/>
              </w:rPr>
            </w:pPr>
            <w:r>
              <w:rPr>
                <w:rFonts w:hint="eastAsia" w:ascii="宋体" w:hAnsi="宋体" w:cs="宋体"/>
                <w:i w:val="0"/>
                <w:iCs w:val="0"/>
                <w:color w:val="000000"/>
                <w:kern w:val="0"/>
                <w:sz w:val="52"/>
                <w:szCs w:val="52"/>
                <w:u w:val="none"/>
                <w:lang w:val="en-US" w:eastAsia="zh-CN" w:bidi="ar"/>
              </w:rPr>
              <w:t>2025</w:t>
            </w:r>
            <w:r>
              <w:rPr>
                <w:rFonts w:hint="eastAsia" w:ascii="宋体" w:hAnsi="宋体" w:eastAsia="宋体" w:cs="宋体"/>
                <w:i w:val="0"/>
                <w:iCs w:val="0"/>
                <w:color w:val="000000"/>
                <w:kern w:val="0"/>
                <w:sz w:val="52"/>
                <w:szCs w:val="52"/>
                <w:u w:val="none"/>
                <w:lang w:val="en-US" w:eastAsia="zh-CN" w:bidi="ar"/>
              </w:rPr>
              <w:t>年度部门整体支出绩效自评表</w:t>
            </w:r>
          </w:p>
        </w:tc>
      </w:tr>
      <w:tr w14:paraId="73DAE1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1420" w:type="dxa"/>
            <w:gridSpan w:val="3"/>
            <w:tcBorders>
              <w:top w:val="single" w:color="000000" w:sz="12" w:space="0"/>
              <w:left w:val="single" w:color="000000" w:sz="12" w:space="0"/>
              <w:bottom w:val="single" w:color="000000" w:sz="8" w:space="0"/>
              <w:right w:val="single" w:color="000000" w:sz="8" w:space="0"/>
            </w:tcBorders>
            <w:shd w:val="clear" w:color="auto" w:fill="auto"/>
            <w:vAlign w:val="center"/>
          </w:tcPr>
          <w:p w14:paraId="42C1C7A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b/>
                <w:bCs/>
                <w:i w:val="0"/>
                <w:iCs w:val="0"/>
                <w:color w:val="000000"/>
                <w:kern w:val="0"/>
                <w:sz w:val="22"/>
                <w:szCs w:val="22"/>
                <w:u w:val="none"/>
                <w:lang w:val="en-US" w:eastAsia="zh-CN" w:bidi="ar"/>
              </w:rPr>
              <w:t>预算部门名称</w:t>
            </w:r>
          </w:p>
        </w:tc>
        <w:tc>
          <w:tcPr>
            <w:tcW w:w="7108" w:type="dxa"/>
            <w:gridSpan w:val="9"/>
            <w:tcBorders>
              <w:top w:val="single" w:color="000000" w:sz="12" w:space="0"/>
              <w:left w:val="single" w:color="000000" w:sz="8" w:space="0"/>
              <w:bottom w:val="single" w:color="000000" w:sz="8" w:space="0"/>
              <w:right w:val="single" w:color="000000" w:sz="12" w:space="0"/>
            </w:tcBorders>
            <w:shd w:val="clear" w:color="auto" w:fill="auto"/>
            <w:vAlign w:val="center"/>
          </w:tcPr>
          <w:p w14:paraId="69E4E61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2"/>
                <w:szCs w:val="22"/>
                <w:u w:val="none"/>
                <w:lang w:val="en-US" w:eastAsia="zh-CN" w:bidi="ar"/>
              </w:rPr>
              <w:t>东安县大盛镇大盛中学</w:t>
            </w:r>
          </w:p>
        </w:tc>
      </w:tr>
      <w:tr w14:paraId="532D94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1420" w:type="dxa"/>
            <w:gridSpan w:val="3"/>
            <w:vMerge w:val="restart"/>
            <w:tcBorders>
              <w:top w:val="single" w:color="000000" w:sz="8" w:space="0"/>
              <w:left w:val="single" w:color="000000" w:sz="12" w:space="0"/>
              <w:bottom w:val="single" w:color="000000" w:sz="8" w:space="0"/>
              <w:right w:val="single" w:color="000000" w:sz="8" w:space="0"/>
            </w:tcBorders>
            <w:shd w:val="clear" w:color="auto" w:fill="auto"/>
            <w:vAlign w:val="center"/>
          </w:tcPr>
          <w:p w14:paraId="5EE6F36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default" w:ascii="Microsoft YaHei UI" w:hAnsi="Microsoft YaHei UI" w:eastAsia="Microsoft YaHei UI" w:cs="Microsoft YaHei UI"/>
                <w:i w:val="0"/>
                <w:iCs w:val="0"/>
                <w:color w:val="000000"/>
                <w:kern w:val="0"/>
                <w:sz w:val="20"/>
                <w:szCs w:val="20"/>
                <w:u w:val="none"/>
                <w:lang w:val="en-US" w:eastAsia="zh-CN" w:bidi="ar"/>
              </w:rPr>
              <w:t>年度预算申请</w:t>
            </w:r>
            <w:r>
              <w:rPr>
                <w:rFonts w:hint="default" w:ascii="Microsoft YaHei UI" w:hAnsi="Microsoft YaHei UI" w:eastAsia="Microsoft YaHei UI" w:cs="Microsoft YaHei UI"/>
                <w:i w:val="0"/>
                <w:iCs w:val="0"/>
                <w:color w:val="000000"/>
                <w:kern w:val="0"/>
                <w:sz w:val="20"/>
                <w:szCs w:val="20"/>
                <w:u w:val="none"/>
                <w:lang w:val="en-US" w:eastAsia="zh-CN" w:bidi="ar"/>
              </w:rPr>
              <w:br w:type="textWrapping"/>
            </w:r>
            <w:r>
              <w:rPr>
                <w:rFonts w:hint="default" w:ascii="Microsoft YaHei UI" w:hAnsi="Microsoft YaHei UI" w:eastAsia="Microsoft YaHei UI" w:cs="Microsoft YaHei UI"/>
                <w:i w:val="0"/>
                <w:iCs w:val="0"/>
                <w:color w:val="000000"/>
                <w:kern w:val="0"/>
                <w:sz w:val="20"/>
                <w:szCs w:val="20"/>
                <w:u w:val="none"/>
                <w:lang w:val="en-US" w:eastAsia="zh-CN" w:bidi="ar"/>
              </w:rPr>
              <w:t>(万元)</w:t>
            </w:r>
          </w:p>
        </w:tc>
        <w:tc>
          <w:tcPr>
            <w:tcW w:w="752" w:type="dxa"/>
            <w:tcBorders>
              <w:top w:val="single" w:color="000000" w:sz="8" w:space="0"/>
              <w:left w:val="single" w:color="000000" w:sz="8" w:space="0"/>
              <w:bottom w:val="single" w:color="000000" w:sz="8" w:space="0"/>
              <w:right w:val="single" w:color="000000" w:sz="8" w:space="0"/>
            </w:tcBorders>
            <w:shd w:val="clear" w:color="auto" w:fill="auto"/>
            <w:vAlign w:val="center"/>
          </w:tcPr>
          <w:p w14:paraId="58DB42EE">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652" w:type="dxa"/>
            <w:tcBorders>
              <w:top w:val="single" w:color="000000" w:sz="8" w:space="0"/>
              <w:left w:val="single" w:color="000000" w:sz="8" w:space="0"/>
              <w:bottom w:val="single" w:color="000000" w:sz="8" w:space="0"/>
              <w:right w:val="single" w:color="000000" w:sz="8" w:space="0"/>
            </w:tcBorders>
            <w:shd w:val="clear" w:color="auto" w:fill="auto"/>
            <w:vAlign w:val="center"/>
          </w:tcPr>
          <w:p w14:paraId="644FF40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default" w:ascii="仿宋_GB2312" w:hAnsi="宋体" w:eastAsia="仿宋_GB2312" w:cs="仿宋_GB2312"/>
                <w:b/>
                <w:bCs/>
                <w:i w:val="0"/>
                <w:iCs w:val="0"/>
                <w:color w:val="000000"/>
                <w:kern w:val="0"/>
                <w:sz w:val="20"/>
                <w:szCs w:val="20"/>
                <w:u w:val="none"/>
                <w:lang w:val="en-US" w:eastAsia="zh-CN" w:bidi="ar"/>
              </w:rPr>
              <w:t>年初预算数(万元)</w:t>
            </w:r>
          </w:p>
        </w:tc>
        <w:tc>
          <w:tcPr>
            <w:tcW w:w="47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4C5D323D">
            <w:pPr>
              <w:keepNext w:val="0"/>
              <w:keepLines w:val="0"/>
              <w:widowControl/>
              <w:suppressLineNumbers w:val="0"/>
              <w:spacing w:before="0" w:beforeAutospacing="0" w:after="0" w:afterAutospacing="0"/>
              <w:ind w:left="0" w:right="0"/>
              <w:jc w:val="center"/>
              <w:textAlignment w:val="center"/>
              <w:rPr>
                <w:rFonts w:hint="default"/>
              </w:rPr>
            </w:pPr>
            <w:r>
              <w:rPr>
                <w:rFonts w:hint="eastAsia" w:ascii="宋体" w:hAnsi="宋体" w:eastAsia="宋体" w:cs="宋体"/>
                <w:b/>
                <w:bCs/>
                <w:i w:val="0"/>
                <w:iCs w:val="0"/>
                <w:color w:val="000000"/>
                <w:kern w:val="0"/>
                <w:sz w:val="20"/>
                <w:szCs w:val="20"/>
                <w:u w:val="none"/>
                <w:lang w:val="en-US" w:eastAsia="zh-CN" w:bidi="ar"/>
              </w:rPr>
              <w:t>全年预算数（万元）</w:t>
            </w:r>
          </w:p>
        </w:tc>
        <w:tc>
          <w:tcPr>
            <w:tcW w:w="947" w:type="dxa"/>
            <w:gridSpan w:val="3"/>
            <w:tcBorders>
              <w:top w:val="single" w:color="000000" w:sz="8" w:space="0"/>
              <w:left w:val="single" w:color="000000" w:sz="8" w:space="0"/>
              <w:bottom w:val="single" w:color="000000" w:sz="8" w:space="0"/>
              <w:right w:val="single" w:color="000000" w:sz="8" w:space="0"/>
            </w:tcBorders>
            <w:shd w:val="clear" w:color="auto" w:fill="auto"/>
            <w:vAlign w:val="center"/>
          </w:tcPr>
          <w:p w14:paraId="030CF4B4">
            <w:pPr>
              <w:keepNext w:val="0"/>
              <w:keepLines w:val="0"/>
              <w:widowControl/>
              <w:suppressLineNumbers w:val="0"/>
              <w:spacing w:before="0" w:beforeAutospacing="0" w:after="0" w:afterAutospacing="0"/>
              <w:ind w:left="0" w:right="0"/>
              <w:jc w:val="center"/>
              <w:textAlignment w:val="center"/>
              <w:rPr>
                <w:rFonts w:hint="default"/>
              </w:rPr>
            </w:pPr>
            <w:r>
              <w:rPr>
                <w:rFonts w:hint="eastAsia" w:ascii="宋体" w:hAnsi="宋体" w:eastAsia="宋体" w:cs="宋体"/>
                <w:b/>
                <w:bCs/>
                <w:i w:val="0"/>
                <w:iCs w:val="0"/>
                <w:color w:val="000000"/>
                <w:kern w:val="0"/>
                <w:sz w:val="20"/>
                <w:szCs w:val="20"/>
                <w:u w:val="none"/>
                <w:lang w:val="en-US" w:eastAsia="zh-CN" w:bidi="ar"/>
              </w:rPr>
              <w:t>全年执行数（万元）</w:t>
            </w:r>
          </w:p>
        </w:tc>
        <w:tc>
          <w:tcPr>
            <w:tcW w:w="528" w:type="dxa"/>
            <w:tcBorders>
              <w:top w:val="single" w:color="000000" w:sz="8" w:space="0"/>
              <w:left w:val="single" w:color="000000" w:sz="8" w:space="0"/>
              <w:bottom w:val="single" w:color="000000" w:sz="8" w:space="0"/>
              <w:right w:val="single" w:color="000000" w:sz="8" w:space="0"/>
            </w:tcBorders>
            <w:shd w:val="clear" w:color="auto" w:fill="auto"/>
            <w:vAlign w:val="center"/>
          </w:tcPr>
          <w:p w14:paraId="47FA160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b/>
                <w:bCs/>
                <w:i w:val="0"/>
                <w:iCs w:val="0"/>
                <w:color w:val="000000"/>
                <w:kern w:val="0"/>
                <w:sz w:val="20"/>
                <w:szCs w:val="20"/>
                <w:u w:val="none"/>
                <w:lang w:val="en-US" w:eastAsia="zh-CN" w:bidi="ar"/>
              </w:rPr>
              <w:t>分值</w:t>
            </w:r>
          </w:p>
        </w:tc>
        <w:tc>
          <w:tcPr>
            <w:tcW w:w="529" w:type="dxa"/>
            <w:tcBorders>
              <w:top w:val="single" w:color="000000" w:sz="8" w:space="0"/>
              <w:left w:val="single" w:color="000000" w:sz="8" w:space="0"/>
              <w:bottom w:val="single" w:color="000000" w:sz="8" w:space="0"/>
              <w:right w:val="single" w:color="000000" w:sz="8" w:space="0"/>
            </w:tcBorders>
            <w:shd w:val="clear" w:color="auto" w:fill="auto"/>
            <w:vAlign w:val="center"/>
          </w:tcPr>
          <w:p w14:paraId="7017EA4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b/>
                <w:bCs/>
                <w:i w:val="0"/>
                <w:iCs w:val="0"/>
                <w:color w:val="000000"/>
                <w:kern w:val="0"/>
                <w:sz w:val="20"/>
                <w:szCs w:val="20"/>
                <w:u w:val="none"/>
                <w:lang w:val="en-US" w:eastAsia="zh-CN" w:bidi="ar"/>
              </w:rPr>
              <w:t>执行率</w:t>
            </w:r>
          </w:p>
        </w:tc>
        <w:tc>
          <w:tcPr>
            <w:tcW w:w="322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5130CA4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default" w:ascii="仿宋_GB2312" w:hAnsi="宋体" w:eastAsia="仿宋_GB2312" w:cs="仿宋_GB2312"/>
                <w:b/>
                <w:bCs/>
                <w:i w:val="0"/>
                <w:iCs w:val="0"/>
                <w:color w:val="000000"/>
                <w:kern w:val="0"/>
                <w:sz w:val="20"/>
                <w:szCs w:val="20"/>
                <w:u w:val="none"/>
                <w:lang w:val="en-US" w:eastAsia="zh-CN" w:bidi="ar"/>
              </w:rPr>
              <w:t>得分</w:t>
            </w:r>
          </w:p>
        </w:tc>
      </w:tr>
      <w:tr w14:paraId="20CBD3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1420" w:type="dxa"/>
            <w:gridSpan w:val="3"/>
            <w:vMerge w:val="continue"/>
            <w:tcBorders>
              <w:top w:val="single" w:color="000000" w:sz="8" w:space="0"/>
              <w:left w:val="single" w:color="000000" w:sz="12" w:space="0"/>
              <w:bottom w:val="single" w:color="000000" w:sz="8" w:space="0"/>
              <w:right w:val="single" w:color="000000" w:sz="8" w:space="0"/>
            </w:tcBorders>
            <w:shd w:val="clear" w:color="auto" w:fill="auto"/>
            <w:vAlign w:val="center"/>
          </w:tcPr>
          <w:p w14:paraId="49D5EBD4">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c>
          <w:tcPr>
            <w:tcW w:w="752" w:type="dxa"/>
            <w:tcBorders>
              <w:top w:val="single" w:color="000000" w:sz="8" w:space="0"/>
              <w:left w:val="single" w:color="000000" w:sz="8" w:space="0"/>
              <w:bottom w:val="single" w:color="000000" w:sz="8" w:space="0"/>
              <w:right w:val="single" w:color="000000" w:sz="8" w:space="0"/>
            </w:tcBorders>
            <w:shd w:val="clear" w:color="auto" w:fill="auto"/>
            <w:vAlign w:val="center"/>
          </w:tcPr>
          <w:p w14:paraId="1DB8BC9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default" w:ascii="仿宋_GB2312" w:hAnsi="宋体" w:eastAsia="仿宋_GB2312" w:cs="仿宋_GB2312"/>
                <w:b/>
                <w:bCs/>
                <w:i w:val="0"/>
                <w:iCs w:val="0"/>
                <w:color w:val="000000"/>
                <w:kern w:val="0"/>
                <w:sz w:val="20"/>
                <w:szCs w:val="20"/>
                <w:u w:val="none"/>
                <w:lang w:val="en-US" w:eastAsia="zh-CN" w:bidi="ar"/>
              </w:rPr>
              <w:t>年度资金总额：</w:t>
            </w:r>
          </w:p>
        </w:tc>
        <w:tc>
          <w:tcPr>
            <w:tcW w:w="652" w:type="dxa"/>
            <w:tcBorders>
              <w:top w:val="single" w:color="000000" w:sz="8" w:space="0"/>
              <w:left w:val="single" w:color="000000" w:sz="8" w:space="0"/>
              <w:bottom w:val="single" w:color="000000" w:sz="8" w:space="0"/>
              <w:right w:val="single" w:color="000000" w:sz="8" w:space="0"/>
            </w:tcBorders>
            <w:shd w:val="clear" w:color="auto" w:fill="auto"/>
            <w:vAlign w:val="center"/>
          </w:tcPr>
          <w:p w14:paraId="02836E9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lang w:val="en-US"/>
              </w:rPr>
            </w:pPr>
            <w:r>
              <w:rPr>
                <w:rFonts w:hint="eastAsia" w:cs="Times New Roman"/>
                <w:i w:val="0"/>
                <w:iCs w:val="0"/>
                <w:color w:val="000000"/>
                <w:kern w:val="0"/>
                <w:sz w:val="20"/>
                <w:szCs w:val="20"/>
                <w:u w:val="none"/>
                <w:lang w:val="en-US" w:eastAsia="zh-CN" w:bidi="ar"/>
              </w:rPr>
              <w:t>333.93</w:t>
            </w:r>
          </w:p>
        </w:tc>
        <w:tc>
          <w:tcPr>
            <w:tcW w:w="47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1CE1431D">
            <w:pPr>
              <w:keepNext w:val="0"/>
              <w:keepLines w:val="0"/>
              <w:widowControl/>
              <w:suppressLineNumbers w:val="0"/>
              <w:spacing w:before="0" w:beforeAutospacing="0" w:after="0" w:afterAutospacing="0"/>
              <w:ind w:left="0" w:right="0"/>
              <w:jc w:val="center"/>
              <w:textAlignment w:val="center"/>
              <w:rPr>
                <w:rFonts w:hint="default"/>
                <w:lang w:val="en-US"/>
              </w:rPr>
            </w:pPr>
            <w:r>
              <w:rPr>
                <w:rFonts w:hint="eastAsia" w:cs="Times New Roman"/>
                <w:i w:val="0"/>
                <w:iCs w:val="0"/>
                <w:color w:val="000000"/>
                <w:kern w:val="0"/>
                <w:sz w:val="20"/>
                <w:szCs w:val="20"/>
                <w:u w:val="none"/>
                <w:lang w:val="en-US" w:eastAsia="zh-CN" w:bidi="ar"/>
              </w:rPr>
              <w:t>785.70</w:t>
            </w:r>
          </w:p>
        </w:tc>
        <w:tc>
          <w:tcPr>
            <w:tcW w:w="947" w:type="dxa"/>
            <w:gridSpan w:val="3"/>
            <w:tcBorders>
              <w:top w:val="single" w:color="000000" w:sz="8" w:space="0"/>
              <w:left w:val="single" w:color="000000" w:sz="8" w:space="0"/>
              <w:bottom w:val="single" w:color="000000" w:sz="8" w:space="0"/>
              <w:right w:val="single" w:color="000000" w:sz="8" w:space="0"/>
            </w:tcBorders>
            <w:shd w:val="clear" w:color="auto" w:fill="auto"/>
            <w:vAlign w:val="center"/>
          </w:tcPr>
          <w:p w14:paraId="0113A707">
            <w:pPr>
              <w:keepNext w:val="0"/>
              <w:keepLines w:val="0"/>
              <w:widowControl/>
              <w:suppressLineNumbers w:val="0"/>
              <w:spacing w:before="0" w:beforeAutospacing="0" w:after="0" w:afterAutospacing="0"/>
              <w:ind w:left="0" w:right="0"/>
              <w:jc w:val="center"/>
              <w:textAlignment w:val="center"/>
              <w:rPr>
                <w:rFonts w:hint="default"/>
                <w:lang w:val="en-US"/>
              </w:rPr>
            </w:pPr>
            <w:r>
              <w:rPr>
                <w:rFonts w:hint="eastAsia" w:cs="Times New Roman"/>
                <w:i w:val="0"/>
                <w:iCs w:val="0"/>
                <w:color w:val="000000"/>
                <w:kern w:val="0"/>
                <w:sz w:val="20"/>
                <w:szCs w:val="20"/>
                <w:u w:val="none"/>
                <w:lang w:val="en-US" w:eastAsia="zh-CN" w:bidi="ar"/>
              </w:rPr>
              <w:t>785.70</w:t>
            </w:r>
          </w:p>
        </w:tc>
        <w:tc>
          <w:tcPr>
            <w:tcW w:w="528" w:type="dxa"/>
            <w:tcBorders>
              <w:top w:val="single" w:color="000000" w:sz="8" w:space="0"/>
              <w:left w:val="single" w:color="000000" w:sz="8" w:space="0"/>
              <w:bottom w:val="single" w:color="000000" w:sz="8" w:space="0"/>
              <w:right w:val="single" w:color="000000" w:sz="8" w:space="0"/>
            </w:tcBorders>
            <w:shd w:val="clear" w:color="auto" w:fill="auto"/>
            <w:vAlign w:val="center"/>
          </w:tcPr>
          <w:p w14:paraId="252B265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20"/>
                <w:szCs w:val="20"/>
                <w:u w:val="none"/>
                <w:lang w:val="en-US" w:eastAsia="zh-CN" w:bidi="ar"/>
              </w:rPr>
              <w:t>10</w:t>
            </w:r>
          </w:p>
        </w:tc>
        <w:tc>
          <w:tcPr>
            <w:tcW w:w="529" w:type="dxa"/>
            <w:tcBorders>
              <w:top w:val="single" w:color="000000" w:sz="8" w:space="0"/>
              <w:left w:val="single" w:color="000000" w:sz="8" w:space="0"/>
              <w:bottom w:val="single" w:color="000000" w:sz="8" w:space="0"/>
              <w:right w:val="single" w:color="000000" w:sz="8" w:space="0"/>
            </w:tcBorders>
            <w:shd w:val="clear" w:color="auto" w:fill="auto"/>
            <w:vAlign w:val="center"/>
          </w:tcPr>
          <w:p w14:paraId="1869FA9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20"/>
                <w:szCs w:val="20"/>
                <w:u w:val="none"/>
                <w:lang w:val="en-US" w:eastAsia="zh-CN" w:bidi="ar"/>
              </w:rPr>
              <w:t>100.00%</w:t>
            </w:r>
          </w:p>
        </w:tc>
        <w:tc>
          <w:tcPr>
            <w:tcW w:w="322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342C1CD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20"/>
                <w:szCs w:val="20"/>
                <w:u w:val="none"/>
                <w:lang w:val="en-US" w:eastAsia="zh-CN" w:bidi="ar"/>
              </w:rPr>
              <w:t>10.00</w:t>
            </w:r>
          </w:p>
        </w:tc>
      </w:tr>
      <w:tr w14:paraId="7B4C45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420" w:type="dxa"/>
            <w:gridSpan w:val="3"/>
            <w:vMerge w:val="continue"/>
            <w:tcBorders>
              <w:top w:val="single" w:color="000000" w:sz="8" w:space="0"/>
              <w:left w:val="single" w:color="000000" w:sz="12" w:space="0"/>
              <w:bottom w:val="single" w:color="000000" w:sz="8" w:space="0"/>
              <w:right w:val="single" w:color="000000" w:sz="8" w:space="0"/>
            </w:tcBorders>
            <w:shd w:val="clear" w:color="auto" w:fill="auto"/>
            <w:vAlign w:val="center"/>
          </w:tcPr>
          <w:p w14:paraId="233E8306">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c>
          <w:tcPr>
            <w:tcW w:w="2826" w:type="dxa"/>
            <w:gridSpan w:val="6"/>
            <w:tcBorders>
              <w:top w:val="single" w:color="000000" w:sz="8" w:space="0"/>
              <w:left w:val="single" w:color="000000" w:sz="8" w:space="0"/>
              <w:bottom w:val="single" w:color="000000" w:sz="8" w:space="0"/>
              <w:right w:val="single" w:color="000000" w:sz="8" w:space="0"/>
            </w:tcBorders>
            <w:shd w:val="clear" w:color="auto" w:fill="auto"/>
            <w:vAlign w:val="center"/>
          </w:tcPr>
          <w:p w14:paraId="7B1F923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default" w:ascii="仿宋_GB2312" w:hAnsi="宋体" w:eastAsia="仿宋_GB2312" w:cs="仿宋_GB2312"/>
                <w:b/>
                <w:bCs/>
                <w:i w:val="0"/>
                <w:iCs w:val="0"/>
                <w:color w:val="000000"/>
                <w:kern w:val="0"/>
                <w:sz w:val="20"/>
                <w:szCs w:val="20"/>
                <w:u w:val="none"/>
                <w:lang w:val="en-US" w:eastAsia="zh-CN" w:bidi="ar"/>
              </w:rPr>
              <w:t>按收入性质分：</w:t>
            </w:r>
          </w:p>
        </w:tc>
        <w:tc>
          <w:tcPr>
            <w:tcW w:w="4282" w:type="dxa"/>
            <w:gridSpan w:val="3"/>
            <w:tcBorders>
              <w:top w:val="single" w:color="000000" w:sz="8" w:space="0"/>
              <w:left w:val="single" w:color="000000" w:sz="8" w:space="0"/>
              <w:bottom w:val="single" w:color="000000" w:sz="8" w:space="0"/>
              <w:right w:val="single" w:color="000000" w:sz="8" w:space="0"/>
            </w:tcBorders>
            <w:shd w:val="clear" w:color="auto" w:fill="auto"/>
            <w:vAlign w:val="center"/>
          </w:tcPr>
          <w:p w14:paraId="7707213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按支出性质分：</w:t>
            </w:r>
          </w:p>
        </w:tc>
      </w:tr>
      <w:tr w14:paraId="17A086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1420" w:type="dxa"/>
            <w:gridSpan w:val="3"/>
            <w:vMerge w:val="continue"/>
            <w:tcBorders>
              <w:top w:val="single" w:color="000000" w:sz="8" w:space="0"/>
              <w:left w:val="single" w:color="000000" w:sz="12" w:space="0"/>
              <w:bottom w:val="single" w:color="000000" w:sz="8" w:space="0"/>
              <w:right w:val="single" w:color="000000" w:sz="8" w:space="0"/>
            </w:tcBorders>
            <w:shd w:val="clear" w:color="auto" w:fill="auto"/>
            <w:vAlign w:val="center"/>
          </w:tcPr>
          <w:p w14:paraId="3D6A5CD0">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c>
          <w:tcPr>
            <w:tcW w:w="752" w:type="dxa"/>
            <w:tcBorders>
              <w:top w:val="single" w:color="000000" w:sz="8" w:space="0"/>
              <w:left w:val="single" w:color="000000" w:sz="8" w:space="0"/>
              <w:bottom w:val="single" w:color="000000" w:sz="8" w:space="0"/>
              <w:right w:val="single" w:color="000000" w:sz="8" w:space="0"/>
            </w:tcBorders>
            <w:shd w:val="clear" w:color="auto" w:fill="auto"/>
            <w:vAlign w:val="center"/>
          </w:tcPr>
          <w:p w14:paraId="22EF0C6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仿宋_GB2312" w:hAnsi="宋体" w:eastAsia="仿宋_GB2312" w:cs="仿宋_GB2312"/>
                <w:b/>
                <w:bCs/>
                <w:i w:val="0"/>
                <w:iCs w:val="0"/>
                <w:color w:val="000000"/>
                <w:kern w:val="0"/>
                <w:sz w:val="20"/>
                <w:szCs w:val="20"/>
                <w:u w:val="none"/>
                <w:lang w:val="en-US" w:eastAsia="zh-CN" w:bidi="ar"/>
              </w:rPr>
              <w:t>一般公共预算：</w:t>
            </w:r>
          </w:p>
        </w:tc>
        <w:tc>
          <w:tcPr>
            <w:tcW w:w="2074" w:type="dxa"/>
            <w:gridSpan w:val="5"/>
            <w:tcBorders>
              <w:top w:val="single" w:color="000000" w:sz="8" w:space="0"/>
              <w:left w:val="single" w:color="000000" w:sz="8" w:space="0"/>
              <w:bottom w:val="single" w:color="000000" w:sz="8" w:space="0"/>
              <w:right w:val="single" w:color="000000" w:sz="8" w:space="0"/>
            </w:tcBorders>
            <w:shd w:val="clear" w:color="auto" w:fill="auto"/>
            <w:vAlign w:val="center"/>
          </w:tcPr>
          <w:p w14:paraId="35680F3A">
            <w:pPr>
              <w:keepNext w:val="0"/>
              <w:keepLines w:val="0"/>
              <w:widowControl/>
              <w:suppressLineNumbers w:val="0"/>
              <w:spacing w:before="0" w:beforeAutospacing="0" w:after="0" w:afterAutospacing="0"/>
              <w:ind w:left="0" w:right="0"/>
              <w:jc w:val="center"/>
              <w:textAlignment w:val="center"/>
              <w:rPr>
                <w:rFonts w:hint="default"/>
                <w:lang w:val="en-US"/>
              </w:rPr>
            </w:pPr>
            <w:r>
              <w:rPr>
                <w:rFonts w:hint="eastAsia" w:cs="Times New Roman"/>
                <w:i w:val="0"/>
                <w:iCs w:val="0"/>
                <w:color w:val="000000"/>
                <w:kern w:val="0"/>
                <w:sz w:val="20"/>
                <w:szCs w:val="20"/>
                <w:u w:val="none"/>
                <w:lang w:val="en-US" w:eastAsia="zh-CN" w:bidi="ar"/>
              </w:rPr>
              <w:t>749.7</w:t>
            </w:r>
          </w:p>
        </w:tc>
        <w:tc>
          <w:tcPr>
            <w:tcW w:w="528" w:type="dxa"/>
            <w:vMerge w:val="restart"/>
            <w:tcBorders>
              <w:top w:val="single" w:color="000000" w:sz="8" w:space="0"/>
              <w:left w:val="single" w:color="000000" w:sz="8" w:space="0"/>
              <w:bottom w:val="single" w:color="000000" w:sz="8" w:space="0"/>
              <w:right w:val="single" w:color="000000" w:sz="8" w:space="0"/>
            </w:tcBorders>
            <w:shd w:val="clear" w:color="auto" w:fill="auto"/>
            <w:vAlign w:val="center"/>
          </w:tcPr>
          <w:p w14:paraId="4EDACB1B">
            <w:pPr>
              <w:keepNext w:val="0"/>
              <w:keepLines w:val="0"/>
              <w:widowControl/>
              <w:suppressLineNumbers w:val="0"/>
              <w:spacing w:before="0" w:beforeAutospacing="0" w:after="0" w:afterAutospacing="0"/>
              <w:ind w:left="0" w:right="0"/>
              <w:jc w:val="center"/>
              <w:textAlignment w:val="center"/>
              <w:rPr>
                <w:rFonts w:hint="default"/>
              </w:rPr>
            </w:pPr>
            <w:r>
              <w:rPr>
                <w:rFonts w:hint="eastAsia" w:ascii="宋体" w:hAnsi="宋体" w:eastAsia="宋体" w:cs="宋体"/>
                <w:b/>
                <w:bCs/>
                <w:i w:val="0"/>
                <w:iCs w:val="0"/>
                <w:color w:val="000000"/>
                <w:kern w:val="0"/>
                <w:sz w:val="20"/>
                <w:szCs w:val="20"/>
                <w:u w:val="none"/>
                <w:lang w:val="en-US" w:eastAsia="zh-CN" w:bidi="ar"/>
              </w:rPr>
              <w:t>其中:基本支出：</w:t>
            </w:r>
          </w:p>
        </w:tc>
        <w:tc>
          <w:tcPr>
            <w:tcW w:w="3754" w:type="dxa"/>
            <w:gridSpan w:val="2"/>
            <w:vMerge w:val="restart"/>
            <w:tcBorders>
              <w:top w:val="single" w:color="000000" w:sz="8" w:space="0"/>
              <w:left w:val="single" w:color="000000" w:sz="8" w:space="0"/>
              <w:bottom w:val="single" w:color="000000" w:sz="8" w:space="0"/>
              <w:right w:val="single" w:color="000000" w:sz="12" w:space="0"/>
            </w:tcBorders>
            <w:shd w:val="clear" w:color="auto" w:fill="auto"/>
            <w:vAlign w:val="center"/>
          </w:tcPr>
          <w:p w14:paraId="79EC667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cs="Times New Roman"/>
                <w:i w:val="0"/>
                <w:iCs w:val="0"/>
                <w:color w:val="000000"/>
                <w:kern w:val="0"/>
                <w:sz w:val="20"/>
                <w:szCs w:val="20"/>
                <w:u w:val="none"/>
                <w:lang w:val="en-US" w:eastAsia="zh-CN" w:bidi="ar"/>
              </w:rPr>
              <w:t>785.70</w:t>
            </w:r>
          </w:p>
        </w:tc>
      </w:tr>
      <w:tr w14:paraId="3918E8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420" w:type="dxa"/>
            <w:gridSpan w:val="3"/>
            <w:vMerge w:val="continue"/>
            <w:tcBorders>
              <w:top w:val="single" w:color="000000" w:sz="8" w:space="0"/>
              <w:left w:val="single" w:color="000000" w:sz="12" w:space="0"/>
              <w:bottom w:val="single" w:color="000000" w:sz="8" w:space="0"/>
              <w:right w:val="single" w:color="000000" w:sz="8" w:space="0"/>
            </w:tcBorders>
            <w:shd w:val="clear" w:color="auto" w:fill="auto"/>
            <w:vAlign w:val="center"/>
          </w:tcPr>
          <w:p w14:paraId="1853FA15">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c>
          <w:tcPr>
            <w:tcW w:w="752" w:type="dxa"/>
            <w:tcBorders>
              <w:top w:val="single" w:color="000000" w:sz="8" w:space="0"/>
              <w:left w:val="single" w:color="000000" w:sz="8" w:space="0"/>
              <w:bottom w:val="single" w:color="000000" w:sz="8" w:space="0"/>
              <w:right w:val="single" w:color="000000" w:sz="8" w:space="0"/>
            </w:tcBorders>
            <w:shd w:val="clear" w:color="auto" w:fill="auto"/>
            <w:vAlign w:val="center"/>
          </w:tcPr>
          <w:p w14:paraId="0E54034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default" w:ascii="仿宋_GB2312" w:hAnsi="宋体" w:eastAsia="仿宋_GB2312" w:cs="仿宋_GB2312"/>
                <w:b/>
                <w:bCs/>
                <w:i w:val="0"/>
                <w:iCs w:val="0"/>
                <w:color w:val="000000"/>
                <w:kern w:val="0"/>
                <w:sz w:val="20"/>
                <w:szCs w:val="20"/>
                <w:u w:val="none"/>
                <w:lang w:val="en-US" w:eastAsia="zh-CN" w:bidi="ar"/>
              </w:rPr>
              <w:t>政府性基金拨款：</w:t>
            </w:r>
          </w:p>
        </w:tc>
        <w:tc>
          <w:tcPr>
            <w:tcW w:w="2074" w:type="dxa"/>
            <w:gridSpan w:val="5"/>
            <w:tcBorders>
              <w:top w:val="single" w:color="000000" w:sz="8" w:space="0"/>
              <w:left w:val="single" w:color="000000" w:sz="8" w:space="0"/>
              <w:bottom w:val="single" w:color="000000" w:sz="8" w:space="0"/>
              <w:right w:val="single" w:color="000000" w:sz="8" w:space="0"/>
            </w:tcBorders>
            <w:shd w:val="clear" w:color="auto" w:fill="auto"/>
            <w:vAlign w:val="center"/>
          </w:tcPr>
          <w:p w14:paraId="55DC8738">
            <w:pPr>
              <w:keepNext w:val="0"/>
              <w:keepLines w:val="0"/>
              <w:widowControl/>
              <w:suppressLineNumbers w:val="0"/>
              <w:spacing w:before="0" w:beforeAutospacing="0" w:after="0" w:afterAutospacing="0"/>
              <w:ind w:left="0" w:right="0"/>
              <w:jc w:val="center"/>
              <w:textAlignment w:val="center"/>
              <w:rPr>
                <w:rFonts w:hint="default"/>
                <w:lang w:val="en-US"/>
              </w:rPr>
            </w:pPr>
            <w:r>
              <w:rPr>
                <w:rFonts w:hint="eastAsia" w:cs="Times New Roman"/>
                <w:i w:val="0"/>
                <w:iCs w:val="0"/>
                <w:color w:val="000000"/>
                <w:kern w:val="0"/>
                <w:sz w:val="20"/>
                <w:szCs w:val="20"/>
                <w:u w:val="none"/>
                <w:lang w:val="en-US" w:eastAsia="zh-CN" w:bidi="ar"/>
              </w:rPr>
              <w:t>36</w:t>
            </w:r>
          </w:p>
        </w:tc>
        <w:tc>
          <w:tcPr>
            <w:tcW w:w="528"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14511EA9">
            <w:pPr>
              <w:keepNext w:val="0"/>
              <w:keepLines w:val="0"/>
              <w:suppressLineNumbers w:val="0"/>
              <w:spacing w:before="0" w:beforeAutospacing="0" w:after="0" w:afterAutospacing="0"/>
              <w:ind w:left="0" w:right="0"/>
              <w:jc w:val="center"/>
              <w:rPr>
                <w:rFonts w:hint="default"/>
              </w:rPr>
            </w:pPr>
          </w:p>
        </w:tc>
        <w:tc>
          <w:tcPr>
            <w:tcW w:w="3754" w:type="dxa"/>
            <w:gridSpan w:val="2"/>
            <w:vMerge w:val="continue"/>
            <w:tcBorders>
              <w:top w:val="single" w:color="000000" w:sz="8" w:space="0"/>
              <w:left w:val="single" w:color="000000" w:sz="8" w:space="0"/>
              <w:bottom w:val="single" w:color="000000" w:sz="8" w:space="0"/>
              <w:right w:val="single" w:color="000000" w:sz="12" w:space="0"/>
            </w:tcBorders>
            <w:shd w:val="clear" w:color="auto" w:fill="auto"/>
            <w:vAlign w:val="center"/>
          </w:tcPr>
          <w:p w14:paraId="28C234B1">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r>
      <w:tr w14:paraId="41B5E8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1420" w:type="dxa"/>
            <w:gridSpan w:val="3"/>
            <w:vMerge w:val="continue"/>
            <w:tcBorders>
              <w:top w:val="single" w:color="000000" w:sz="8" w:space="0"/>
              <w:left w:val="single" w:color="000000" w:sz="12" w:space="0"/>
              <w:bottom w:val="single" w:color="000000" w:sz="8" w:space="0"/>
              <w:right w:val="single" w:color="000000" w:sz="8" w:space="0"/>
            </w:tcBorders>
            <w:shd w:val="clear" w:color="auto" w:fill="auto"/>
            <w:vAlign w:val="center"/>
          </w:tcPr>
          <w:p w14:paraId="122BC264">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c>
          <w:tcPr>
            <w:tcW w:w="752" w:type="dxa"/>
            <w:tcBorders>
              <w:top w:val="single" w:color="000000" w:sz="8" w:space="0"/>
              <w:left w:val="single" w:color="000000" w:sz="8" w:space="0"/>
              <w:bottom w:val="single" w:color="000000" w:sz="8" w:space="0"/>
              <w:right w:val="single" w:color="000000" w:sz="8" w:space="0"/>
            </w:tcBorders>
            <w:shd w:val="clear" w:color="auto" w:fill="auto"/>
            <w:vAlign w:val="center"/>
          </w:tcPr>
          <w:p w14:paraId="04A7999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default" w:ascii="仿宋_GB2312" w:hAnsi="宋体" w:eastAsia="仿宋_GB2312" w:cs="仿宋_GB2312"/>
                <w:b/>
                <w:bCs/>
                <w:i w:val="0"/>
                <w:iCs w:val="0"/>
                <w:color w:val="000000"/>
                <w:kern w:val="0"/>
                <w:sz w:val="20"/>
                <w:szCs w:val="20"/>
                <w:u w:val="none"/>
                <w:lang w:val="en-US" w:eastAsia="zh-CN" w:bidi="ar"/>
              </w:rPr>
              <w:t>纳入专户管理的非税收入拨款：</w:t>
            </w:r>
          </w:p>
        </w:tc>
        <w:tc>
          <w:tcPr>
            <w:tcW w:w="2074" w:type="dxa"/>
            <w:gridSpan w:val="5"/>
            <w:tcBorders>
              <w:top w:val="single" w:color="000000" w:sz="8" w:space="0"/>
              <w:left w:val="single" w:color="000000" w:sz="8" w:space="0"/>
              <w:bottom w:val="single" w:color="000000" w:sz="8" w:space="0"/>
              <w:right w:val="single" w:color="000000" w:sz="8" w:space="0"/>
            </w:tcBorders>
            <w:shd w:val="clear" w:color="auto" w:fill="auto"/>
            <w:vAlign w:val="center"/>
          </w:tcPr>
          <w:p w14:paraId="2D80EAC8">
            <w:pPr>
              <w:keepNext w:val="0"/>
              <w:keepLines w:val="0"/>
              <w:widowControl/>
              <w:suppressLineNumbers w:val="0"/>
              <w:spacing w:before="0" w:beforeAutospacing="0" w:after="0" w:afterAutospacing="0"/>
              <w:ind w:left="0" w:right="0"/>
              <w:jc w:val="center"/>
              <w:textAlignment w:val="center"/>
              <w:rPr>
                <w:rFonts w:hint="default"/>
              </w:rPr>
            </w:pPr>
            <w:r>
              <w:rPr>
                <w:rFonts w:hint="default" w:ascii="Times New Roman" w:hAnsi="Times New Roman" w:eastAsia="宋体" w:cs="Times New Roman"/>
                <w:i w:val="0"/>
                <w:iCs w:val="0"/>
                <w:color w:val="000000"/>
                <w:kern w:val="0"/>
                <w:sz w:val="20"/>
                <w:szCs w:val="20"/>
                <w:u w:val="none"/>
                <w:lang w:val="en-US" w:eastAsia="zh-CN" w:bidi="ar"/>
              </w:rPr>
              <w:t>0.0</w:t>
            </w:r>
          </w:p>
        </w:tc>
        <w:tc>
          <w:tcPr>
            <w:tcW w:w="528" w:type="dxa"/>
            <w:vMerge w:val="restart"/>
            <w:tcBorders>
              <w:top w:val="single" w:color="000000" w:sz="8" w:space="0"/>
              <w:left w:val="single" w:color="000000" w:sz="8" w:space="0"/>
              <w:bottom w:val="single" w:color="000000" w:sz="8" w:space="0"/>
              <w:right w:val="single" w:color="000000" w:sz="8" w:space="0"/>
            </w:tcBorders>
            <w:shd w:val="clear" w:color="auto" w:fill="auto"/>
            <w:vAlign w:val="center"/>
          </w:tcPr>
          <w:p w14:paraId="02C26908">
            <w:pPr>
              <w:keepNext w:val="0"/>
              <w:keepLines w:val="0"/>
              <w:widowControl/>
              <w:suppressLineNumbers w:val="0"/>
              <w:spacing w:before="0" w:beforeAutospacing="0" w:after="0" w:afterAutospacing="0"/>
              <w:ind w:left="0" w:right="0"/>
              <w:jc w:val="center"/>
              <w:textAlignment w:val="center"/>
              <w:rPr>
                <w:rFonts w:hint="default"/>
              </w:rPr>
            </w:pPr>
            <w:r>
              <w:rPr>
                <w:rFonts w:hint="eastAsia" w:ascii="宋体" w:hAnsi="宋体" w:eastAsia="宋体" w:cs="宋体"/>
                <w:b/>
                <w:bCs/>
                <w:i w:val="0"/>
                <w:iCs w:val="0"/>
                <w:color w:val="000000"/>
                <w:kern w:val="0"/>
                <w:sz w:val="20"/>
                <w:szCs w:val="20"/>
                <w:u w:val="none"/>
                <w:lang w:val="en-US" w:eastAsia="zh-CN" w:bidi="ar"/>
              </w:rPr>
              <w:t>项目支出：</w:t>
            </w:r>
          </w:p>
        </w:tc>
        <w:tc>
          <w:tcPr>
            <w:tcW w:w="3754" w:type="dxa"/>
            <w:gridSpan w:val="2"/>
            <w:vMerge w:val="restart"/>
            <w:tcBorders>
              <w:top w:val="single" w:color="000000" w:sz="8" w:space="0"/>
              <w:left w:val="single" w:color="000000" w:sz="8" w:space="0"/>
              <w:bottom w:val="single" w:color="000000" w:sz="8" w:space="0"/>
              <w:right w:val="single" w:color="000000" w:sz="12" w:space="0"/>
            </w:tcBorders>
            <w:shd w:val="clear" w:color="auto" w:fill="auto"/>
            <w:vAlign w:val="center"/>
          </w:tcPr>
          <w:p w14:paraId="5407C5C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eastAsia" w:cs="Times New Roman"/>
                <w:i w:val="0"/>
                <w:iCs w:val="0"/>
                <w:color w:val="000000"/>
                <w:kern w:val="0"/>
                <w:sz w:val="20"/>
                <w:szCs w:val="20"/>
                <w:u w:val="none"/>
                <w:lang w:val="en-US" w:eastAsia="zh-CN" w:bidi="ar"/>
              </w:rPr>
              <w:t>0</w:t>
            </w:r>
          </w:p>
        </w:tc>
      </w:tr>
      <w:tr w14:paraId="079191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1420" w:type="dxa"/>
            <w:gridSpan w:val="3"/>
            <w:vMerge w:val="continue"/>
            <w:tcBorders>
              <w:top w:val="single" w:color="000000" w:sz="8" w:space="0"/>
              <w:left w:val="single" w:color="000000" w:sz="12" w:space="0"/>
              <w:bottom w:val="single" w:color="000000" w:sz="8" w:space="0"/>
              <w:right w:val="single" w:color="000000" w:sz="8" w:space="0"/>
            </w:tcBorders>
            <w:shd w:val="clear" w:color="auto" w:fill="auto"/>
            <w:vAlign w:val="center"/>
          </w:tcPr>
          <w:p w14:paraId="0C35638A">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c>
          <w:tcPr>
            <w:tcW w:w="752" w:type="dxa"/>
            <w:tcBorders>
              <w:top w:val="single" w:color="000000" w:sz="8" w:space="0"/>
              <w:left w:val="single" w:color="000000" w:sz="8" w:space="0"/>
              <w:bottom w:val="single" w:color="000000" w:sz="8" w:space="0"/>
              <w:right w:val="single" w:color="000000" w:sz="8" w:space="0"/>
            </w:tcBorders>
            <w:shd w:val="clear" w:color="auto" w:fill="auto"/>
            <w:vAlign w:val="center"/>
          </w:tcPr>
          <w:p w14:paraId="70D3884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default" w:ascii="仿宋_GB2312" w:hAnsi="宋体" w:eastAsia="仿宋_GB2312" w:cs="仿宋_GB2312"/>
                <w:b/>
                <w:bCs/>
                <w:i w:val="0"/>
                <w:iCs w:val="0"/>
                <w:color w:val="000000"/>
                <w:kern w:val="0"/>
                <w:sz w:val="20"/>
                <w:szCs w:val="20"/>
                <w:u w:val="none"/>
                <w:lang w:val="en-US" w:eastAsia="zh-CN" w:bidi="ar"/>
              </w:rPr>
              <w:t>其他资金</w:t>
            </w:r>
          </w:p>
        </w:tc>
        <w:tc>
          <w:tcPr>
            <w:tcW w:w="2074" w:type="dxa"/>
            <w:gridSpan w:val="5"/>
            <w:tcBorders>
              <w:top w:val="single" w:color="000000" w:sz="8" w:space="0"/>
              <w:left w:val="single" w:color="000000" w:sz="8" w:space="0"/>
              <w:bottom w:val="single" w:color="000000" w:sz="8" w:space="0"/>
              <w:right w:val="single" w:color="000000" w:sz="8" w:space="0"/>
            </w:tcBorders>
            <w:shd w:val="clear" w:color="auto" w:fill="auto"/>
            <w:vAlign w:val="center"/>
          </w:tcPr>
          <w:p w14:paraId="2A8ED44B">
            <w:pPr>
              <w:keepNext w:val="0"/>
              <w:keepLines w:val="0"/>
              <w:widowControl/>
              <w:suppressLineNumbers w:val="0"/>
              <w:spacing w:before="0" w:beforeAutospacing="0" w:after="0" w:afterAutospacing="0"/>
              <w:ind w:left="0" w:right="0"/>
              <w:jc w:val="center"/>
              <w:textAlignment w:val="center"/>
              <w:rPr>
                <w:rFonts w:hint="default"/>
              </w:rPr>
            </w:pPr>
            <w:r>
              <w:rPr>
                <w:rFonts w:hint="default" w:ascii="Times New Roman" w:hAnsi="Times New Roman" w:eastAsia="宋体" w:cs="Times New Roman"/>
                <w:i w:val="0"/>
                <w:iCs w:val="0"/>
                <w:color w:val="000000"/>
                <w:kern w:val="0"/>
                <w:sz w:val="20"/>
                <w:szCs w:val="20"/>
                <w:u w:val="none"/>
                <w:lang w:val="en-US" w:eastAsia="zh-CN" w:bidi="ar"/>
              </w:rPr>
              <w:t>0.00</w:t>
            </w:r>
          </w:p>
        </w:tc>
        <w:tc>
          <w:tcPr>
            <w:tcW w:w="528"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68FD8246">
            <w:pPr>
              <w:keepNext w:val="0"/>
              <w:keepLines w:val="0"/>
              <w:suppressLineNumbers w:val="0"/>
              <w:spacing w:before="0" w:beforeAutospacing="0" w:after="0" w:afterAutospacing="0"/>
              <w:ind w:left="0" w:right="0"/>
              <w:jc w:val="center"/>
              <w:rPr>
                <w:rFonts w:hint="default"/>
              </w:rPr>
            </w:pPr>
          </w:p>
        </w:tc>
        <w:tc>
          <w:tcPr>
            <w:tcW w:w="3754" w:type="dxa"/>
            <w:gridSpan w:val="2"/>
            <w:vMerge w:val="continue"/>
            <w:tcBorders>
              <w:top w:val="single" w:color="000000" w:sz="8" w:space="0"/>
              <w:left w:val="single" w:color="000000" w:sz="8" w:space="0"/>
              <w:bottom w:val="single" w:color="000000" w:sz="8" w:space="0"/>
              <w:right w:val="single" w:color="000000" w:sz="12" w:space="0"/>
            </w:tcBorders>
            <w:shd w:val="clear" w:color="auto" w:fill="auto"/>
            <w:vAlign w:val="center"/>
          </w:tcPr>
          <w:p w14:paraId="1C1B0602">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r>
      <w:tr w14:paraId="4E901C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420" w:type="dxa"/>
            <w:gridSpan w:val="3"/>
            <w:vMerge w:val="restart"/>
            <w:tcBorders>
              <w:top w:val="single" w:color="000000" w:sz="8" w:space="0"/>
              <w:left w:val="single" w:color="000000" w:sz="12" w:space="0"/>
              <w:bottom w:val="single" w:color="000000" w:sz="8" w:space="0"/>
              <w:right w:val="single" w:color="000000" w:sz="8" w:space="0"/>
            </w:tcBorders>
            <w:shd w:val="clear" w:color="auto" w:fill="auto"/>
            <w:vAlign w:val="center"/>
          </w:tcPr>
          <w:p w14:paraId="4AF0FCF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default" w:ascii="仿宋_GB2312" w:hAnsi="宋体" w:eastAsia="仿宋_GB2312" w:cs="仿宋_GB2312"/>
                <w:b/>
                <w:bCs/>
                <w:i w:val="0"/>
                <w:iCs w:val="0"/>
                <w:color w:val="000000"/>
                <w:kern w:val="0"/>
                <w:sz w:val="20"/>
                <w:szCs w:val="20"/>
                <w:u w:val="none"/>
                <w:lang w:val="en-US" w:eastAsia="zh-CN" w:bidi="ar"/>
              </w:rPr>
              <w:t>年度总体目标</w:t>
            </w:r>
          </w:p>
        </w:tc>
        <w:tc>
          <w:tcPr>
            <w:tcW w:w="2826" w:type="dxa"/>
            <w:gridSpan w:val="6"/>
            <w:tcBorders>
              <w:top w:val="single" w:color="000000" w:sz="8" w:space="0"/>
              <w:left w:val="single" w:color="000000" w:sz="8" w:space="0"/>
              <w:bottom w:val="single" w:color="000000" w:sz="8" w:space="0"/>
              <w:right w:val="single" w:color="000000" w:sz="8" w:space="0"/>
            </w:tcBorders>
            <w:shd w:val="clear" w:color="auto" w:fill="auto"/>
            <w:vAlign w:val="center"/>
          </w:tcPr>
          <w:p w14:paraId="21A76F9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default" w:ascii="仿宋_GB2312" w:hAnsi="宋体" w:eastAsia="仿宋_GB2312" w:cs="仿宋_GB2312"/>
                <w:b/>
                <w:bCs/>
                <w:i w:val="0"/>
                <w:iCs w:val="0"/>
                <w:color w:val="000000"/>
                <w:kern w:val="0"/>
                <w:sz w:val="20"/>
                <w:szCs w:val="20"/>
                <w:u w:val="none"/>
                <w:lang w:val="en-US" w:eastAsia="zh-CN" w:bidi="ar"/>
              </w:rPr>
              <w:t>预期目标</w:t>
            </w:r>
          </w:p>
        </w:tc>
        <w:tc>
          <w:tcPr>
            <w:tcW w:w="4282" w:type="dxa"/>
            <w:gridSpan w:val="3"/>
            <w:tcBorders>
              <w:top w:val="single" w:color="000000" w:sz="8" w:space="0"/>
              <w:left w:val="single" w:color="000000" w:sz="8" w:space="0"/>
              <w:bottom w:val="single" w:color="000000" w:sz="8" w:space="0"/>
              <w:right w:val="single" w:color="000000" w:sz="8" w:space="0"/>
            </w:tcBorders>
            <w:shd w:val="clear" w:color="auto" w:fill="auto"/>
            <w:vAlign w:val="center"/>
          </w:tcPr>
          <w:p w14:paraId="7960D5C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b/>
                <w:bCs/>
                <w:i w:val="0"/>
                <w:iCs w:val="0"/>
                <w:color w:val="000000"/>
                <w:kern w:val="0"/>
                <w:sz w:val="20"/>
                <w:szCs w:val="20"/>
                <w:u w:val="none"/>
                <w:lang w:val="en-US" w:eastAsia="zh-CN" w:bidi="ar"/>
              </w:rPr>
              <w:t>实际完成情况</w:t>
            </w:r>
          </w:p>
        </w:tc>
      </w:tr>
      <w:tr w14:paraId="0C8FF8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40" w:hRule="atLeast"/>
        </w:trPr>
        <w:tc>
          <w:tcPr>
            <w:tcW w:w="1420" w:type="dxa"/>
            <w:gridSpan w:val="3"/>
            <w:vMerge w:val="continue"/>
            <w:tcBorders>
              <w:top w:val="single" w:color="000000" w:sz="8" w:space="0"/>
              <w:left w:val="single" w:color="000000" w:sz="12" w:space="0"/>
              <w:bottom w:val="single" w:color="000000" w:sz="8" w:space="0"/>
              <w:right w:val="single" w:color="000000" w:sz="8" w:space="0"/>
            </w:tcBorders>
            <w:shd w:val="clear" w:color="auto" w:fill="auto"/>
            <w:vAlign w:val="center"/>
          </w:tcPr>
          <w:p w14:paraId="5FCBB429">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c>
          <w:tcPr>
            <w:tcW w:w="2826" w:type="dxa"/>
            <w:gridSpan w:val="6"/>
            <w:tcBorders>
              <w:top w:val="single" w:color="000000" w:sz="8" w:space="0"/>
              <w:left w:val="single" w:color="000000" w:sz="8" w:space="0"/>
              <w:bottom w:val="single" w:color="000000" w:sz="8" w:space="0"/>
              <w:right w:val="single" w:color="000000" w:sz="8" w:space="0"/>
            </w:tcBorders>
            <w:shd w:val="clear" w:color="auto" w:fill="auto"/>
            <w:vAlign w:val="center"/>
          </w:tcPr>
          <w:p w14:paraId="37338B2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default" w:ascii="仿宋_GB2312" w:hAnsi="宋体" w:eastAsia="仿宋_GB2312" w:cs="仿宋_GB2312"/>
                <w:i w:val="0"/>
                <w:iCs w:val="0"/>
                <w:color w:val="000000"/>
                <w:kern w:val="0"/>
                <w:sz w:val="20"/>
                <w:szCs w:val="20"/>
                <w:u w:val="none"/>
                <w:lang w:val="en-US" w:eastAsia="zh-CN" w:bidi="ar"/>
              </w:rPr>
              <w:t>"坚持以德育为首，以教学工作为中心，全面深化教育改革，狠抓教育教学常规管理，积极发展素质教育，稳步提高教学质量，促进学生全面发展。建立健全常规管理制度，提高学校管理水平。进一步加</w:t>
            </w:r>
            <w:bookmarkStart w:id="0" w:name="_GoBack"/>
            <w:bookmarkEnd w:id="0"/>
            <w:r>
              <w:rPr>
                <w:rFonts w:hint="default" w:ascii="仿宋_GB2312" w:hAnsi="宋体" w:eastAsia="仿宋_GB2312" w:cs="仿宋_GB2312"/>
                <w:i w:val="0"/>
                <w:iCs w:val="0"/>
                <w:color w:val="000000"/>
                <w:kern w:val="0"/>
                <w:sz w:val="20"/>
                <w:szCs w:val="20"/>
                <w:u w:val="none"/>
                <w:lang w:val="en-US" w:eastAsia="zh-CN" w:bidi="ar"/>
              </w:rPr>
              <w:t xml:space="preserve">强师资队伍建设，持续抓好教师的培训与学习，提高教师业务素质和水平。加强学校的硬件建设，努力改善学校办学条件，促进学校持续健康发展。 </w:t>
            </w:r>
            <w:r>
              <w:rPr>
                <w:rFonts w:hint="default" w:ascii="仿宋_GB2312" w:hAnsi="宋体" w:eastAsia="仿宋_GB2312" w:cs="仿宋_GB2312"/>
                <w:i w:val="0"/>
                <w:iCs w:val="0"/>
                <w:color w:val="000000"/>
                <w:kern w:val="0"/>
                <w:sz w:val="20"/>
                <w:szCs w:val="20"/>
                <w:u w:val="none"/>
                <w:lang w:val="en-US" w:eastAsia="zh-CN" w:bidi="ar"/>
              </w:rPr>
              <w:br w:type="textWrapping"/>
            </w:r>
            <w:r>
              <w:rPr>
                <w:rFonts w:hint="default" w:ascii="仿宋_GB2312" w:hAnsi="宋体" w:eastAsia="仿宋_GB2312" w:cs="仿宋_GB2312"/>
                <w:i w:val="0"/>
                <w:iCs w:val="0"/>
                <w:color w:val="000000"/>
                <w:kern w:val="0"/>
                <w:sz w:val="20"/>
                <w:szCs w:val="20"/>
                <w:u w:val="none"/>
                <w:lang w:val="en-US" w:eastAsia="zh-CN" w:bidi="ar"/>
              </w:rPr>
              <w:t xml:space="preserve">"        </w:t>
            </w:r>
          </w:p>
        </w:tc>
        <w:tc>
          <w:tcPr>
            <w:tcW w:w="4282" w:type="dxa"/>
            <w:gridSpan w:val="3"/>
            <w:tcBorders>
              <w:top w:val="single" w:color="000000" w:sz="8" w:space="0"/>
              <w:left w:val="single" w:color="000000" w:sz="8" w:space="0"/>
              <w:bottom w:val="single" w:color="000000" w:sz="8" w:space="0"/>
              <w:right w:val="single" w:color="000000" w:sz="8" w:space="0"/>
            </w:tcBorders>
            <w:shd w:val="clear" w:color="auto" w:fill="auto"/>
            <w:vAlign w:val="center"/>
          </w:tcPr>
          <w:p w14:paraId="702E52F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default" w:ascii="Times New Roman" w:hAnsi="Times New Roman" w:eastAsia="宋体" w:cs="Times New Roman"/>
                <w:i w:val="0"/>
                <w:iCs w:val="0"/>
                <w:color w:val="000000"/>
                <w:kern w:val="0"/>
                <w:sz w:val="20"/>
                <w:szCs w:val="20"/>
                <w:u w:val="none"/>
                <w:lang w:val="en-US" w:eastAsia="zh-CN" w:bidi="ar"/>
              </w:rPr>
              <w:t>教师业务素质和水平得到有效加强，学校设施更加完善，办学条件得到了改善，学校持续健康发展</w:t>
            </w:r>
          </w:p>
        </w:tc>
      </w:tr>
      <w:tr w14:paraId="7B0598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404" w:type="dxa"/>
            <w:tcBorders>
              <w:top w:val="single" w:color="000000" w:sz="8" w:space="0"/>
              <w:left w:val="single" w:color="000000" w:sz="12" w:space="0"/>
              <w:bottom w:val="nil"/>
              <w:right w:val="single" w:color="000000" w:sz="8" w:space="0"/>
            </w:tcBorders>
            <w:shd w:val="clear" w:color="auto" w:fill="auto"/>
            <w:vAlign w:val="center"/>
          </w:tcPr>
          <w:p w14:paraId="34F8FF8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default" w:ascii="仿宋_GB2312" w:hAnsi="宋体" w:eastAsia="仿宋_GB2312" w:cs="仿宋_GB2312"/>
                <w:b/>
                <w:bCs/>
                <w:i w:val="0"/>
                <w:iCs w:val="0"/>
                <w:color w:val="000000"/>
                <w:kern w:val="0"/>
                <w:sz w:val="20"/>
                <w:szCs w:val="20"/>
                <w:u w:val="none"/>
                <w:lang w:val="en-US" w:eastAsia="zh-CN" w:bidi="ar"/>
              </w:rPr>
              <w:t>绩效指标</w:t>
            </w:r>
          </w:p>
        </w:tc>
        <w:tc>
          <w:tcPr>
            <w:tcW w:w="494" w:type="dxa"/>
            <w:tcBorders>
              <w:top w:val="single" w:color="000000" w:sz="8" w:space="0"/>
              <w:left w:val="single" w:color="000000" w:sz="8" w:space="0"/>
              <w:bottom w:val="single" w:color="000000" w:sz="8" w:space="0"/>
              <w:right w:val="single" w:color="000000" w:sz="8" w:space="0"/>
            </w:tcBorders>
            <w:shd w:val="clear" w:color="auto" w:fill="auto"/>
            <w:vAlign w:val="center"/>
          </w:tcPr>
          <w:p w14:paraId="543809A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default" w:ascii="仿宋_GB2312" w:hAnsi="宋体" w:eastAsia="仿宋_GB2312" w:cs="仿宋_GB2312"/>
                <w:b/>
                <w:bCs/>
                <w:i w:val="0"/>
                <w:iCs w:val="0"/>
                <w:color w:val="000000"/>
                <w:kern w:val="0"/>
                <w:sz w:val="20"/>
                <w:szCs w:val="20"/>
                <w:u w:val="none"/>
                <w:lang w:val="en-US" w:eastAsia="zh-CN" w:bidi="ar"/>
              </w:rPr>
              <w:t>一级指标</w:t>
            </w:r>
          </w:p>
        </w:tc>
        <w:tc>
          <w:tcPr>
            <w:tcW w:w="522" w:type="dxa"/>
            <w:tcBorders>
              <w:top w:val="single" w:color="000000" w:sz="8" w:space="0"/>
              <w:left w:val="single" w:color="000000" w:sz="8" w:space="0"/>
              <w:bottom w:val="single" w:color="000000" w:sz="8" w:space="0"/>
              <w:right w:val="single" w:color="000000" w:sz="8" w:space="0"/>
            </w:tcBorders>
            <w:shd w:val="clear" w:color="auto" w:fill="auto"/>
            <w:vAlign w:val="center"/>
          </w:tcPr>
          <w:p w14:paraId="14BD8D7B">
            <w:pPr>
              <w:keepNext w:val="0"/>
              <w:keepLines w:val="0"/>
              <w:widowControl/>
              <w:suppressLineNumbers w:val="0"/>
              <w:spacing w:before="0" w:beforeAutospacing="0" w:after="0" w:afterAutospacing="0"/>
              <w:ind w:left="0" w:right="0"/>
              <w:jc w:val="center"/>
              <w:textAlignment w:val="center"/>
              <w:rPr>
                <w:rFonts w:hint="default"/>
              </w:rPr>
            </w:pPr>
            <w:r>
              <w:rPr>
                <w:rFonts w:hint="eastAsia" w:ascii="宋体" w:hAnsi="宋体" w:eastAsia="宋体" w:cs="宋体"/>
                <w:b/>
                <w:bCs/>
                <w:i w:val="0"/>
                <w:iCs w:val="0"/>
                <w:color w:val="000000"/>
                <w:kern w:val="0"/>
                <w:sz w:val="22"/>
                <w:szCs w:val="22"/>
                <w:u w:val="none"/>
                <w:lang w:val="en-US" w:eastAsia="zh-CN" w:bidi="ar"/>
              </w:rPr>
              <w:t>二级指标</w:t>
            </w:r>
          </w:p>
        </w:tc>
        <w:tc>
          <w:tcPr>
            <w:tcW w:w="752" w:type="dxa"/>
            <w:tcBorders>
              <w:top w:val="single" w:color="000000" w:sz="8" w:space="0"/>
              <w:left w:val="single" w:color="000000" w:sz="8" w:space="0"/>
              <w:bottom w:val="single" w:color="000000" w:sz="8" w:space="0"/>
              <w:right w:val="single" w:color="000000" w:sz="8" w:space="0"/>
            </w:tcBorders>
            <w:shd w:val="clear" w:color="auto" w:fill="auto"/>
            <w:vAlign w:val="center"/>
          </w:tcPr>
          <w:p w14:paraId="6859D9B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default" w:ascii="仿宋_GB2312" w:hAnsi="宋体" w:eastAsia="仿宋_GB2312" w:cs="仿宋_GB2312"/>
                <w:b/>
                <w:bCs/>
                <w:i w:val="0"/>
                <w:iCs w:val="0"/>
                <w:color w:val="000000"/>
                <w:kern w:val="0"/>
                <w:sz w:val="20"/>
                <w:szCs w:val="20"/>
                <w:u w:val="none"/>
                <w:lang w:val="en-US" w:eastAsia="zh-CN" w:bidi="ar"/>
              </w:rPr>
              <w:t>三级指标</w:t>
            </w:r>
          </w:p>
        </w:tc>
        <w:tc>
          <w:tcPr>
            <w:tcW w:w="652" w:type="dxa"/>
            <w:tcBorders>
              <w:top w:val="single" w:color="000000" w:sz="8" w:space="0"/>
              <w:left w:val="single" w:color="000000" w:sz="8" w:space="0"/>
              <w:bottom w:val="single" w:color="000000" w:sz="8" w:space="0"/>
              <w:right w:val="single" w:color="000000" w:sz="8" w:space="0"/>
            </w:tcBorders>
            <w:shd w:val="clear" w:color="auto" w:fill="auto"/>
            <w:vAlign w:val="center"/>
          </w:tcPr>
          <w:p w14:paraId="6E3904D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default" w:ascii="仿宋_GB2312" w:hAnsi="宋体" w:eastAsia="仿宋_GB2312" w:cs="仿宋_GB2312"/>
                <w:b/>
                <w:bCs/>
                <w:i w:val="0"/>
                <w:iCs w:val="0"/>
                <w:color w:val="000000"/>
                <w:kern w:val="0"/>
                <w:sz w:val="20"/>
                <w:szCs w:val="20"/>
                <w:u w:val="none"/>
                <w:lang w:val="en-US" w:eastAsia="zh-CN" w:bidi="ar"/>
              </w:rPr>
              <w:t>年度指标值</w:t>
            </w:r>
          </w:p>
        </w:tc>
        <w:tc>
          <w:tcPr>
            <w:tcW w:w="613" w:type="dxa"/>
            <w:gridSpan w:val="2"/>
            <w:tcBorders>
              <w:top w:val="single" w:color="000000" w:sz="8" w:space="0"/>
              <w:left w:val="single" w:color="000000" w:sz="8" w:space="0"/>
              <w:bottom w:val="single" w:color="000000" w:sz="8" w:space="0"/>
              <w:right w:val="single" w:color="000000" w:sz="8" w:space="0"/>
            </w:tcBorders>
            <w:shd w:val="clear" w:color="auto" w:fill="auto"/>
            <w:vAlign w:val="center"/>
          </w:tcPr>
          <w:p w14:paraId="1096297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b/>
                <w:bCs/>
                <w:i w:val="0"/>
                <w:iCs w:val="0"/>
                <w:color w:val="000000"/>
                <w:kern w:val="0"/>
                <w:sz w:val="20"/>
                <w:szCs w:val="20"/>
                <w:u w:val="none"/>
                <w:lang w:val="en-US" w:eastAsia="zh-CN" w:bidi="ar"/>
              </w:rPr>
              <w:t>实际完成值</w:t>
            </w:r>
          </w:p>
        </w:tc>
        <w:tc>
          <w:tcPr>
            <w:tcW w:w="404" w:type="dxa"/>
            <w:tcBorders>
              <w:top w:val="single" w:color="000000" w:sz="8" w:space="0"/>
              <w:left w:val="single" w:color="000000" w:sz="8" w:space="0"/>
              <w:bottom w:val="single" w:color="000000" w:sz="8" w:space="0"/>
              <w:right w:val="single" w:color="000000" w:sz="8" w:space="0"/>
            </w:tcBorders>
            <w:shd w:val="clear" w:color="auto" w:fill="auto"/>
            <w:vAlign w:val="center"/>
          </w:tcPr>
          <w:p w14:paraId="300FBD2B">
            <w:pPr>
              <w:keepNext w:val="0"/>
              <w:keepLines w:val="0"/>
              <w:widowControl/>
              <w:suppressLineNumbers w:val="0"/>
              <w:spacing w:before="0" w:beforeAutospacing="0" w:after="0" w:afterAutospacing="0"/>
              <w:ind w:left="0" w:right="0"/>
              <w:jc w:val="center"/>
              <w:textAlignment w:val="center"/>
              <w:rPr>
                <w:rFonts w:hint="default"/>
              </w:rPr>
            </w:pPr>
            <w:r>
              <w:rPr>
                <w:rFonts w:hint="default" w:ascii="仿宋_GB2312" w:hAnsi="宋体" w:eastAsia="仿宋_GB2312" w:cs="仿宋_GB2312"/>
                <w:b/>
                <w:bCs/>
                <w:i w:val="0"/>
                <w:iCs w:val="0"/>
                <w:color w:val="000000"/>
                <w:kern w:val="0"/>
                <w:sz w:val="20"/>
                <w:szCs w:val="20"/>
                <w:u w:val="none"/>
                <w:lang w:val="en-US" w:eastAsia="zh-CN" w:bidi="ar"/>
              </w:rPr>
              <w:t>分值</w:t>
            </w:r>
          </w:p>
        </w:tc>
        <w:tc>
          <w:tcPr>
            <w:tcW w:w="40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11293DF2">
            <w:pPr>
              <w:keepNext w:val="0"/>
              <w:keepLines w:val="0"/>
              <w:widowControl/>
              <w:suppressLineNumbers w:val="0"/>
              <w:spacing w:before="0" w:beforeAutospacing="0" w:after="0" w:afterAutospacing="0"/>
              <w:ind w:left="0" w:right="0"/>
              <w:jc w:val="center"/>
              <w:textAlignment w:val="center"/>
              <w:rPr>
                <w:rFonts w:hint="default"/>
              </w:rPr>
            </w:pPr>
            <w:r>
              <w:rPr>
                <w:rFonts w:hint="default" w:ascii="仿宋_GB2312" w:hAnsi="宋体" w:eastAsia="仿宋_GB2312" w:cs="仿宋_GB2312"/>
                <w:b/>
                <w:bCs/>
                <w:i w:val="0"/>
                <w:iCs w:val="0"/>
                <w:color w:val="000000"/>
                <w:kern w:val="0"/>
                <w:sz w:val="20"/>
                <w:szCs w:val="20"/>
                <w:u w:val="none"/>
                <w:lang w:val="en-US" w:eastAsia="zh-CN" w:bidi="ar"/>
              </w:rPr>
              <w:t>得分</w:t>
            </w:r>
          </w:p>
        </w:tc>
        <w:tc>
          <w:tcPr>
            <w:tcW w:w="4282" w:type="dxa"/>
            <w:gridSpan w:val="3"/>
            <w:tcBorders>
              <w:top w:val="single" w:color="000000" w:sz="8" w:space="0"/>
              <w:left w:val="single" w:color="000000" w:sz="8" w:space="0"/>
              <w:bottom w:val="single" w:color="000000" w:sz="8" w:space="0"/>
              <w:right w:val="single" w:color="000000" w:sz="8" w:space="0"/>
            </w:tcBorders>
            <w:shd w:val="clear" w:color="auto" w:fill="auto"/>
            <w:vAlign w:val="center"/>
          </w:tcPr>
          <w:p w14:paraId="5C3CAE7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b/>
                <w:bCs/>
                <w:i w:val="0"/>
                <w:iCs w:val="0"/>
                <w:color w:val="000000"/>
                <w:kern w:val="0"/>
                <w:sz w:val="22"/>
                <w:szCs w:val="22"/>
                <w:u w:val="none"/>
                <w:lang w:val="en-US" w:eastAsia="zh-CN" w:bidi="ar"/>
              </w:rPr>
              <w:t>偏差原因分析及改进措施</w:t>
            </w:r>
          </w:p>
        </w:tc>
      </w:tr>
      <w:tr w14:paraId="5EAB36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35" w:hRule="atLeast"/>
        </w:trPr>
        <w:tc>
          <w:tcPr>
            <w:tcW w:w="404" w:type="dxa"/>
            <w:vMerge w:val="restart"/>
            <w:tcBorders>
              <w:top w:val="single" w:color="000000" w:sz="8" w:space="0"/>
              <w:left w:val="single" w:color="000000" w:sz="12" w:space="0"/>
              <w:bottom w:val="nil"/>
              <w:right w:val="single" w:color="000000" w:sz="8" w:space="0"/>
            </w:tcBorders>
            <w:shd w:val="clear" w:color="auto" w:fill="auto"/>
            <w:vAlign w:val="center"/>
          </w:tcPr>
          <w:p w14:paraId="425B87F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default" w:ascii="仿宋_GB2312" w:hAnsi="宋体" w:eastAsia="仿宋_GB2312" w:cs="仿宋_GB2312"/>
                <w:i w:val="0"/>
                <w:iCs w:val="0"/>
                <w:color w:val="000000"/>
                <w:kern w:val="0"/>
                <w:sz w:val="20"/>
                <w:szCs w:val="20"/>
                <w:u w:val="none"/>
                <w:lang w:val="en-US" w:eastAsia="zh-CN" w:bidi="ar"/>
              </w:rPr>
              <w:t>绩效指标</w:t>
            </w:r>
          </w:p>
        </w:tc>
        <w:tc>
          <w:tcPr>
            <w:tcW w:w="494" w:type="dxa"/>
            <w:vMerge w:val="restart"/>
            <w:tcBorders>
              <w:top w:val="single" w:color="000000" w:sz="8" w:space="0"/>
              <w:left w:val="single" w:color="000000" w:sz="8" w:space="0"/>
              <w:bottom w:val="nil"/>
              <w:right w:val="single" w:color="000000" w:sz="8" w:space="0"/>
            </w:tcBorders>
            <w:shd w:val="clear" w:color="auto" w:fill="auto"/>
            <w:vAlign w:val="center"/>
          </w:tcPr>
          <w:p w14:paraId="5BB0A81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default" w:ascii="仿宋_GB2312" w:hAnsi="宋体" w:eastAsia="仿宋_GB2312" w:cs="仿宋_GB2312"/>
                <w:i w:val="0"/>
                <w:iCs w:val="0"/>
                <w:color w:val="000000"/>
                <w:kern w:val="0"/>
                <w:sz w:val="20"/>
                <w:szCs w:val="20"/>
                <w:u w:val="none"/>
                <w:lang w:val="en-US" w:eastAsia="zh-CN" w:bidi="ar"/>
              </w:rPr>
              <w:t>产出指标</w:t>
            </w:r>
          </w:p>
        </w:tc>
        <w:tc>
          <w:tcPr>
            <w:tcW w:w="522" w:type="dxa"/>
            <w:vMerge w:val="restart"/>
            <w:tcBorders>
              <w:top w:val="single" w:color="000000" w:sz="8" w:space="0"/>
              <w:left w:val="single" w:color="000000" w:sz="8" w:space="0"/>
              <w:bottom w:val="nil"/>
              <w:right w:val="single" w:color="000000" w:sz="8" w:space="0"/>
            </w:tcBorders>
            <w:shd w:val="clear" w:color="auto" w:fill="auto"/>
            <w:vAlign w:val="center"/>
          </w:tcPr>
          <w:p w14:paraId="3D24A390">
            <w:pPr>
              <w:keepNext w:val="0"/>
              <w:keepLines w:val="0"/>
              <w:widowControl/>
              <w:suppressLineNumbers w:val="0"/>
              <w:spacing w:before="0" w:beforeAutospacing="0" w:after="0" w:afterAutospacing="0"/>
              <w:ind w:left="0" w:right="0"/>
              <w:jc w:val="center"/>
              <w:textAlignment w:val="center"/>
              <w:rPr>
                <w:rFonts w:hint="default"/>
              </w:rPr>
            </w:pPr>
            <w:r>
              <w:rPr>
                <w:rFonts w:hint="eastAsia" w:ascii="宋体" w:hAnsi="宋体" w:eastAsia="宋体" w:cs="宋体"/>
                <w:i w:val="0"/>
                <w:iCs w:val="0"/>
                <w:color w:val="000000"/>
                <w:kern w:val="0"/>
                <w:sz w:val="22"/>
                <w:szCs w:val="22"/>
                <w:u w:val="none"/>
                <w:lang w:val="en-US" w:eastAsia="zh-CN" w:bidi="ar"/>
              </w:rPr>
              <w:t>数量指标</w:t>
            </w:r>
          </w:p>
        </w:tc>
        <w:tc>
          <w:tcPr>
            <w:tcW w:w="752" w:type="dxa"/>
            <w:tcBorders>
              <w:top w:val="single" w:color="000000" w:sz="8" w:space="0"/>
              <w:left w:val="single" w:color="000000" w:sz="8" w:space="0"/>
              <w:bottom w:val="nil"/>
              <w:right w:val="single" w:color="000000" w:sz="8" w:space="0"/>
            </w:tcBorders>
            <w:shd w:val="clear" w:color="auto" w:fill="auto"/>
            <w:vAlign w:val="center"/>
          </w:tcPr>
          <w:p w14:paraId="31F8499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仿宋" w:hAnsi="仿宋" w:eastAsia="仿宋" w:cs="仿宋"/>
                <w:i w:val="0"/>
                <w:iCs w:val="0"/>
                <w:color w:val="000000"/>
                <w:kern w:val="0"/>
                <w:sz w:val="20"/>
                <w:szCs w:val="20"/>
                <w:u w:val="none"/>
                <w:lang w:val="en-US" w:eastAsia="zh-CN" w:bidi="ar"/>
              </w:rPr>
              <w:t>学生巩固率和入学率</w:t>
            </w:r>
          </w:p>
        </w:tc>
        <w:tc>
          <w:tcPr>
            <w:tcW w:w="652" w:type="dxa"/>
            <w:tcBorders>
              <w:top w:val="single" w:color="000000" w:sz="8" w:space="0"/>
              <w:left w:val="single" w:color="000000" w:sz="8" w:space="0"/>
              <w:bottom w:val="single" w:color="000000" w:sz="8" w:space="0"/>
              <w:right w:val="single" w:color="000000" w:sz="8" w:space="0"/>
            </w:tcBorders>
            <w:shd w:val="clear" w:color="auto" w:fill="auto"/>
            <w:vAlign w:val="center"/>
          </w:tcPr>
          <w:p w14:paraId="12F2752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default" w:ascii="仿宋_GB2312" w:hAnsi="宋体" w:eastAsia="仿宋_GB2312" w:cs="仿宋_GB2312"/>
                <w:i w:val="0"/>
                <w:iCs w:val="0"/>
                <w:color w:val="000000"/>
                <w:kern w:val="0"/>
                <w:sz w:val="20"/>
                <w:szCs w:val="20"/>
                <w:u w:val="none"/>
                <w:lang w:val="en-US" w:eastAsia="zh-CN" w:bidi="ar"/>
              </w:rPr>
              <w:t>100</w:t>
            </w:r>
          </w:p>
        </w:tc>
        <w:tc>
          <w:tcPr>
            <w:tcW w:w="613" w:type="dxa"/>
            <w:gridSpan w:val="2"/>
            <w:tcBorders>
              <w:top w:val="single" w:color="000000" w:sz="8" w:space="0"/>
              <w:left w:val="single" w:color="000000" w:sz="8" w:space="0"/>
              <w:bottom w:val="single" w:color="000000" w:sz="8" w:space="0"/>
              <w:right w:val="single" w:color="000000" w:sz="8" w:space="0"/>
            </w:tcBorders>
            <w:shd w:val="clear" w:color="auto" w:fill="auto"/>
            <w:vAlign w:val="center"/>
          </w:tcPr>
          <w:p w14:paraId="1EC8779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default" w:ascii="仿宋_GB2312" w:hAnsi="宋体" w:eastAsia="仿宋_GB2312" w:cs="仿宋_GB2312"/>
                <w:i w:val="0"/>
                <w:iCs w:val="0"/>
                <w:color w:val="000000"/>
                <w:kern w:val="0"/>
                <w:sz w:val="20"/>
                <w:szCs w:val="20"/>
                <w:u w:val="none"/>
                <w:lang w:val="en-US" w:eastAsia="zh-CN" w:bidi="ar"/>
              </w:rPr>
              <w:t>100</w:t>
            </w:r>
          </w:p>
        </w:tc>
        <w:tc>
          <w:tcPr>
            <w:tcW w:w="404" w:type="dxa"/>
            <w:tcBorders>
              <w:top w:val="single" w:color="000000" w:sz="8" w:space="0"/>
              <w:left w:val="single" w:color="000000" w:sz="8" w:space="0"/>
              <w:bottom w:val="single" w:color="000000" w:sz="8" w:space="0"/>
              <w:right w:val="single" w:color="000000" w:sz="8" w:space="0"/>
            </w:tcBorders>
            <w:shd w:val="clear" w:color="auto" w:fill="auto"/>
            <w:vAlign w:val="center"/>
          </w:tcPr>
          <w:p w14:paraId="1B07CE67">
            <w:pPr>
              <w:keepNext w:val="0"/>
              <w:keepLines w:val="0"/>
              <w:widowControl/>
              <w:suppressLineNumbers w:val="0"/>
              <w:spacing w:before="0" w:beforeAutospacing="0" w:after="0" w:afterAutospacing="0"/>
              <w:ind w:left="0" w:right="0"/>
              <w:jc w:val="center"/>
              <w:textAlignment w:val="center"/>
              <w:rPr>
                <w:rFonts w:hint="default"/>
              </w:rPr>
            </w:pPr>
            <w:r>
              <w:rPr>
                <w:rFonts w:hint="default" w:ascii="仿宋_GB2312" w:hAnsi="宋体" w:eastAsia="仿宋_GB2312" w:cs="仿宋_GB2312"/>
                <w:i w:val="0"/>
                <w:iCs w:val="0"/>
                <w:color w:val="000000"/>
                <w:kern w:val="0"/>
                <w:sz w:val="20"/>
                <w:szCs w:val="20"/>
                <w:u w:val="none"/>
                <w:lang w:val="en-US" w:eastAsia="zh-CN" w:bidi="ar"/>
              </w:rPr>
              <w:t>10</w:t>
            </w:r>
          </w:p>
        </w:tc>
        <w:tc>
          <w:tcPr>
            <w:tcW w:w="40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3FB42EE6">
            <w:pPr>
              <w:keepNext w:val="0"/>
              <w:keepLines w:val="0"/>
              <w:widowControl/>
              <w:suppressLineNumbers w:val="0"/>
              <w:spacing w:before="0" w:beforeAutospacing="0" w:after="0" w:afterAutospacing="0"/>
              <w:ind w:left="0" w:right="0"/>
              <w:jc w:val="center"/>
              <w:textAlignment w:val="center"/>
              <w:rPr>
                <w:rFonts w:hint="default"/>
              </w:rPr>
            </w:pPr>
            <w:r>
              <w:rPr>
                <w:rFonts w:hint="default" w:ascii="仿宋_GB2312" w:hAnsi="宋体" w:eastAsia="仿宋_GB2312" w:cs="仿宋_GB2312"/>
                <w:i w:val="0"/>
                <w:iCs w:val="0"/>
                <w:color w:val="000000"/>
                <w:kern w:val="0"/>
                <w:sz w:val="20"/>
                <w:szCs w:val="20"/>
                <w:u w:val="none"/>
                <w:lang w:val="en-US" w:eastAsia="zh-CN" w:bidi="ar"/>
              </w:rPr>
              <w:t>10</w:t>
            </w:r>
          </w:p>
        </w:tc>
        <w:tc>
          <w:tcPr>
            <w:tcW w:w="4282" w:type="dxa"/>
            <w:gridSpan w:val="3"/>
            <w:tcBorders>
              <w:top w:val="single" w:color="000000" w:sz="8" w:space="0"/>
              <w:left w:val="single" w:color="000000" w:sz="8" w:space="0"/>
              <w:bottom w:val="single" w:color="000000" w:sz="8" w:space="0"/>
              <w:right w:val="single" w:color="000000" w:sz="8" w:space="0"/>
            </w:tcBorders>
            <w:shd w:val="clear" w:color="auto" w:fill="auto"/>
            <w:vAlign w:val="center"/>
          </w:tcPr>
          <w:p w14:paraId="0BD0AF5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2"/>
                <w:szCs w:val="22"/>
                <w:u w:val="none"/>
                <w:lang w:val="en-US" w:eastAsia="zh-CN" w:bidi="ar"/>
              </w:rPr>
              <w:t>无偏差</w:t>
            </w:r>
          </w:p>
        </w:tc>
      </w:tr>
      <w:tr w14:paraId="2F8DFB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404" w:type="dxa"/>
            <w:vMerge w:val="continue"/>
            <w:tcBorders>
              <w:top w:val="single" w:color="000000" w:sz="8" w:space="0"/>
              <w:left w:val="single" w:color="000000" w:sz="12" w:space="0"/>
              <w:bottom w:val="nil"/>
              <w:right w:val="single" w:color="000000" w:sz="8" w:space="0"/>
            </w:tcBorders>
            <w:shd w:val="clear" w:color="auto" w:fill="auto"/>
            <w:vAlign w:val="center"/>
          </w:tcPr>
          <w:p w14:paraId="3826F149">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c>
          <w:tcPr>
            <w:tcW w:w="494" w:type="dxa"/>
            <w:vMerge w:val="continue"/>
            <w:tcBorders>
              <w:top w:val="single" w:color="000000" w:sz="8" w:space="0"/>
              <w:left w:val="single" w:color="000000" w:sz="8" w:space="0"/>
              <w:bottom w:val="nil"/>
              <w:right w:val="single" w:color="000000" w:sz="8" w:space="0"/>
            </w:tcBorders>
            <w:shd w:val="clear" w:color="auto" w:fill="auto"/>
            <w:vAlign w:val="center"/>
          </w:tcPr>
          <w:p w14:paraId="286C7488">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c>
          <w:tcPr>
            <w:tcW w:w="522" w:type="dxa"/>
            <w:vMerge w:val="continue"/>
            <w:tcBorders>
              <w:top w:val="single" w:color="000000" w:sz="8" w:space="0"/>
              <w:left w:val="single" w:color="000000" w:sz="8" w:space="0"/>
              <w:bottom w:val="nil"/>
              <w:right w:val="single" w:color="000000" w:sz="8" w:space="0"/>
            </w:tcBorders>
            <w:shd w:val="clear" w:color="auto" w:fill="auto"/>
            <w:vAlign w:val="center"/>
          </w:tcPr>
          <w:p w14:paraId="07C2EEBE">
            <w:pPr>
              <w:keepNext w:val="0"/>
              <w:keepLines w:val="0"/>
              <w:suppressLineNumbers w:val="0"/>
              <w:spacing w:before="0" w:beforeAutospacing="0" w:after="0" w:afterAutospacing="0"/>
              <w:ind w:left="0" w:right="0"/>
              <w:jc w:val="center"/>
              <w:rPr>
                <w:rFonts w:hint="default"/>
              </w:rPr>
            </w:pPr>
          </w:p>
        </w:tc>
        <w:tc>
          <w:tcPr>
            <w:tcW w:w="752" w:type="dxa"/>
            <w:tcBorders>
              <w:top w:val="single" w:color="000000" w:sz="8" w:space="0"/>
              <w:left w:val="single" w:color="000000" w:sz="8" w:space="0"/>
              <w:bottom w:val="nil"/>
              <w:right w:val="single" w:color="000000" w:sz="8" w:space="0"/>
            </w:tcBorders>
            <w:shd w:val="clear" w:color="auto" w:fill="auto"/>
            <w:vAlign w:val="center"/>
          </w:tcPr>
          <w:p w14:paraId="35358A6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仿宋" w:hAnsi="仿宋" w:eastAsia="仿宋" w:cs="仿宋"/>
                <w:i w:val="0"/>
                <w:iCs w:val="0"/>
                <w:color w:val="000000"/>
                <w:kern w:val="0"/>
                <w:sz w:val="20"/>
                <w:szCs w:val="20"/>
                <w:u w:val="none"/>
                <w:lang w:val="en-US" w:eastAsia="zh-CN" w:bidi="ar"/>
              </w:rPr>
              <w:t>贫困生资助人数</w:t>
            </w:r>
          </w:p>
        </w:tc>
        <w:tc>
          <w:tcPr>
            <w:tcW w:w="652" w:type="dxa"/>
            <w:tcBorders>
              <w:top w:val="single" w:color="000000" w:sz="8" w:space="0"/>
              <w:left w:val="single" w:color="000000" w:sz="8" w:space="0"/>
              <w:bottom w:val="single" w:color="000000" w:sz="8" w:space="0"/>
              <w:right w:val="single" w:color="000000" w:sz="8" w:space="0"/>
            </w:tcBorders>
            <w:shd w:val="clear" w:color="auto" w:fill="auto"/>
            <w:vAlign w:val="center"/>
          </w:tcPr>
          <w:p w14:paraId="781CE35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default" w:ascii="仿宋_GB2312" w:hAnsi="宋体" w:eastAsia="仿宋_GB2312" w:cs="仿宋_GB2312"/>
                <w:i w:val="0"/>
                <w:iCs w:val="0"/>
                <w:color w:val="000000"/>
                <w:kern w:val="0"/>
                <w:sz w:val="20"/>
                <w:szCs w:val="20"/>
                <w:u w:val="none"/>
                <w:lang w:val="en-US" w:eastAsia="zh-CN" w:bidi="ar"/>
              </w:rPr>
              <w:t>50</w:t>
            </w:r>
          </w:p>
        </w:tc>
        <w:tc>
          <w:tcPr>
            <w:tcW w:w="613" w:type="dxa"/>
            <w:gridSpan w:val="2"/>
            <w:tcBorders>
              <w:top w:val="single" w:color="000000" w:sz="8" w:space="0"/>
              <w:left w:val="single" w:color="000000" w:sz="8" w:space="0"/>
              <w:bottom w:val="single" w:color="000000" w:sz="8" w:space="0"/>
              <w:right w:val="single" w:color="000000" w:sz="8" w:space="0"/>
            </w:tcBorders>
            <w:shd w:val="clear" w:color="auto" w:fill="auto"/>
            <w:vAlign w:val="center"/>
          </w:tcPr>
          <w:p w14:paraId="7708AFC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default" w:ascii="仿宋_GB2312" w:hAnsi="宋体" w:eastAsia="仿宋_GB2312" w:cs="仿宋_GB2312"/>
                <w:i w:val="0"/>
                <w:iCs w:val="0"/>
                <w:color w:val="000000"/>
                <w:kern w:val="0"/>
                <w:sz w:val="20"/>
                <w:szCs w:val="20"/>
                <w:u w:val="none"/>
                <w:lang w:val="en-US" w:eastAsia="zh-CN" w:bidi="ar"/>
              </w:rPr>
              <w:t>50</w:t>
            </w:r>
          </w:p>
        </w:tc>
        <w:tc>
          <w:tcPr>
            <w:tcW w:w="404" w:type="dxa"/>
            <w:tcBorders>
              <w:top w:val="single" w:color="000000" w:sz="8" w:space="0"/>
              <w:left w:val="single" w:color="000000" w:sz="8" w:space="0"/>
              <w:bottom w:val="single" w:color="000000" w:sz="8" w:space="0"/>
              <w:right w:val="single" w:color="000000" w:sz="8" w:space="0"/>
            </w:tcBorders>
            <w:shd w:val="clear" w:color="auto" w:fill="auto"/>
            <w:vAlign w:val="center"/>
          </w:tcPr>
          <w:p w14:paraId="4DCEC895">
            <w:pPr>
              <w:keepNext w:val="0"/>
              <w:keepLines w:val="0"/>
              <w:widowControl/>
              <w:suppressLineNumbers w:val="0"/>
              <w:spacing w:before="0" w:beforeAutospacing="0" w:after="0" w:afterAutospacing="0"/>
              <w:ind w:left="0" w:right="0"/>
              <w:jc w:val="center"/>
              <w:textAlignment w:val="center"/>
              <w:rPr>
                <w:rFonts w:hint="default"/>
              </w:rPr>
            </w:pPr>
            <w:r>
              <w:rPr>
                <w:rFonts w:hint="default" w:ascii="仿宋_GB2312" w:hAnsi="宋体" w:eastAsia="仿宋_GB2312" w:cs="仿宋_GB2312"/>
                <w:i w:val="0"/>
                <w:iCs w:val="0"/>
                <w:color w:val="000000"/>
                <w:kern w:val="0"/>
                <w:sz w:val="20"/>
                <w:szCs w:val="20"/>
                <w:u w:val="none"/>
                <w:lang w:val="en-US" w:eastAsia="zh-CN" w:bidi="ar"/>
              </w:rPr>
              <w:t>10</w:t>
            </w:r>
          </w:p>
        </w:tc>
        <w:tc>
          <w:tcPr>
            <w:tcW w:w="40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323E6B65">
            <w:pPr>
              <w:keepNext w:val="0"/>
              <w:keepLines w:val="0"/>
              <w:widowControl/>
              <w:suppressLineNumbers w:val="0"/>
              <w:spacing w:before="0" w:beforeAutospacing="0" w:after="0" w:afterAutospacing="0"/>
              <w:ind w:left="0" w:right="0"/>
              <w:jc w:val="center"/>
              <w:textAlignment w:val="center"/>
              <w:rPr>
                <w:rFonts w:hint="default"/>
              </w:rPr>
            </w:pPr>
            <w:r>
              <w:rPr>
                <w:rFonts w:hint="default" w:ascii="仿宋_GB2312" w:hAnsi="宋体" w:eastAsia="仿宋_GB2312" w:cs="仿宋_GB2312"/>
                <w:i w:val="0"/>
                <w:iCs w:val="0"/>
                <w:color w:val="000000"/>
                <w:kern w:val="0"/>
                <w:sz w:val="20"/>
                <w:szCs w:val="20"/>
                <w:u w:val="none"/>
                <w:lang w:val="en-US" w:eastAsia="zh-CN" w:bidi="ar"/>
              </w:rPr>
              <w:t>10</w:t>
            </w:r>
          </w:p>
        </w:tc>
        <w:tc>
          <w:tcPr>
            <w:tcW w:w="4282" w:type="dxa"/>
            <w:gridSpan w:val="3"/>
            <w:tcBorders>
              <w:top w:val="single" w:color="000000" w:sz="8" w:space="0"/>
              <w:left w:val="single" w:color="000000" w:sz="8" w:space="0"/>
              <w:bottom w:val="single" w:color="000000" w:sz="8" w:space="0"/>
              <w:right w:val="single" w:color="000000" w:sz="8" w:space="0"/>
            </w:tcBorders>
            <w:shd w:val="clear" w:color="auto" w:fill="auto"/>
            <w:vAlign w:val="center"/>
          </w:tcPr>
          <w:p w14:paraId="3786475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2"/>
                <w:szCs w:val="22"/>
                <w:u w:val="none"/>
                <w:lang w:val="en-US" w:eastAsia="zh-CN" w:bidi="ar"/>
              </w:rPr>
              <w:t>无偏差</w:t>
            </w:r>
          </w:p>
        </w:tc>
      </w:tr>
      <w:tr w14:paraId="080C9A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5" w:hRule="atLeast"/>
        </w:trPr>
        <w:tc>
          <w:tcPr>
            <w:tcW w:w="404" w:type="dxa"/>
            <w:vMerge w:val="continue"/>
            <w:tcBorders>
              <w:top w:val="single" w:color="000000" w:sz="8" w:space="0"/>
              <w:left w:val="single" w:color="000000" w:sz="12" w:space="0"/>
              <w:bottom w:val="nil"/>
              <w:right w:val="single" w:color="000000" w:sz="8" w:space="0"/>
            </w:tcBorders>
            <w:shd w:val="clear" w:color="auto" w:fill="auto"/>
            <w:vAlign w:val="center"/>
          </w:tcPr>
          <w:p w14:paraId="7D04B2D3">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c>
          <w:tcPr>
            <w:tcW w:w="494" w:type="dxa"/>
            <w:vMerge w:val="continue"/>
            <w:tcBorders>
              <w:top w:val="single" w:color="000000" w:sz="8" w:space="0"/>
              <w:left w:val="single" w:color="000000" w:sz="8" w:space="0"/>
              <w:bottom w:val="nil"/>
              <w:right w:val="single" w:color="000000" w:sz="8" w:space="0"/>
            </w:tcBorders>
            <w:shd w:val="clear" w:color="auto" w:fill="auto"/>
            <w:vAlign w:val="center"/>
          </w:tcPr>
          <w:p w14:paraId="5861D770">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c>
          <w:tcPr>
            <w:tcW w:w="522" w:type="dxa"/>
            <w:vMerge w:val="continue"/>
            <w:tcBorders>
              <w:top w:val="single" w:color="000000" w:sz="8" w:space="0"/>
              <w:left w:val="single" w:color="000000" w:sz="8" w:space="0"/>
              <w:bottom w:val="nil"/>
              <w:right w:val="single" w:color="000000" w:sz="8" w:space="0"/>
            </w:tcBorders>
            <w:shd w:val="clear" w:color="auto" w:fill="auto"/>
            <w:vAlign w:val="center"/>
          </w:tcPr>
          <w:p w14:paraId="71846F95">
            <w:pPr>
              <w:keepNext w:val="0"/>
              <w:keepLines w:val="0"/>
              <w:suppressLineNumbers w:val="0"/>
              <w:spacing w:before="0" w:beforeAutospacing="0" w:after="0" w:afterAutospacing="0"/>
              <w:ind w:left="0" w:right="0"/>
              <w:jc w:val="center"/>
              <w:rPr>
                <w:rFonts w:hint="default"/>
              </w:rPr>
            </w:pPr>
          </w:p>
        </w:tc>
        <w:tc>
          <w:tcPr>
            <w:tcW w:w="752" w:type="dxa"/>
            <w:tcBorders>
              <w:top w:val="single" w:color="000000" w:sz="8" w:space="0"/>
              <w:left w:val="single" w:color="000000" w:sz="8" w:space="0"/>
              <w:bottom w:val="nil"/>
              <w:right w:val="single" w:color="000000" w:sz="8" w:space="0"/>
            </w:tcBorders>
            <w:shd w:val="clear" w:color="auto" w:fill="auto"/>
            <w:vAlign w:val="center"/>
          </w:tcPr>
          <w:p w14:paraId="7B2F43B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仿宋" w:hAnsi="仿宋" w:eastAsia="仿宋" w:cs="仿宋"/>
                <w:i w:val="0"/>
                <w:iCs w:val="0"/>
                <w:color w:val="000000"/>
                <w:kern w:val="0"/>
                <w:sz w:val="20"/>
                <w:szCs w:val="20"/>
                <w:u w:val="none"/>
                <w:lang w:val="en-US" w:eastAsia="zh-CN" w:bidi="ar"/>
              </w:rPr>
              <w:t>教师培训人次</w:t>
            </w:r>
          </w:p>
        </w:tc>
        <w:tc>
          <w:tcPr>
            <w:tcW w:w="652" w:type="dxa"/>
            <w:tcBorders>
              <w:top w:val="single" w:color="000000" w:sz="8" w:space="0"/>
              <w:left w:val="single" w:color="000000" w:sz="8" w:space="0"/>
              <w:bottom w:val="single" w:color="000000" w:sz="8" w:space="0"/>
              <w:right w:val="single" w:color="000000" w:sz="8" w:space="0"/>
            </w:tcBorders>
            <w:shd w:val="clear" w:color="auto" w:fill="auto"/>
            <w:vAlign w:val="center"/>
          </w:tcPr>
          <w:p w14:paraId="23083B9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default" w:ascii="仿宋_GB2312" w:hAnsi="宋体" w:eastAsia="仿宋_GB2312" w:cs="仿宋_GB2312"/>
                <w:i w:val="0"/>
                <w:iCs w:val="0"/>
                <w:color w:val="000000"/>
                <w:kern w:val="0"/>
                <w:sz w:val="20"/>
                <w:szCs w:val="20"/>
                <w:u w:val="none"/>
                <w:lang w:val="en-US" w:eastAsia="zh-CN" w:bidi="ar"/>
              </w:rPr>
              <w:t>2</w:t>
            </w:r>
            <w:r>
              <w:rPr>
                <w:rFonts w:hint="eastAsia" w:ascii="仿宋_GB2312" w:hAnsi="宋体" w:eastAsia="仿宋_GB2312" w:cs="仿宋_GB2312"/>
                <w:i w:val="0"/>
                <w:iCs w:val="0"/>
                <w:color w:val="000000"/>
                <w:kern w:val="0"/>
                <w:sz w:val="20"/>
                <w:szCs w:val="20"/>
                <w:u w:val="none"/>
                <w:lang w:val="en-US" w:eastAsia="zh-CN" w:bidi="ar"/>
              </w:rPr>
              <w:t>5</w:t>
            </w:r>
          </w:p>
        </w:tc>
        <w:tc>
          <w:tcPr>
            <w:tcW w:w="613" w:type="dxa"/>
            <w:gridSpan w:val="2"/>
            <w:tcBorders>
              <w:top w:val="single" w:color="000000" w:sz="8" w:space="0"/>
              <w:left w:val="single" w:color="000000" w:sz="8" w:space="0"/>
              <w:bottom w:val="single" w:color="000000" w:sz="8" w:space="0"/>
              <w:right w:val="single" w:color="000000" w:sz="8" w:space="0"/>
            </w:tcBorders>
            <w:shd w:val="clear" w:color="auto" w:fill="auto"/>
            <w:vAlign w:val="center"/>
          </w:tcPr>
          <w:p w14:paraId="37B72C0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default" w:ascii="仿宋_GB2312" w:hAnsi="宋体" w:eastAsia="仿宋_GB2312" w:cs="仿宋_GB2312"/>
                <w:i w:val="0"/>
                <w:iCs w:val="0"/>
                <w:color w:val="000000"/>
                <w:kern w:val="0"/>
                <w:sz w:val="20"/>
                <w:szCs w:val="20"/>
                <w:u w:val="none"/>
                <w:lang w:val="en-US" w:eastAsia="zh-CN" w:bidi="ar"/>
              </w:rPr>
              <w:t>2</w:t>
            </w:r>
            <w:r>
              <w:rPr>
                <w:rFonts w:hint="eastAsia" w:ascii="仿宋_GB2312" w:hAnsi="宋体" w:eastAsia="仿宋_GB2312" w:cs="仿宋_GB2312"/>
                <w:i w:val="0"/>
                <w:iCs w:val="0"/>
                <w:color w:val="000000"/>
                <w:kern w:val="0"/>
                <w:sz w:val="20"/>
                <w:szCs w:val="20"/>
                <w:u w:val="none"/>
                <w:lang w:val="en-US" w:eastAsia="zh-CN" w:bidi="ar"/>
              </w:rPr>
              <w:t>5</w:t>
            </w:r>
          </w:p>
        </w:tc>
        <w:tc>
          <w:tcPr>
            <w:tcW w:w="404" w:type="dxa"/>
            <w:tcBorders>
              <w:top w:val="single" w:color="000000" w:sz="8" w:space="0"/>
              <w:left w:val="single" w:color="000000" w:sz="8" w:space="0"/>
              <w:bottom w:val="single" w:color="000000" w:sz="8" w:space="0"/>
              <w:right w:val="single" w:color="000000" w:sz="8" w:space="0"/>
            </w:tcBorders>
            <w:shd w:val="clear" w:color="auto" w:fill="auto"/>
            <w:vAlign w:val="center"/>
          </w:tcPr>
          <w:p w14:paraId="4DBF14C4">
            <w:pPr>
              <w:keepNext w:val="0"/>
              <w:keepLines w:val="0"/>
              <w:widowControl/>
              <w:suppressLineNumbers w:val="0"/>
              <w:spacing w:before="0" w:beforeAutospacing="0" w:after="0" w:afterAutospacing="0"/>
              <w:ind w:left="0" w:right="0"/>
              <w:jc w:val="center"/>
              <w:textAlignment w:val="center"/>
              <w:rPr>
                <w:rFonts w:hint="default"/>
              </w:rPr>
            </w:pPr>
            <w:r>
              <w:rPr>
                <w:rFonts w:hint="default" w:ascii="仿宋_GB2312" w:hAnsi="宋体" w:eastAsia="仿宋_GB2312" w:cs="仿宋_GB2312"/>
                <w:i w:val="0"/>
                <w:iCs w:val="0"/>
                <w:color w:val="000000"/>
                <w:kern w:val="0"/>
                <w:sz w:val="20"/>
                <w:szCs w:val="20"/>
                <w:u w:val="none"/>
                <w:lang w:val="en-US" w:eastAsia="zh-CN" w:bidi="ar"/>
              </w:rPr>
              <w:t>10</w:t>
            </w:r>
          </w:p>
        </w:tc>
        <w:tc>
          <w:tcPr>
            <w:tcW w:w="40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50F22D79">
            <w:pPr>
              <w:keepNext w:val="0"/>
              <w:keepLines w:val="0"/>
              <w:widowControl/>
              <w:suppressLineNumbers w:val="0"/>
              <w:spacing w:before="0" w:beforeAutospacing="0" w:after="0" w:afterAutospacing="0"/>
              <w:ind w:left="0" w:right="0"/>
              <w:jc w:val="center"/>
              <w:textAlignment w:val="center"/>
              <w:rPr>
                <w:rFonts w:hint="default"/>
              </w:rPr>
            </w:pPr>
            <w:r>
              <w:rPr>
                <w:rFonts w:hint="default" w:ascii="仿宋_GB2312" w:hAnsi="宋体" w:eastAsia="仿宋_GB2312" w:cs="仿宋_GB2312"/>
                <w:i w:val="0"/>
                <w:iCs w:val="0"/>
                <w:color w:val="000000"/>
                <w:kern w:val="0"/>
                <w:sz w:val="20"/>
                <w:szCs w:val="20"/>
                <w:u w:val="none"/>
                <w:lang w:val="en-US" w:eastAsia="zh-CN" w:bidi="ar"/>
              </w:rPr>
              <w:t>10</w:t>
            </w:r>
          </w:p>
        </w:tc>
        <w:tc>
          <w:tcPr>
            <w:tcW w:w="4282" w:type="dxa"/>
            <w:gridSpan w:val="3"/>
            <w:tcBorders>
              <w:top w:val="single" w:color="000000" w:sz="8" w:space="0"/>
              <w:left w:val="single" w:color="000000" w:sz="8" w:space="0"/>
              <w:bottom w:val="single" w:color="000000" w:sz="8" w:space="0"/>
              <w:right w:val="single" w:color="000000" w:sz="8" w:space="0"/>
            </w:tcBorders>
            <w:shd w:val="clear" w:color="auto" w:fill="auto"/>
            <w:vAlign w:val="center"/>
          </w:tcPr>
          <w:p w14:paraId="4C450A5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2"/>
                <w:szCs w:val="22"/>
                <w:u w:val="none"/>
                <w:lang w:val="en-US" w:eastAsia="zh-CN" w:bidi="ar"/>
              </w:rPr>
              <w:t>无偏差</w:t>
            </w:r>
          </w:p>
        </w:tc>
      </w:tr>
      <w:tr w14:paraId="568D80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15" w:hRule="atLeast"/>
        </w:trPr>
        <w:tc>
          <w:tcPr>
            <w:tcW w:w="404" w:type="dxa"/>
            <w:vMerge w:val="continue"/>
            <w:tcBorders>
              <w:top w:val="single" w:color="000000" w:sz="8" w:space="0"/>
              <w:left w:val="single" w:color="000000" w:sz="12" w:space="0"/>
              <w:bottom w:val="nil"/>
              <w:right w:val="single" w:color="000000" w:sz="8" w:space="0"/>
            </w:tcBorders>
            <w:shd w:val="clear" w:color="auto" w:fill="auto"/>
            <w:vAlign w:val="center"/>
          </w:tcPr>
          <w:p w14:paraId="7D8E3F12">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c>
          <w:tcPr>
            <w:tcW w:w="494" w:type="dxa"/>
            <w:vMerge w:val="continue"/>
            <w:tcBorders>
              <w:top w:val="single" w:color="000000" w:sz="8" w:space="0"/>
              <w:left w:val="single" w:color="000000" w:sz="8" w:space="0"/>
              <w:bottom w:val="nil"/>
              <w:right w:val="single" w:color="000000" w:sz="8" w:space="0"/>
            </w:tcBorders>
            <w:shd w:val="clear" w:color="auto" w:fill="auto"/>
            <w:vAlign w:val="center"/>
          </w:tcPr>
          <w:p w14:paraId="6D8BB8B7">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c>
          <w:tcPr>
            <w:tcW w:w="522" w:type="dxa"/>
            <w:tcBorders>
              <w:top w:val="single" w:color="000000" w:sz="8" w:space="0"/>
              <w:left w:val="single" w:color="000000" w:sz="8" w:space="0"/>
              <w:bottom w:val="nil"/>
              <w:right w:val="single" w:color="000000" w:sz="8" w:space="0"/>
            </w:tcBorders>
            <w:shd w:val="clear" w:color="auto" w:fill="auto"/>
            <w:vAlign w:val="center"/>
          </w:tcPr>
          <w:p w14:paraId="7BFEF692">
            <w:pPr>
              <w:keepNext w:val="0"/>
              <w:keepLines w:val="0"/>
              <w:widowControl/>
              <w:suppressLineNumbers w:val="0"/>
              <w:spacing w:before="0" w:beforeAutospacing="0" w:after="0" w:afterAutospacing="0"/>
              <w:ind w:left="0" w:right="0"/>
              <w:jc w:val="center"/>
              <w:textAlignment w:val="center"/>
              <w:rPr>
                <w:rFonts w:hint="default"/>
              </w:rPr>
            </w:pPr>
            <w:r>
              <w:rPr>
                <w:rFonts w:hint="eastAsia" w:ascii="宋体" w:hAnsi="宋体" w:eastAsia="宋体" w:cs="宋体"/>
                <w:i w:val="0"/>
                <w:iCs w:val="0"/>
                <w:color w:val="000000"/>
                <w:kern w:val="0"/>
                <w:sz w:val="22"/>
                <w:szCs w:val="22"/>
                <w:u w:val="none"/>
                <w:lang w:val="en-US" w:eastAsia="zh-CN" w:bidi="ar"/>
              </w:rPr>
              <w:t>质量指标</w:t>
            </w:r>
          </w:p>
        </w:tc>
        <w:tc>
          <w:tcPr>
            <w:tcW w:w="752" w:type="dxa"/>
            <w:tcBorders>
              <w:top w:val="single" w:color="000000" w:sz="8" w:space="0"/>
              <w:left w:val="single" w:color="000000" w:sz="8" w:space="0"/>
              <w:bottom w:val="nil"/>
              <w:right w:val="single" w:color="000000" w:sz="8" w:space="0"/>
            </w:tcBorders>
            <w:shd w:val="clear" w:color="auto" w:fill="auto"/>
            <w:vAlign w:val="center"/>
          </w:tcPr>
          <w:p w14:paraId="460E305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仿宋" w:hAnsi="仿宋" w:eastAsia="仿宋" w:cs="仿宋"/>
                <w:i w:val="0"/>
                <w:iCs w:val="0"/>
                <w:color w:val="000000"/>
                <w:kern w:val="0"/>
                <w:sz w:val="20"/>
                <w:szCs w:val="20"/>
                <w:u w:val="none"/>
                <w:lang w:val="en-US" w:eastAsia="zh-CN" w:bidi="ar"/>
              </w:rPr>
              <w:t>安全工作达标率</w:t>
            </w:r>
          </w:p>
        </w:tc>
        <w:tc>
          <w:tcPr>
            <w:tcW w:w="652" w:type="dxa"/>
            <w:tcBorders>
              <w:top w:val="single" w:color="000000" w:sz="8" w:space="0"/>
              <w:left w:val="single" w:color="000000" w:sz="8" w:space="0"/>
              <w:bottom w:val="single" w:color="000000" w:sz="8" w:space="0"/>
              <w:right w:val="single" w:color="000000" w:sz="8" w:space="0"/>
            </w:tcBorders>
            <w:shd w:val="clear" w:color="auto" w:fill="auto"/>
            <w:vAlign w:val="center"/>
          </w:tcPr>
          <w:p w14:paraId="145D4B6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default" w:ascii="仿宋_GB2312" w:hAnsi="宋体" w:eastAsia="仿宋_GB2312" w:cs="仿宋_GB2312"/>
                <w:i w:val="0"/>
                <w:iCs w:val="0"/>
                <w:color w:val="000000"/>
                <w:kern w:val="0"/>
                <w:sz w:val="20"/>
                <w:szCs w:val="20"/>
                <w:u w:val="none"/>
                <w:lang w:val="en-US" w:eastAsia="zh-CN" w:bidi="ar"/>
              </w:rPr>
              <w:t>100</w:t>
            </w:r>
          </w:p>
        </w:tc>
        <w:tc>
          <w:tcPr>
            <w:tcW w:w="613" w:type="dxa"/>
            <w:gridSpan w:val="2"/>
            <w:tcBorders>
              <w:top w:val="single" w:color="000000" w:sz="8" w:space="0"/>
              <w:left w:val="single" w:color="000000" w:sz="8" w:space="0"/>
              <w:bottom w:val="single" w:color="000000" w:sz="8" w:space="0"/>
              <w:right w:val="single" w:color="000000" w:sz="8" w:space="0"/>
            </w:tcBorders>
            <w:shd w:val="clear" w:color="auto" w:fill="auto"/>
            <w:vAlign w:val="center"/>
          </w:tcPr>
          <w:p w14:paraId="58D00C4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default" w:ascii="仿宋_GB2312" w:hAnsi="宋体" w:eastAsia="仿宋_GB2312" w:cs="仿宋_GB2312"/>
                <w:i w:val="0"/>
                <w:iCs w:val="0"/>
                <w:color w:val="000000"/>
                <w:kern w:val="0"/>
                <w:sz w:val="20"/>
                <w:szCs w:val="20"/>
                <w:u w:val="none"/>
                <w:lang w:val="en-US" w:eastAsia="zh-CN" w:bidi="ar"/>
              </w:rPr>
              <w:t>100</w:t>
            </w:r>
          </w:p>
        </w:tc>
        <w:tc>
          <w:tcPr>
            <w:tcW w:w="404" w:type="dxa"/>
            <w:tcBorders>
              <w:top w:val="single" w:color="000000" w:sz="8" w:space="0"/>
              <w:left w:val="single" w:color="000000" w:sz="8" w:space="0"/>
              <w:bottom w:val="single" w:color="000000" w:sz="8" w:space="0"/>
              <w:right w:val="single" w:color="000000" w:sz="8" w:space="0"/>
            </w:tcBorders>
            <w:shd w:val="clear" w:color="auto" w:fill="auto"/>
            <w:vAlign w:val="center"/>
          </w:tcPr>
          <w:p w14:paraId="57A940F8">
            <w:pPr>
              <w:keepNext w:val="0"/>
              <w:keepLines w:val="0"/>
              <w:widowControl/>
              <w:suppressLineNumbers w:val="0"/>
              <w:spacing w:before="0" w:beforeAutospacing="0" w:after="0" w:afterAutospacing="0"/>
              <w:ind w:left="0" w:right="0"/>
              <w:jc w:val="center"/>
              <w:textAlignment w:val="center"/>
              <w:rPr>
                <w:rFonts w:hint="default"/>
              </w:rPr>
            </w:pPr>
            <w:r>
              <w:rPr>
                <w:rFonts w:hint="default" w:ascii="仿宋_GB2312" w:hAnsi="宋体" w:eastAsia="仿宋_GB2312" w:cs="仿宋_GB2312"/>
                <w:i w:val="0"/>
                <w:iCs w:val="0"/>
                <w:color w:val="000000"/>
                <w:kern w:val="0"/>
                <w:sz w:val="20"/>
                <w:szCs w:val="20"/>
                <w:u w:val="none"/>
                <w:lang w:val="en-US" w:eastAsia="zh-CN" w:bidi="ar"/>
              </w:rPr>
              <w:t>10</w:t>
            </w:r>
          </w:p>
        </w:tc>
        <w:tc>
          <w:tcPr>
            <w:tcW w:w="40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499F3826">
            <w:pPr>
              <w:keepNext w:val="0"/>
              <w:keepLines w:val="0"/>
              <w:widowControl/>
              <w:suppressLineNumbers w:val="0"/>
              <w:spacing w:before="0" w:beforeAutospacing="0" w:after="0" w:afterAutospacing="0"/>
              <w:ind w:left="0" w:right="0"/>
              <w:jc w:val="center"/>
              <w:textAlignment w:val="center"/>
              <w:rPr>
                <w:rFonts w:hint="default"/>
              </w:rPr>
            </w:pPr>
            <w:r>
              <w:rPr>
                <w:rFonts w:hint="default" w:ascii="仿宋_GB2312" w:hAnsi="宋体" w:eastAsia="仿宋_GB2312" w:cs="仿宋_GB2312"/>
                <w:i w:val="0"/>
                <w:iCs w:val="0"/>
                <w:color w:val="000000"/>
                <w:kern w:val="0"/>
                <w:sz w:val="20"/>
                <w:szCs w:val="20"/>
                <w:u w:val="none"/>
                <w:lang w:val="en-US" w:eastAsia="zh-CN" w:bidi="ar"/>
              </w:rPr>
              <w:t>10</w:t>
            </w:r>
          </w:p>
        </w:tc>
        <w:tc>
          <w:tcPr>
            <w:tcW w:w="4282" w:type="dxa"/>
            <w:gridSpan w:val="3"/>
            <w:tcBorders>
              <w:top w:val="single" w:color="000000" w:sz="8" w:space="0"/>
              <w:left w:val="single" w:color="000000" w:sz="8" w:space="0"/>
              <w:bottom w:val="single" w:color="000000" w:sz="8" w:space="0"/>
              <w:right w:val="single" w:color="000000" w:sz="8" w:space="0"/>
            </w:tcBorders>
            <w:shd w:val="clear" w:color="auto" w:fill="auto"/>
            <w:vAlign w:val="center"/>
          </w:tcPr>
          <w:p w14:paraId="7015D88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2"/>
                <w:szCs w:val="22"/>
                <w:u w:val="none"/>
                <w:lang w:val="en-US" w:eastAsia="zh-CN" w:bidi="ar"/>
              </w:rPr>
              <w:t>无偏差</w:t>
            </w:r>
          </w:p>
        </w:tc>
      </w:tr>
      <w:tr w14:paraId="6C79F5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5" w:hRule="atLeast"/>
        </w:trPr>
        <w:tc>
          <w:tcPr>
            <w:tcW w:w="404" w:type="dxa"/>
            <w:vMerge w:val="continue"/>
            <w:tcBorders>
              <w:top w:val="single" w:color="000000" w:sz="8" w:space="0"/>
              <w:left w:val="single" w:color="000000" w:sz="12" w:space="0"/>
              <w:bottom w:val="nil"/>
              <w:right w:val="single" w:color="000000" w:sz="8" w:space="0"/>
            </w:tcBorders>
            <w:shd w:val="clear" w:color="auto" w:fill="auto"/>
            <w:vAlign w:val="center"/>
          </w:tcPr>
          <w:p w14:paraId="3F242509">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c>
          <w:tcPr>
            <w:tcW w:w="494" w:type="dxa"/>
            <w:vMerge w:val="continue"/>
            <w:tcBorders>
              <w:top w:val="single" w:color="000000" w:sz="8" w:space="0"/>
              <w:left w:val="single" w:color="000000" w:sz="8" w:space="0"/>
              <w:bottom w:val="nil"/>
              <w:right w:val="single" w:color="000000" w:sz="8" w:space="0"/>
            </w:tcBorders>
            <w:shd w:val="clear" w:color="auto" w:fill="auto"/>
            <w:vAlign w:val="center"/>
          </w:tcPr>
          <w:p w14:paraId="5FCA109D">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c>
          <w:tcPr>
            <w:tcW w:w="522" w:type="dxa"/>
            <w:tcBorders>
              <w:top w:val="single" w:color="000000" w:sz="8" w:space="0"/>
              <w:left w:val="single" w:color="000000" w:sz="8" w:space="0"/>
              <w:bottom w:val="nil"/>
              <w:right w:val="single" w:color="000000" w:sz="8" w:space="0"/>
            </w:tcBorders>
            <w:shd w:val="clear" w:color="auto" w:fill="auto"/>
            <w:vAlign w:val="center"/>
          </w:tcPr>
          <w:p w14:paraId="75A696A5">
            <w:pPr>
              <w:keepNext w:val="0"/>
              <w:keepLines w:val="0"/>
              <w:widowControl/>
              <w:suppressLineNumbers w:val="0"/>
              <w:spacing w:before="0" w:beforeAutospacing="0" w:after="0" w:afterAutospacing="0"/>
              <w:ind w:left="0" w:right="0"/>
              <w:jc w:val="center"/>
              <w:textAlignment w:val="center"/>
              <w:rPr>
                <w:rFonts w:hint="default"/>
              </w:rPr>
            </w:pPr>
            <w:r>
              <w:rPr>
                <w:rFonts w:hint="eastAsia" w:ascii="宋体" w:hAnsi="宋体" w:eastAsia="宋体" w:cs="宋体"/>
                <w:i w:val="0"/>
                <w:iCs w:val="0"/>
                <w:color w:val="000000"/>
                <w:kern w:val="0"/>
                <w:sz w:val="22"/>
                <w:szCs w:val="22"/>
                <w:u w:val="none"/>
                <w:lang w:val="en-US" w:eastAsia="zh-CN" w:bidi="ar"/>
              </w:rPr>
              <w:t>时效指标</w:t>
            </w:r>
          </w:p>
        </w:tc>
        <w:tc>
          <w:tcPr>
            <w:tcW w:w="752" w:type="dxa"/>
            <w:tcBorders>
              <w:top w:val="single" w:color="000000" w:sz="8" w:space="0"/>
              <w:left w:val="single" w:color="000000" w:sz="8" w:space="0"/>
              <w:bottom w:val="nil"/>
              <w:right w:val="single" w:color="000000" w:sz="8" w:space="0"/>
            </w:tcBorders>
            <w:shd w:val="clear" w:color="auto" w:fill="auto"/>
            <w:vAlign w:val="center"/>
          </w:tcPr>
          <w:p w14:paraId="0B56058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仿宋" w:hAnsi="仿宋" w:eastAsia="仿宋" w:cs="仿宋"/>
                <w:i w:val="0"/>
                <w:iCs w:val="0"/>
                <w:color w:val="000000"/>
                <w:kern w:val="0"/>
                <w:sz w:val="20"/>
                <w:szCs w:val="20"/>
                <w:u w:val="none"/>
                <w:lang w:val="en-US" w:eastAsia="zh-CN" w:bidi="ar"/>
              </w:rPr>
              <w:t>校舍维修完成率</w:t>
            </w:r>
          </w:p>
        </w:tc>
        <w:tc>
          <w:tcPr>
            <w:tcW w:w="652" w:type="dxa"/>
            <w:tcBorders>
              <w:top w:val="single" w:color="000000" w:sz="8" w:space="0"/>
              <w:left w:val="single" w:color="000000" w:sz="8" w:space="0"/>
              <w:bottom w:val="single" w:color="000000" w:sz="8" w:space="0"/>
              <w:right w:val="single" w:color="000000" w:sz="8" w:space="0"/>
            </w:tcBorders>
            <w:shd w:val="clear" w:color="auto" w:fill="auto"/>
            <w:vAlign w:val="center"/>
          </w:tcPr>
          <w:p w14:paraId="4EE3C737">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sz w:val="18"/>
                <w:szCs w:val="18"/>
                <w:u w:val="none"/>
                <w:lang w:val="en-US"/>
              </w:rPr>
            </w:pPr>
            <w:r>
              <w:rPr>
                <w:rFonts w:hint="eastAsia" w:ascii="仿宋_GB2312" w:hAnsi="宋体" w:eastAsia="仿宋_GB2312" w:cs="仿宋_GB2312"/>
                <w:i w:val="0"/>
                <w:iCs w:val="0"/>
                <w:color w:val="000000"/>
                <w:kern w:val="0"/>
                <w:sz w:val="20"/>
                <w:szCs w:val="20"/>
                <w:u w:val="none"/>
                <w:lang w:val="en-US" w:eastAsia="zh-CN" w:bidi="ar"/>
              </w:rPr>
              <w:t>100</w:t>
            </w:r>
          </w:p>
        </w:tc>
        <w:tc>
          <w:tcPr>
            <w:tcW w:w="613" w:type="dxa"/>
            <w:gridSpan w:val="2"/>
            <w:tcBorders>
              <w:top w:val="single" w:color="000000" w:sz="8" w:space="0"/>
              <w:left w:val="single" w:color="000000" w:sz="8" w:space="0"/>
              <w:bottom w:val="single" w:color="000000" w:sz="8" w:space="0"/>
              <w:right w:val="single" w:color="000000" w:sz="8" w:space="0"/>
            </w:tcBorders>
            <w:shd w:val="clear" w:color="auto" w:fill="auto"/>
            <w:vAlign w:val="center"/>
          </w:tcPr>
          <w:p w14:paraId="08B957A1">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sz w:val="18"/>
                <w:szCs w:val="18"/>
                <w:u w:val="none"/>
                <w:lang w:val="en-US"/>
              </w:rPr>
            </w:pPr>
            <w:r>
              <w:rPr>
                <w:rFonts w:hint="eastAsia" w:ascii="仿宋_GB2312" w:hAnsi="宋体" w:eastAsia="仿宋_GB2312" w:cs="仿宋_GB2312"/>
                <w:i w:val="0"/>
                <w:iCs w:val="0"/>
                <w:color w:val="000000"/>
                <w:kern w:val="0"/>
                <w:sz w:val="20"/>
                <w:szCs w:val="20"/>
                <w:u w:val="none"/>
                <w:lang w:val="en-US" w:eastAsia="zh-CN" w:bidi="ar"/>
              </w:rPr>
              <w:t>90</w:t>
            </w:r>
          </w:p>
        </w:tc>
        <w:tc>
          <w:tcPr>
            <w:tcW w:w="404" w:type="dxa"/>
            <w:tcBorders>
              <w:top w:val="single" w:color="000000" w:sz="8" w:space="0"/>
              <w:left w:val="single" w:color="000000" w:sz="8" w:space="0"/>
              <w:bottom w:val="single" w:color="000000" w:sz="8" w:space="0"/>
              <w:right w:val="single" w:color="000000" w:sz="8" w:space="0"/>
            </w:tcBorders>
            <w:shd w:val="clear" w:color="auto" w:fill="auto"/>
            <w:vAlign w:val="center"/>
          </w:tcPr>
          <w:p w14:paraId="64652987">
            <w:pPr>
              <w:keepNext w:val="0"/>
              <w:keepLines w:val="0"/>
              <w:widowControl/>
              <w:suppressLineNumbers w:val="0"/>
              <w:spacing w:before="0" w:beforeAutospacing="0" w:after="0" w:afterAutospacing="0"/>
              <w:ind w:left="0" w:right="0"/>
              <w:jc w:val="center"/>
              <w:textAlignment w:val="center"/>
              <w:rPr>
                <w:rFonts w:hint="default"/>
                <w:lang w:val="en-US"/>
              </w:rPr>
            </w:pPr>
            <w:r>
              <w:rPr>
                <w:rFonts w:hint="eastAsia" w:ascii="仿宋_GB2312" w:hAnsi="宋体" w:eastAsia="仿宋_GB2312" w:cs="仿宋_GB2312"/>
                <w:i w:val="0"/>
                <w:iCs w:val="0"/>
                <w:color w:val="000000"/>
                <w:kern w:val="0"/>
                <w:sz w:val="20"/>
                <w:szCs w:val="20"/>
                <w:u w:val="none"/>
                <w:lang w:val="en-US" w:eastAsia="zh-CN" w:bidi="ar"/>
              </w:rPr>
              <w:t>10</w:t>
            </w:r>
          </w:p>
        </w:tc>
        <w:tc>
          <w:tcPr>
            <w:tcW w:w="40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76DC475D">
            <w:pPr>
              <w:keepNext w:val="0"/>
              <w:keepLines w:val="0"/>
              <w:widowControl/>
              <w:suppressLineNumbers w:val="0"/>
              <w:spacing w:before="0" w:beforeAutospacing="0" w:after="0" w:afterAutospacing="0"/>
              <w:ind w:left="0" w:right="0"/>
              <w:jc w:val="center"/>
              <w:textAlignment w:val="center"/>
              <w:rPr>
                <w:rFonts w:hint="default"/>
              </w:rPr>
            </w:pPr>
            <w:r>
              <w:rPr>
                <w:rFonts w:hint="eastAsia" w:ascii="仿宋_GB2312" w:hAnsi="宋体" w:eastAsia="仿宋_GB2312" w:cs="仿宋_GB2312"/>
                <w:i w:val="0"/>
                <w:iCs w:val="0"/>
                <w:color w:val="000000"/>
                <w:kern w:val="0"/>
                <w:sz w:val="20"/>
                <w:szCs w:val="20"/>
                <w:u w:val="none"/>
                <w:lang w:val="en-US" w:eastAsia="zh-CN" w:bidi="ar"/>
              </w:rPr>
              <w:t>9</w:t>
            </w:r>
          </w:p>
        </w:tc>
        <w:tc>
          <w:tcPr>
            <w:tcW w:w="4282" w:type="dxa"/>
            <w:gridSpan w:val="3"/>
            <w:tcBorders>
              <w:top w:val="single" w:color="000000" w:sz="8" w:space="0"/>
              <w:left w:val="single" w:color="000000" w:sz="8" w:space="0"/>
              <w:bottom w:val="single" w:color="000000" w:sz="8" w:space="0"/>
              <w:right w:val="single" w:color="000000" w:sz="8" w:space="0"/>
            </w:tcBorders>
            <w:shd w:val="clear" w:color="auto" w:fill="auto"/>
            <w:vAlign w:val="center"/>
          </w:tcPr>
          <w:p w14:paraId="6A56273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2"/>
                <w:szCs w:val="22"/>
                <w:u w:val="none"/>
                <w:lang w:val="en-US" w:eastAsia="zh-CN" w:bidi="ar"/>
              </w:rPr>
              <w:t>无偏差</w:t>
            </w:r>
          </w:p>
        </w:tc>
      </w:tr>
      <w:tr w14:paraId="10A072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5" w:hRule="atLeast"/>
        </w:trPr>
        <w:tc>
          <w:tcPr>
            <w:tcW w:w="404" w:type="dxa"/>
            <w:vMerge w:val="continue"/>
            <w:tcBorders>
              <w:top w:val="single" w:color="000000" w:sz="8" w:space="0"/>
              <w:left w:val="single" w:color="000000" w:sz="12" w:space="0"/>
              <w:bottom w:val="nil"/>
              <w:right w:val="single" w:color="000000" w:sz="8" w:space="0"/>
            </w:tcBorders>
            <w:shd w:val="clear" w:color="auto" w:fill="auto"/>
            <w:vAlign w:val="center"/>
          </w:tcPr>
          <w:p w14:paraId="0B62AD72">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c>
          <w:tcPr>
            <w:tcW w:w="494" w:type="dxa"/>
            <w:vMerge w:val="restart"/>
            <w:tcBorders>
              <w:top w:val="single" w:color="000000" w:sz="8" w:space="0"/>
              <w:left w:val="single" w:color="000000" w:sz="8" w:space="0"/>
              <w:bottom w:val="nil"/>
              <w:right w:val="single" w:color="000000" w:sz="8" w:space="0"/>
            </w:tcBorders>
            <w:shd w:val="clear" w:color="auto" w:fill="auto"/>
            <w:vAlign w:val="center"/>
          </w:tcPr>
          <w:p w14:paraId="67BFC9E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default" w:ascii="仿宋_GB2312" w:hAnsi="宋体" w:eastAsia="仿宋_GB2312" w:cs="仿宋_GB2312"/>
                <w:i w:val="0"/>
                <w:iCs w:val="0"/>
                <w:color w:val="000000"/>
                <w:kern w:val="0"/>
                <w:sz w:val="20"/>
                <w:szCs w:val="20"/>
                <w:u w:val="none"/>
                <w:lang w:val="en-US" w:eastAsia="zh-CN" w:bidi="ar"/>
              </w:rPr>
              <w:t>效益指标</w:t>
            </w:r>
          </w:p>
        </w:tc>
        <w:tc>
          <w:tcPr>
            <w:tcW w:w="522" w:type="dxa"/>
            <w:tcBorders>
              <w:top w:val="single" w:color="000000" w:sz="8" w:space="0"/>
              <w:left w:val="single" w:color="000000" w:sz="8" w:space="0"/>
              <w:bottom w:val="nil"/>
              <w:right w:val="single" w:color="000000" w:sz="8" w:space="0"/>
            </w:tcBorders>
            <w:shd w:val="clear" w:color="auto" w:fill="auto"/>
            <w:vAlign w:val="center"/>
          </w:tcPr>
          <w:p w14:paraId="2A5C5CFB">
            <w:pPr>
              <w:keepNext w:val="0"/>
              <w:keepLines w:val="0"/>
              <w:widowControl/>
              <w:suppressLineNumbers w:val="0"/>
              <w:spacing w:before="0" w:beforeAutospacing="0" w:after="0" w:afterAutospacing="0"/>
              <w:ind w:left="0" w:right="0"/>
              <w:jc w:val="center"/>
              <w:textAlignment w:val="center"/>
              <w:rPr>
                <w:rFonts w:hint="default"/>
              </w:rPr>
            </w:pPr>
            <w:r>
              <w:rPr>
                <w:rFonts w:hint="eastAsia" w:ascii="宋体" w:hAnsi="宋体" w:eastAsia="宋体" w:cs="宋体"/>
                <w:i w:val="0"/>
                <w:iCs w:val="0"/>
                <w:color w:val="000000"/>
                <w:kern w:val="0"/>
                <w:sz w:val="22"/>
                <w:szCs w:val="22"/>
                <w:u w:val="none"/>
                <w:lang w:val="en-US" w:eastAsia="zh-CN" w:bidi="ar"/>
              </w:rPr>
              <w:t>社会效益指标</w:t>
            </w:r>
          </w:p>
        </w:tc>
        <w:tc>
          <w:tcPr>
            <w:tcW w:w="752" w:type="dxa"/>
            <w:tcBorders>
              <w:top w:val="single" w:color="000000" w:sz="8" w:space="0"/>
              <w:left w:val="single" w:color="000000" w:sz="8" w:space="0"/>
              <w:bottom w:val="nil"/>
              <w:right w:val="single" w:color="000000" w:sz="8" w:space="0"/>
            </w:tcBorders>
            <w:shd w:val="clear" w:color="auto" w:fill="auto"/>
            <w:vAlign w:val="center"/>
          </w:tcPr>
          <w:p w14:paraId="3C30F7A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仿宋" w:hAnsi="仿宋" w:eastAsia="仿宋" w:cs="仿宋"/>
                <w:i w:val="0"/>
                <w:iCs w:val="0"/>
                <w:color w:val="000000"/>
                <w:kern w:val="0"/>
                <w:sz w:val="20"/>
                <w:szCs w:val="20"/>
                <w:u w:val="none"/>
                <w:lang w:val="en-US" w:eastAsia="zh-CN" w:bidi="ar"/>
              </w:rPr>
              <w:t>安全事故</w:t>
            </w:r>
          </w:p>
        </w:tc>
        <w:tc>
          <w:tcPr>
            <w:tcW w:w="652" w:type="dxa"/>
            <w:tcBorders>
              <w:top w:val="single" w:color="000000" w:sz="8" w:space="0"/>
              <w:left w:val="single" w:color="000000" w:sz="8" w:space="0"/>
              <w:bottom w:val="single" w:color="000000" w:sz="8" w:space="0"/>
              <w:right w:val="single" w:color="000000" w:sz="8" w:space="0"/>
            </w:tcBorders>
            <w:shd w:val="clear" w:color="auto" w:fill="auto"/>
            <w:vAlign w:val="center"/>
          </w:tcPr>
          <w:p w14:paraId="4AC3B43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default" w:ascii="仿宋_GB2312" w:hAnsi="宋体" w:eastAsia="仿宋_GB2312" w:cs="仿宋_GB2312"/>
                <w:i w:val="0"/>
                <w:iCs w:val="0"/>
                <w:color w:val="000000"/>
                <w:kern w:val="0"/>
                <w:sz w:val="20"/>
                <w:szCs w:val="20"/>
                <w:u w:val="none"/>
                <w:lang w:val="en-US" w:eastAsia="zh-CN" w:bidi="ar"/>
              </w:rPr>
              <w:t>0</w:t>
            </w:r>
          </w:p>
        </w:tc>
        <w:tc>
          <w:tcPr>
            <w:tcW w:w="613" w:type="dxa"/>
            <w:gridSpan w:val="2"/>
            <w:tcBorders>
              <w:top w:val="single" w:color="000000" w:sz="8" w:space="0"/>
              <w:left w:val="single" w:color="000000" w:sz="8" w:space="0"/>
              <w:bottom w:val="single" w:color="000000" w:sz="8" w:space="0"/>
              <w:right w:val="single" w:color="000000" w:sz="8" w:space="0"/>
            </w:tcBorders>
            <w:shd w:val="clear" w:color="auto" w:fill="auto"/>
            <w:vAlign w:val="center"/>
          </w:tcPr>
          <w:p w14:paraId="6B0ADE3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default" w:ascii="仿宋_GB2312" w:hAnsi="宋体" w:eastAsia="仿宋_GB2312" w:cs="仿宋_GB2312"/>
                <w:i w:val="0"/>
                <w:iCs w:val="0"/>
                <w:color w:val="000000"/>
                <w:kern w:val="0"/>
                <w:sz w:val="20"/>
                <w:szCs w:val="20"/>
                <w:u w:val="none"/>
                <w:lang w:val="en-US" w:eastAsia="zh-CN" w:bidi="ar"/>
              </w:rPr>
              <w:t>0</w:t>
            </w:r>
          </w:p>
        </w:tc>
        <w:tc>
          <w:tcPr>
            <w:tcW w:w="404" w:type="dxa"/>
            <w:tcBorders>
              <w:top w:val="single" w:color="000000" w:sz="8" w:space="0"/>
              <w:left w:val="single" w:color="000000" w:sz="8" w:space="0"/>
              <w:bottom w:val="single" w:color="000000" w:sz="8" w:space="0"/>
              <w:right w:val="single" w:color="000000" w:sz="8" w:space="0"/>
            </w:tcBorders>
            <w:shd w:val="clear" w:color="auto" w:fill="auto"/>
            <w:vAlign w:val="center"/>
          </w:tcPr>
          <w:p w14:paraId="0526FB97">
            <w:pPr>
              <w:keepNext w:val="0"/>
              <w:keepLines w:val="0"/>
              <w:widowControl/>
              <w:suppressLineNumbers w:val="0"/>
              <w:spacing w:before="0" w:beforeAutospacing="0" w:after="0" w:afterAutospacing="0"/>
              <w:ind w:left="0" w:right="0"/>
              <w:jc w:val="center"/>
              <w:textAlignment w:val="center"/>
              <w:rPr>
                <w:rFonts w:hint="default"/>
              </w:rPr>
            </w:pPr>
            <w:r>
              <w:rPr>
                <w:rFonts w:hint="default" w:ascii="仿宋_GB2312" w:hAnsi="宋体" w:eastAsia="仿宋_GB2312" w:cs="仿宋_GB2312"/>
                <w:i w:val="0"/>
                <w:iCs w:val="0"/>
                <w:color w:val="000000"/>
                <w:kern w:val="0"/>
                <w:sz w:val="20"/>
                <w:szCs w:val="20"/>
                <w:u w:val="none"/>
                <w:lang w:val="en-US" w:eastAsia="zh-CN" w:bidi="ar"/>
              </w:rPr>
              <w:t>10</w:t>
            </w:r>
          </w:p>
        </w:tc>
        <w:tc>
          <w:tcPr>
            <w:tcW w:w="40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6E1840C4">
            <w:pPr>
              <w:keepNext w:val="0"/>
              <w:keepLines w:val="0"/>
              <w:widowControl/>
              <w:suppressLineNumbers w:val="0"/>
              <w:spacing w:before="0" w:beforeAutospacing="0" w:after="0" w:afterAutospacing="0"/>
              <w:ind w:left="0" w:right="0"/>
              <w:jc w:val="center"/>
              <w:textAlignment w:val="center"/>
              <w:rPr>
                <w:rFonts w:hint="default"/>
              </w:rPr>
            </w:pPr>
            <w:r>
              <w:rPr>
                <w:rFonts w:hint="default" w:ascii="仿宋_GB2312" w:hAnsi="宋体" w:eastAsia="仿宋_GB2312" w:cs="仿宋_GB2312"/>
                <w:i w:val="0"/>
                <w:iCs w:val="0"/>
                <w:color w:val="000000"/>
                <w:kern w:val="0"/>
                <w:sz w:val="20"/>
                <w:szCs w:val="20"/>
                <w:u w:val="none"/>
                <w:lang w:val="en-US" w:eastAsia="zh-CN" w:bidi="ar"/>
              </w:rPr>
              <w:t>10</w:t>
            </w:r>
          </w:p>
        </w:tc>
        <w:tc>
          <w:tcPr>
            <w:tcW w:w="4282" w:type="dxa"/>
            <w:gridSpan w:val="3"/>
            <w:tcBorders>
              <w:top w:val="single" w:color="000000" w:sz="8" w:space="0"/>
              <w:left w:val="single" w:color="000000" w:sz="8" w:space="0"/>
              <w:bottom w:val="single" w:color="000000" w:sz="8" w:space="0"/>
              <w:right w:val="single" w:color="000000" w:sz="8" w:space="0"/>
            </w:tcBorders>
            <w:shd w:val="clear" w:color="auto" w:fill="auto"/>
            <w:vAlign w:val="center"/>
          </w:tcPr>
          <w:p w14:paraId="300488D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2"/>
                <w:szCs w:val="22"/>
                <w:u w:val="none"/>
                <w:lang w:val="en-US" w:eastAsia="zh-CN" w:bidi="ar"/>
              </w:rPr>
              <w:t>无偏差</w:t>
            </w:r>
          </w:p>
        </w:tc>
      </w:tr>
      <w:tr w14:paraId="615422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5" w:hRule="atLeast"/>
        </w:trPr>
        <w:tc>
          <w:tcPr>
            <w:tcW w:w="404" w:type="dxa"/>
            <w:vMerge w:val="continue"/>
            <w:tcBorders>
              <w:top w:val="single" w:color="000000" w:sz="8" w:space="0"/>
              <w:left w:val="single" w:color="000000" w:sz="12" w:space="0"/>
              <w:bottom w:val="nil"/>
              <w:right w:val="single" w:color="000000" w:sz="8" w:space="0"/>
            </w:tcBorders>
            <w:shd w:val="clear" w:color="auto" w:fill="auto"/>
            <w:vAlign w:val="center"/>
          </w:tcPr>
          <w:p w14:paraId="40F25E93">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c>
          <w:tcPr>
            <w:tcW w:w="494" w:type="dxa"/>
            <w:vMerge w:val="continue"/>
            <w:tcBorders>
              <w:top w:val="single" w:color="000000" w:sz="8" w:space="0"/>
              <w:left w:val="single" w:color="000000" w:sz="8" w:space="0"/>
              <w:bottom w:val="nil"/>
              <w:right w:val="single" w:color="000000" w:sz="8" w:space="0"/>
            </w:tcBorders>
            <w:shd w:val="clear" w:color="auto" w:fill="auto"/>
            <w:vAlign w:val="center"/>
          </w:tcPr>
          <w:p w14:paraId="7D466910">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c>
          <w:tcPr>
            <w:tcW w:w="522" w:type="dxa"/>
            <w:tcBorders>
              <w:top w:val="single" w:color="000000" w:sz="8" w:space="0"/>
              <w:left w:val="single" w:color="000000" w:sz="8" w:space="0"/>
              <w:bottom w:val="nil"/>
              <w:right w:val="single" w:color="000000" w:sz="8" w:space="0"/>
            </w:tcBorders>
            <w:shd w:val="clear" w:color="auto" w:fill="auto"/>
            <w:vAlign w:val="center"/>
          </w:tcPr>
          <w:p w14:paraId="01A4F507">
            <w:pPr>
              <w:keepNext w:val="0"/>
              <w:keepLines w:val="0"/>
              <w:widowControl/>
              <w:suppressLineNumbers w:val="0"/>
              <w:spacing w:before="0" w:beforeAutospacing="0" w:after="0" w:afterAutospacing="0"/>
              <w:ind w:left="0" w:right="0"/>
              <w:jc w:val="center"/>
              <w:textAlignment w:val="center"/>
              <w:rPr>
                <w:rFonts w:hint="default"/>
              </w:rPr>
            </w:pPr>
            <w:r>
              <w:rPr>
                <w:rFonts w:hint="eastAsia" w:ascii="宋体" w:hAnsi="宋体" w:eastAsia="宋体" w:cs="宋体"/>
                <w:i w:val="0"/>
                <w:iCs w:val="0"/>
                <w:color w:val="000000"/>
                <w:kern w:val="0"/>
                <w:sz w:val="22"/>
                <w:szCs w:val="22"/>
                <w:u w:val="none"/>
                <w:lang w:val="en-US" w:eastAsia="zh-CN" w:bidi="ar"/>
              </w:rPr>
              <w:t>生态效益指标</w:t>
            </w:r>
          </w:p>
        </w:tc>
        <w:tc>
          <w:tcPr>
            <w:tcW w:w="752" w:type="dxa"/>
            <w:tcBorders>
              <w:top w:val="single" w:color="000000" w:sz="8" w:space="0"/>
              <w:left w:val="single" w:color="000000" w:sz="8" w:space="0"/>
              <w:bottom w:val="nil"/>
              <w:right w:val="single" w:color="000000" w:sz="8" w:space="0"/>
            </w:tcBorders>
            <w:shd w:val="clear" w:color="auto" w:fill="auto"/>
            <w:vAlign w:val="center"/>
          </w:tcPr>
          <w:p w14:paraId="2F9EFED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仿宋" w:hAnsi="仿宋" w:eastAsia="仿宋" w:cs="仿宋"/>
                <w:i w:val="0"/>
                <w:iCs w:val="0"/>
                <w:color w:val="000000"/>
                <w:kern w:val="0"/>
                <w:sz w:val="20"/>
                <w:szCs w:val="20"/>
                <w:u w:val="none"/>
                <w:lang w:val="en-US" w:eastAsia="zh-CN" w:bidi="ar"/>
              </w:rPr>
              <w:t>学校环境改善</w:t>
            </w:r>
          </w:p>
        </w:tc>
        <w:tc>
          <w:tcPr>
            <w:tcW w:w="652" w:type="dxa"/>
            <w:tcBorders>
              <w:top w:val="single" w:color="000000" w:sz="8" w:space="0"/>
              <w:left w:val="single" w:color="000000" w:sz="8" w:space="0"/>
              <w:bottom w:val="single" w:color="000000" w:sz="8" w:space="0"/>
              <w:right w:val="single" w:color="000000" w:sz="8" w:space="0"/>
            </w:tcBorders>
            <w:shd w:val="clear" w:color="auto" w:fill="auto"/>
            <w:vAlign w:val="center"/>
          </w:tcPr>
          <w:p w14:paraId="3116DC0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default" w:ascii="仿宋_GB2312" w:hAnsi="宋体" w:eastAsia="仿宋_GB2312" w:cs="仿宋_GB2312"/>
                <w:i w:val="0"/>
                <w:iCs w:val="0"/>
                <w:color w:val="000000"/>
                <w:kern w:val="0"/>
                <w:sz w:val="20"/>
                <w:szCs w:val="20"/>
                <w:u w:val="none"/>
                <w:lang w:val="en-US" w:eastAsia="zh-CN" w:bidi="ar"/>
              </w:rPr>
              <w:t>改善</w:t>
            </w:r>
          </w:p>
        </w:tc>
        <w:tc>
          <w:tcPr>
            <w:tcW w:w="613" w:type="dxa"/>
            <w:gridSpan w:val="2"/>
            <w:tcBorders>
              <w:top w:val="single" w:color="000000" w:sz="8" w:space="0"/>
              <w:left w:val="single" w:color="000000" w:sz="8" w:space="0"/>
              <w:bottom w:val="single" w:color="000000" w:sz="8" w:space="0"/>
              <w:right w:val="single" w:color="000000" w:sz="8" w:space="0"/>
            </w:tcBorders>
            <w:shd w:val="clear" w:color="auto" w:fill="auto"/>
            <w:vAlign w:val="center"/>
          </w:tcPr>
          <w:p w14:paraId="330FDBA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default" w:ascii="仿宋_GB2312" w:hAnsi="宋体" w:eastAsia="仿宋_GB2312" w:cs="仿宋_GB2312"/>
                <w:i w:val="0"/>
                <w:iCs w:val="0"/>
                <w:color w:val="000000"/>
                <w:kern w:val="0"/>
                <w:sz w:val="20"/>
                <w:szCs w:val="20"/>
                <w:u w:val="none"/>
                <w:lang w:val="en-US" w:eastAsia="zh-CN" w:bidi="ar"/>
              </w:rPr>
              <w:t>良好改善</w:t>
            </w:r>
          </w:p>
        </w:tc>
        <w:tc>
          <w:tcPr>
            <w:tcW w:w="404" w:type="dxa"/>
            <w:tcBorders>
              <w:top w:val="single" w:color="000000" w:sz="8" w:space="0"/>
              <w:left w:val="single" w:color="000000" w:sz="8" w:space="0"/>
              <w:bottom w:val="single" w:color="000000" w:sz="8" w:space="0"/>
              <w:right w:val="single" w:color="000000" w:sz="8" w:space="0"/>
            </w:tcBorders>
            <w:shd w:val="clear" w:color="auto" w:fill="auto"/>
            <w:vAlign w:val="center"/>
          </w:tcPr>
          <w:p w14:paraId="19377CB4">
            <w:pPr>
              <w:keepNext w:val="0"/>
              <w:keepLines w:val="0"/>
              <w:widowControl/>
              <w:suppressLineNumbers w:val="0"/>
              <w:spacing w:before="0" w:beforeAutospacing="0" w:after="0" w:afterAutospacing="0"/>
              <w:ind w:left="0" w:right="0"/>
              <w:jc w:val="center"/>
              <w:textAlignment w:val="center"/>
              <w:rPr>
                <w:rFonts w:hint="default"/>
              </w:rPr>
            </w:pPr>
            <w:r>
              <w:rPr>
                <w:rFonts w:hint="default" w:ascii="仿宋_GB2312" w:hAnsi="宋体" w:eastAsia="仿宋_GB2312" w:cs="仿宋_GB2312"/>
                <w:i w:val="0"/>
                <w:iCs w:val="0"/>
                <w:color w:val="000000"/>
                <w:kern w:val="0"/>
                <w:sz w:val="20"/>
                <w:szCs w:val="20"/>
                <w:u w:val="none"/>
                <w:lang w:val="en-US" w:eastAsia="zh-CN" w:bidi="ar"/>
              </w:rPr>
              <w:t>10</w:t>
            </w:r>
          </w:p>
        </w:tc>
        <w:tc>
          <w:tcPr>
            <w:tcW w:w="40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7388A0E1">
            <w:pPr>
              <w:keepNext w:val="0"/>
              <w:keepLines w:val="0"/>
              <w:widowControl/>
              <w:suppressLineNumbers w:val="0"/>
              <w:spacing w:before="0" w:beforeAutospacing="0" w:after="0" w:afterAutospacing="0"/>
              <w:ind w:left="0" w:right="0"/>
              <w:jc w:val="center"/>
              <w:textAlignment w:val="center"/>
              <w:rPr>
                <w:rFonts w:hint="default"/>
              </w:rPr>
            </w:pPr>
            <w:r>
              <w:rPr>
                <w:rFonts w:hint="default" w:ascii="仿宋_GB2312" w:hAnsi="宋体" w:eastAsia="仿宋_GB2312" w:cs="仿宋_GB2312"/>
                <w:i w:val="0"/>
                <w:iCs w:val="0"/>
                <w:color w:val="000000"/>
                <w:kern w:val="0"/>
                <w:sz w:val="20"/>
                <w:szCs w:val="20"/>
                <w:u w:val="none"/>
                <w:lang w:val="en-US" w:eastAsia="zh-CN" w:bidi="ar"/>
              </w:rPr>
              <w:t>10</w:t>
            </w:r>
          </w:p>
        </w:tc>
        <w:tc>
          <w:tcPr>
            <w:tcW w:w="4282" w:type="dxa"/>
            <w:gridSpan w:val="3"/>
            <w:tcBorders>
              <w:top w:val="single" w:color="000000" w:sz="8" w:space="0"/>
              <w:left w:val="single" w:color="000000" w:sz="8" w:space="0"/>
              <w:bottom w:val="single" w:color="000000" w:sz="8" w:space="0"/>
              <w:right w:val="single" w:color="000000" w:sz="8" w:space="0"/>
            </w:tcBorders>
            <w:shd w:val="clear" w:color="auto" w:fill="auto"/>
            <w:vAlign w:val="center"/>
          </w:tcPr>
          <w:p w14:paraId="6061BA0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2"/>
                <w:szCs w:val="22"/>
                <w:u w:val="none"/>
                <w:lang w:val="en-US" w:eastAsia="zh-CN" w:bidi="ar"/>
              </w:rPr>
              <w:t>无偏差</w:t>
            </w:r>
          </w:p>
        </w:tc>
      </w:tr>
      <w:tr w14:paraId="139117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33" w:hRule="atLeast"/>
        </w:trPr>
        <w:tc>
          <w:tcPr>
            <w:tcW w:w="404" w:type="dxa"/>
            <w:vMerge w:val="continue"/>
            <w:tcBorders>
              <w:top w:val="single" w:color="000000" w:sz="8" w:space="0"/>
              <w:left w:val="single" w:color="000000" w:sz="12" w:space="0"/>
              <w:bottom w:val="nil"/>
              <w:right w:val="single" w:color="000000" w:sz="8" w:space="0"/>
            </w:tcBorders>
            <w:shd w:val="clear" w:color="auto" w:fill="auto"/>
            <w:vAlign w:val="center"/>
          </w:tcPr>
          <w:p w14:paraId="5BE99ED1">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c>
          <w:tcPr>
            <w:tcW w:w="494" w:type="dxa"/>
            <w:vMerge w:val="restart"/>
            <w:tcBorders>
              <w:top w:val="single" w:color="000000" w:sz="8" w:space="0"/>
              <w:left w:val="single" w:color="000000" w:sz="8" w:space="0"/>
              <w:bottom w:val="nil"/>
              <w:right w:val="single" w:color="000000" w:sz="8" w:space="0"/>
            </w:tcBorders>
            <w:shd w:val="clear" w:color="auto" w:fill="auto"/>
            <w:vAlign w:val="center"/>
          </w:tcPr>
          <w:p w14:paraId="022EC5B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default" w:ascii="仿宋_GB2312" w:hAnsi="宋体" w:eastAsia="仿宋_GB2312" w:cs="仿宋_GB2312"/>
                <w:i w:val="0"/>
                <w:iCs w:val="0"/>
                <w:color w:val="000000"/>
                <w:kern w:val="0"/>
                <w:sz w:val="20"/>
                <w:szCs w:val="20"/>
                <w:u w:val="none"/>
                <w:lang w:val="en-US" w:eastAsia="zh-CN" w:bidi="ar"/>
              </w:rPr>
              <w:t>满意度指标</w:t>
            </w:r>
          </w:p>
        </w:tc>
        <w:tc>
          <w:tcPr>
            <w:tcW w:w="522" w:type="dxa"/>
            <w:vMerge w:val="restart"/>
            <w:tcBorders>
              <w:top w:val="single" w:color="000000" w:sz="8" w:space="0"/>
              <w:left w:val="single" w:color="000000" w:sz="8" w:space="0"/>
              <w:bottom w:val="nil"/>
              <w:right w:val="single" w:color="000000" w:sz="8" w:space="0"/>
            </w:tcBorders>
            <w:shd w:val="clear" w:color="auto" w:fill="auto"/>
            <w:vAlign w:val="center"/>
          </w:tcPr>
          <w:p w14:paraId="213940AF">
            <w:pPr>
              <w:keepNext w:val="0"/>
              <w:keepLines w:val="0"/>
              <w:widowControl/>
              <w:suppressLineNumbers w:val="0"/>
              <w:spacing w:before="0" w:beforeAutospacing="0" w:after="0" w:afterAutospacing="0"/>
              <w:ind w:left="0" w:right="0"/>
              <w:jc w:val="center"/>
              <w:textAlignment w:val="center"/>
              <w:rPr>
                <w:rFonts w:hint="default"/>
              </w:rPr>
            </w:pPr>
            <w:r>
              <w:rPr>
                <w:rFonts w:hint="eastAsia" w:ascii="宋体" w:hAnsi="宋体" w:eastAsia="宋体" w:cs="宋体"/>
                <w:i w:val="0"/>
                <w:iCs w:val="0"/>
                <w:color w:val="000000"/>
                <w:kern w:val="0"/>
                <w:sz w:val="22"/>
                <w:szCs w:val="22"/>
                <w:u w:val="none"/>
                <w:lang w:val="en-US" w:eastAsia="zh-CN" w:bidi="ar"/>
              </w:rPr>
              <w:t>服务对象满意度指标</w:t>
            </w:r>
          </w:p>
        </w:tc>
        <w:tc>
          <w:tcPr>
            <w:tcW w:w="752" w:type="dxa"/>
            <w:tcBorders>
              <w:top w:val="single" w:color="000000" w:sz="8" w:space="0"/>
              <w:left w:val="single" w:color="000000" w:sz="8" w:space="0"/>
              <w:bottom w:val="single" w:color="000000" w:sz="8" w:space="0"/>
              <w:right w:val="single" w:color="000000" w:sz="8" w:space="0"/>
            </w:tcBorders>
            <w:shd w:val="clear" w:color="auto" w:fill="auto"/>
            <w:vAlign w:val="center"/>
          </w:tcPr>
          <w:p w14:paraId="6FC29F9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仿宋" w:hAnsi="仿宋" w:eastAsia="仿宋" w:cs="仿宋"/>
                <w:i w:val="0"/>
                <w:iCs w:val="0"/>
                <w:color w:val="000000"/>
                <w:kern w:val="0"/>
                <w:sz w:val="20"/>
                <w:szCs w:val="20"/>
                <w:u w:val="none"/>
                <w:lang w:val="en-US" w:eastAsia="zh-CN" w:bidi="ar"/>
              </w:rPr>
              <w:t>教师满意度</w:t>
            </w:r>
          </w:p>
        </w:tc>
        <w:tc>
          <w:tcPr>
            <w:tcW w:w="652" w:type="dxa"/>
            <w:tcBorders>
              <w:top w:val="single" w:color="000000" w:sz="8" w:space="0"/>
              <w:left w:val="single" w:color="000000" w:sz="8" w:space="0"/>
              <w:bottom w:val="single" w:color="000000" w:sz="8" w:space="0"/>
              <w:right w:val="single" w:color="000000" w:sz="8" w:space="0"/>
            </w:tcBorders>
            <w:shd w:val="clear" w:color="auto" w:fill="auto"/>
            <w:vAlign w:val="center"/>
          </w:tcPr>
          <w:p w14:paraId="58F92AF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default" w:ascii="仿宋_GB2312" w:hAnsi="宋体" w:eastAsia="仿宋_GB2312" w:cs="仿宋_GB2312"/>
                <w:i w:val="0"/>
                <w:iCs w:val="0"/>
                <w:color w:val="000000"/>
                <w:kern w:val="0"/>
                <w:sz w:val="20"/>
                <w:szCs w:val="20"/>
                <w:u w:val="none"/>
                <w:lang w:val="en-US" w:eastAsia="zh-CN" w:bidi="ar"/>
              </w:rPr>
              <w:t>95</w:t>
            </w:r>
          </w:p>
        </w:tc>
        <w:tc>
          <w:tcPr>
            <w:tcW w:w="613" w:type="dxa"/>
            <w:gridSpan w:val="2"/>
            <w:tcBorders>
              <w:top w:val="single" w:color="000000" w:sz="8" w:space="0"/>
              <w:left w:val="single" w:color="000000" w:sz="8" w:space="0"/>
              <w:bottom w:val="single" w:color="000000" w:sz="8" w:space="0"/>
              <w:right w:val="single" w:color="000000" w:sz="8" w:space="0"/>
            </w:tcBorders>
            <w:shd w:val="clear" w:color="auto" w:fill="auto"/>
            <w:vAlign w:val="center"/>
          </w:tcPr>
          <w:p w14:paraId="0B4250F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default" w:ascii="仿宋_GB2312" w:hAnsi="宋体" w:eastAsia="仿宋_GB2312" w:cs="仿宋_GB2312"/>
                <w:i w:val="0"/>
                <w:iCs w:val="0"/>
                <w:color w:val="000000"/>
                <w:kern w:val="0"/>
                <w:sz w:val="20"/>
                <w:szCs w:val="20"/>
                <w:u w:val="none"/>
                <w:lang w:val="en-US" w:eastAsia="zh-CN" w:bidi="ar"/>
              </w:rPr>
              <w:t>94</w:t>
            </w:r>
          </w:p>
        </w:tc>
        <w:tc>
          <w:tcPr>
            <w:tcW w:w="404" w:type="dxa"/>
            <w:tcBorders>
              <w:top w:val="single" w:color="000000" w:sz="8" w:space="0"/>
              <w:left w:val="single" w:color="000000" w:sz="8" w:space="0"/>
              <w:bottom w:val="single" w:color="000000" w:sz="8" w:space="0"/>
              <w:right w:val="single" w:color="000000" w:sz="8" w:space="0"/>
            </w:tcBorders>
            <w:shd w:val="clear" w:color="auto" w:fill="auto"/>
            <w:vAlign w:val="center"/>
          </w:tcPr>
          <w:p w14:paraId="31F57490">
            <w:pPr>
              <w:keepNext w:val="0"/>
              <w:keepLines w:val="0"/>
              <w:widowControl/>
              <w:suppressLineNumbers w:val="0"/>
              <w:spacing w:before="0" w:beforeAutospacing="0" w:after="0" w:afterAutospacing="0"/>
              <w:ind w:left="0" w:right="0"/>
              <w:jc w:val="center"/>
              <w:textAlignment w:val="center"/>
              <w:rPr>
                <w:rFonts w:hint="default"/>
              </w:rPr>
            </w:pPr>
            <w:r>
              <w:rPr>
                <w:rFonts w:hint="default" w:ascii="仿宋_GB2312" w:hAnsi="宋体" w:eastAsia="仿宋_GB2312" w:cs="仿宋_GB2312"/>
                <w:i w:val="0"/>
                <w:iCs w:val="0"/>
                <w:color w:val="000000"/>
                <w:kern w:val="0"/>
                <w:sz w:val="20"/>
                <w:szCs w:val="20"/>
                <w:u w:val="none"/>
                <w:lang w:val="en-US" w:eastAsia="zh-CN" w:bidi="ar"/>
              </w:rPr>
              <w:t>10</w:t>
            </w:r>
          </w:p>
        </w:tc>
        <w:tc>
          <w:tcPr>
            <w:tcW w:w="40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05CB0408">
            <w:pPr>
              <w:keepNext w:val="0"/>
              <w:keepLines w:val="0"/>
              <w:widowControl/>
              <w:suppressLineNumbers w:val="0"/>
              <w:spacing w:before="0" w:beforeAutospacing="0" w:after="0" w:afterAutospacing="0"/>
              <w:ind w:left="0" w:right="0"/>
              <w:jc w:val="center"/>
              <w:textAlignment w:val="center"/>
              <w:rPr>
                <w:rFonts w:hint="default"/>
              </w:rPr>
            </w:pPr>
            <w:r>
              <w:rPr>
                <w:rFonts w:hint="eastAsia" w:ascii="仿宋_GB2312" w:hAnsi="宋体" w:eastAsia="仿宋_GB2312" w:cs="仿宋_GB2312"/>
                <w:i w:val="0"/>
                <w:iCs w:val="0"/>
                <w:color w:val="000000"/>
                <w:kern w:val="0"/>
                <w:sz w:val="20"/>
                <w:szCs w:val="20"/>
                <w:u w:val="none"/>
                <w:lang w:val="en-US" w:eastAsia="zh-CN" w:bidi="ar"/>
              </w:rPr>
              <w:t>9</w:t>
            </w:r>
          </w:p>
        </w:tc>
        <w:tc>
          <w:tcPr>
            <w:tcW w:w="4282" w:type="dxa"/>
            <w:gridSpan w:val="3"/>
            <w:tcBorders>
              <w:top w:val="single" w:color="000000" w:sz="8" w:space="0"/>
              <w:left w:val="single" w:color="000000" w:sz="8" w:space="0"/>
              <w:bottom w:val="single" w:color="000000" w:sz="8" w:space="0"/>
              <w:right w:val="single" w:color="000000" w:sz="8" w:space="0"/>
            </w:tcBorders>
            <w:shd w:val="clear" w:color="auto" w:fill="auto"/>
            <w:vAlign w:val="center"/>
          </w:tcPr>
          <w:p w14:paraId="114009A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2"/>
                <w:szCs w:val="22"/>
                <w:u w:val="none"/>
                <w:lang w:val="en-US" w:eastAsia="zh-CN" w:bidi="ar"/>
              </w:rPr>
              <w:t>无偏差</w:t>
            </w:r>
          </w:p>
        </w:tc>
      </w:tr>
      <w:tr w14:paraId="4FD1EF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404" w:type="dxa"/>
            <w:vMerge w:val="continue"/>
            <w:tcBorders>
              <w:top w:val="single" w:color="000000" w:sz="8" w:space="0"/>
              <w:left w:val="single" w:color="000000" w:sz="12" w:space="0"/>
              <w:bottom w:val="single" w:color="000000" w:sz="12" w:space="0"/>
              <w:right w:val="single" w:color="000000" w:sz="8" w:space="0"/>
            </w:tcBorders>
            <w:shd w:val="clear" w:color="auto" w:fill="auto"/>
            <w:vAlign w:val="center"/>
          </w:tcPr>
          <w:p w14:paraId="2A8EB8BF">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c>
          <w:tcPr>
            <w:tcW w:w="494" w:type="dxa"/>
            <w:vMerge w:val="continue"/>
            <w:tcBorders>
              <w:top w:val="single" w:color="000000" w:sz="8" w:space="0"/>
              <w:left w:val="single" w:color="000000" w:sz="12" w:space="0"/>
              <w:bottom w:val="single" w:color="000000" w:sz="12" w:space="0"/>
              <w:right w:val="single" w:color="000000" w:sz="8" w:space="0"/>
            </w:tcBorders>
            <w:shd w:val="clear" w:color="auto" w:fill="auto"/>
            <w:vAlign w:val="center"/>
          </w:tcPr>
          <w:p w14:paraId="1075CE27">
            <w:pPr>
              <w:keepNext w:val="0"/>
              <w:keepLines w:val="0"/>
              <w:suppressLineNumbers w:val="0"/>
              <w:spacing w:before="0" w:beforeAutospacing="0" w:after="0" w:afterAutospacing="0"/>
              <w:ind w:left="0" w:right="0"/>
              <w:jc w:val="center"/>
              <w:rPr>
                <w:rFonts w:hint="default"/>
              </w:rPr>
            </w:pPr>
          </w:p>
        </w:tc>
        <w:tc>
          <w:tcPr>
            <w:tcW w:w="522" w:type="dxa"/>
            <w:vMerge w:val="continue"/>
            <w:tcBorders>
              <w:top w:val="single" w:color="000000" w:sz="8" w:space="0"/>
              <w:left w:val="single" w:color="000000" w:sz="12" w:space="0"/>
              <w:bottom w:val="single" w:color="000000" w:sz="12" w:space="0"/>
              <w:right w:val="single" w:color="000000" w:sz="8" w:space="0"/>
            </w:tcBorders>
            <w:shd w:val="clear" w:color="auto" w:fill="auto"/>
            <w:vAlign w:val="center"/>
          </w:tcPr>
          <w:p w14:paraId="0C0136F4">
            <w:pPr>
              <w:keepNext w:val="0"/>
              <w:keepLines w:val="0"/>
              <w:suppressLineNumbers w:val="0"/>
              <w:spacing w:before="0" w:beforeAutospacing="0" w:after="0" w:afterAutospacing="0"/>
              <w:ind w:left="0" w:right="0"/>
              <w:jc w:val="center"/>
              <w:rPr>
                <w:rFonts w:hint="default"/>
              </w:rPr>
            </w:pPr>
          </w:p>
        </w:tc>
        <w:tc>
          <w:tcPr>
            <w:tcW w:w="752" w:type="dxa"/>
            <w:tcBorders>
              <w:top w:val="single" w:color="000000" w:sz="8" w:space="0"/>
              <w:left w:val="single" w:color="000000" w:sz="12" w:space="0"/>
              <w:bottom w:val="single" w:color="000000" w:sz="12" w:space="0"/>
              <w:right w:val="single" w:color="000000" w:sz="8" w:space="0"/>
            </w:tcBorders>
            <w:shd w:val="clear" w:color="auto" w:fill="auto"/>
            <w:vAlign w:val="center"/>
          </w:tcPr>
          <w:p w14:paraId="0F2CC217">
            <w:pPr>
              <w:keepNext w:val="0"/>
              <w:keepLines w:val="0"/>
              <w:widowControl/>
              <w:suppressLineNumbers w:val="0"/>
              <w:spacing w:before="0" w:beforeAutospacing="0" w:after="0" w:afterAutospacing="0"/>
              <w:ind w:left="0" w:right="0"/>
              <w:jc w:val="center"/>
              <w:textAlignment w:val="center"/>
              <w:rPr>
                <w:rFonts w:hint="default"/>
              </w:rPr>
            </w:pPr>
            <w:r>
              <w:rPr>
                <w:rFonts w:hint="eastAsia" w:ascii="仿宋" w:hAnsi="仿宋" w:eastAsia="仿宋" w:cs="仿宋"/>
                <w:i w:val="0"/>
                <w:iCs w:val="0"/>
                <w:color w:val="000000"/>
                <w:kern w:val="0"/>
                <w:sz w:val="20"/>
                <w:szCs w:val="20"/>
                <w:u w:val="none"/>
                <w:lang w:val="en-US" w:eastAsia="zh-CN" w:bidi="ar"/>
              </w:rPr>
              <w:t>家长满意度</w:t>
            </w:r>
          </w:p>
        </w:tc>
        <w:tc>
          <w:tcPr>
            <w:tcW w:w="652" w:type="dxa"/>
            <w:tcBorders>
              <w:top w:val="single" w:color="000000" w:sz="8" w:space="0"/>
              <w:left w:val="single" w:color="000000" w:sz="12" w:space="0"/>
              <w:bottom w:val="single" w:color="000000" w:sz="12" w:space="0"/>
              <w:right w:val="single" w:color="000000" w:sz="8" w:space="0"/>
            </w:tcBorders>
            <w:shd w:val="clear" w:color="auto" w:fill="auto"/>
            <w:vAlign w:val="center"/>
          </w:tcPr>
          <w:p w14:paraId="386C0520">
            <w:pPr>
              <w:keepNext w:val="0"/>
              <w:keepLines w:val="0"/>
              <w:widowControl/>
              <w:suppressLineNumbers w:val="0"/>
              <w:spacing w:before="0" w:beforeAutospacing="0" w:after="0" w:afterAutospacing="0"/>
              <w:ind w:left="0" w:right="0"/>
              <w:jc w:val="center"/>
              <w:textAlignment w:val="center"/>
              <w:rPr>
                <w:rFonts w:hint="default"/>
              </w:rPr>
            </w:pPr>
            <w:r>
              <w:rPr>
                <w:rFonts w:hint="default" w:ascii="仿宋_GB2312" w:hAnsi="宋体" w:eastAsia="仿宋_GB2312" w:cs="仿宋_GB2312"/>
                <w:i w:val="0"/>
                <w:iCs w:val="0"/>
                <w:color w:val="000000"/>
                <w:kern w:val="0"/>
                <w:sz w:val="20"/>
                <w:szCs w:val="20"/>
                <w:u w:val="none"/>
                <w:lang w:val="en-US" w:eastAsia="zh-CN" w:bidi="ar"/>
              </w:rPr>
              <w:t>95</w:t>
            </w:r>
          </w:p>
        </w:tc>
        <w:tc>
          <w:tcPr>
            <w:tcW w:w="613" w:type="dxa"/>
            <w:gridSpan w:val="2"/>
            <w:tcBorders>
              <w:top w:val="single" w:color="000000" w:sz="8" w:space="0"/>
              <w:left w:val="single" w:color="000000" w:sz="12" w:space="0"/>
              <w:bottom w:val="single" w:color="000000" w:sz="12" w:space="0"/>
              <w:right w:val="single" w:color="000000" w:sz="8" w:space="0"/>
            </w:tcBorders>
            <w:shd w:val="clear" w:color="auto" w:fill="auto"/>
            <w:vAlign w:val="center"/>
          </w:tcPr>
          <w:p w14:paraId="404A7704">
            <w:pPr>
              <w:keepNext w:val="0"/>
              <w:keepLines w:val="0"/>
              <w:widowControl/>
              <w:suppressLineNumbers w:val="0"/>
              <w:spacing w:before="0" w:beforeAutospacing="0" w:after="0" w:afterAutospacing="0"/>
              <w:ind w:left="0" w:right="0"/>
              <w:jc w:val="center"/>
              <w:textAlignment w:val="center"/>
              <w:rPr>
                <w:rFonts w:hint="default"/>
              </w:rPr>
            </w:pPr>
            <w:r>
              <w:rPr>
                <w:rFonts w:hint="default" w:ascii="仿宋_GB2312" w:hAnsi="宋体" w:eastAsia="仿宋_GB2312" w:cs="仿宋_GB2312"/>
                <w:i w:val="0"/>
                <w:iCs w:val="0"/>
                <w:color w:val="000000"/>
                <w:kern w:val="0"/>
                <w:sz w:val="20"/>
                <w:szCs w:val="20"/>
                <w:u w:val="none"/>
                <w:lang w:val="en-US" w:eastAsia="zh-CN" w:bidi="ar"/>
              </w:rPr>
              <w:t>9</w:t>
            </w:r>
            <w:r>
              <w:rPr>
                <w:rFonts w:hint="eastAsia" w:ascii="仿宋_GB2312" w:hAnsi="宋体" w:eastAsia="仿宋_GB2312" w:cs="仿宋_GB2312"/>
                <w:i w:val="0"/>
                <w:iCs w:val="0"/>
                <w:color w:val="000000"/>
                <w:kern w:val="0"/>
                <w:sz w:val="20"/>
                <w:szCs w:val="20"/>
                <w:u w:val="none"/>
                <w:lang w:val="en-US" w:eastAsia="zh-CN" w:bidi="ar"/>
              </w:rPr>
              <w:t>3</w:t>
            </w:r>
          </w:p>
        </w:tc>
        <w:tc>
          <w:tcPr>
            <w:tcW w:w="404" w:type="dxa"/>
            <w:tcBorders>
              <w:top w:val="single" w:color="000000" w:sz="8" w:space="0"/>
              <w:left w:val="single" w:color="000000" w:sz="12" w:space="0"/>
              <w:bottom w:val="single" w:color="000000" w:sz="12" w:space="0"/>
              <w:right w:val="single" w:color="000000" w:sz="8" w:space="0"/>
            </w:tcBorders>
            <w:shd w:val="clear" w:color="auto" w:fill="auto"/>
            <w:vAlign w:val="center"/>
          </w:tcPr>
          <w:p w14:paraId="3EDDAF6A">
            <w:pPr>
              <w:keepNext w:val="0"/>
              <w:keepLines w:val="0"/>
              <w:widowControl/>
              <w:suppressLineNumbers w:val="0"/>
              <w:spacing w:before="0" w:beforeAutospacing="0" w:after="0" w:afterAutospacing="0"/>
              <w:ind w:left="0" w:right="0"/>
              <w:jc w:val="center"/>
              <w:textAlignment w:val="center"/>
              <w:rPr>
                <w:rFonts w:hint="default"/>
              </w:rPr>
            </w:pPr>
            <w:r>
              <w:rPr>
                <w:rFonts w:hint="default" w:ascii="仿宋_GB2312" w:hAnsi="宋体" w:eastAsia="仿宋_GB2312" w:cs="仿宋_GB2312"/>
                <w:i w:val="0"/>
                <w:iCs w:val="0"/>
                <w:color w:val="000000"/>
                <w:kern w:val="0"/>
                <w:sz w:val="20"/>
                <w:szCs w:val="20"/>
                <w:u w:val="none"/>
                <w:lang w:val="en-US" w:eastAsia="zh-CN" w:bidi="ar"/>
              </w:rPr>
              <w:t>10</w:t>
            </w:r>
          </w:p>
        </w:tc>
        <w:tc>
          <w:tcPr>
            <w:tcW w:w="405" w:type="dxa"/>
            <w:tcBorders>
              <w:top w:val="single" w:color="000000" w:sz="8" w:space="0"/>
              <w:left w:val="single" w:color="000000" w:sz="12" w:space="0"/>
              <w:bottom w:val="single" w:color="000000" w:sz="12" w:space="0"/>
              <w:right w:val="single" w:color="000000" w:sz="8" w:space="0"/>
            </w:tcBorders>
            <w:shd w:val="clear" w:color="auto" w:fill="auto"/>
            <w:vAlign w:val="center"/>
          </w:tcPr>
          <w:p w14:paraId="4966D349">
            <w:pPr>
              <w:keepNext w:val="0"/>
              <w:keepLines w:val="0"/>
              <w:widowControl/>
              <w:suppressLineNumbers w:val="0"/>
              <w:spacing w:before="0" w:beforeAutospacing="0" w:after="0" w:afterAutospacing="0"/>
              <w:ind w:left="0" w:right="0"/>
              <w:jc w:val="center"/>
              <w:textAlignment w:val="center"/>
              <w:rPr>
                <w:rFonts w:hint="default"/>
              </w:rPr>
            </w:pPr>
            <w:r>
              <w:rPr>
                <w:rFonts w:hint="eastAsia" w:ascii="仿宋_GB2312" w:hAnsi="宋体" w:eastAsia="仿宋_GB2312" w:cs="仿宋_GB2312"/>
                <w:i w:val="0"/>
                <w:iCs w:val="0"/>
                <w:color w:val="000000"/>
                <w:kern w:val="0"/>
                <w:sz w:val="20"/>
                <w:szCs w:val="20"/>
                <w:u w:val="none"/>
                <w:lang w:val="en-US" w:eastAsia="zh-CN" w:bidi="ar"/>
              </w:rPr>
              <w:t>9</w:t>
            </w:r>
          </w:p>
        </w:tc>
        <w:tc>
          <w:tcPr>
            <w:tcW w:w="4282" w:type="dxa"/>
            <w:gridSpan w:val="3"/>
            <w:tcBorders>
              <w:top w:val="single" w:color="000000" w:sz="8" w:space="0"/>
              <w:left w:val="single" w:color="000000" w:sz="12" w:space="0"/>
              <w:bottom w:val="single" w:color="000000" w:sz="12" w:space="0"/>
              <w:right w:val="single" w:color="000000" w:sz="8" w:space="0"/>
            </w:tcBorders>
            <w:shd w:val="clear" w:color="auto" w:fill="auto"/>
            <w:vAlign w:val="center"/>
          </w:tcPr>
          <w:p w14:paraId="168732D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2"/>
                <w:szCs w:val="22"/>
                <w:u w:val="none"/>
                <w:lang w:val="en-US" w:eastAsia="zh-CN" w:bidi="ar"/>
              </w:rPr>
              <w:t>无偏差</w:t>
            </w:r>
          </w:p>
        </w:tc>
      </w:tr>
    </w:tbl>
    <w:p w14:paraId="3998F0D5">
      <w:pPr>
        <w:pStyle w:val="2"/>
        <w:rPr>
          <w:rFonts w:hint="eastAsia"/>
        </w:rPr>
      </w:pPr>
    </w:p>
    <w:p w14:paraId="5188547A">
      <w:pPr>
        <w:adjustRightInd w:val="0"/>
        <w:snapToGrid w:val="0"/>
        <w:spacing w:line="600" w:lineRule="exact"/>
        <w:ind w:firstLine="640" w:firstLineChars="200"/>
        <w:rPr>
          <w:rFonts w:eastAsia="仿宋_GB2312"/>
          <w:sz w:val="32"/>
          <w:szCs w:val="32"/>
        </w:rPr>
      </w:pPr>
    </w:p>
    <w:p w14:paraId="567A32AB">
      <w:pPr>
        <w:adjustRightInd w:val="0"/>
        <w:snapToGrid w:val="0"/>
        <w:spacing w:line="600" w:lineRule="exact"/>
        <w:ind w:firstLine="640" w:firstLineChars="200"/>
        <w:jc w:val="right"/>
        <w:rPr>
          <w:rFonts w:eastAsia="仿宋_GB2312"/>
          <w:sz w:val="32"/>
          <w:szCs w:val="32"/>
        </w:rPr>
      </w:pPr>
      <w:r>
        <w:rPr>
          <w:rFonts w:hint="eastAsia" w:eastAsia="仿宋_GB2312"/>
          <w:sz w:val="32"/>
          <w:szCs w:val="32"/>
        </w:rPr>
        <w:t>东安县大盛镇大盛中学（盖章）</w:t>
      </w:r>
    </w:p>
    <w:p w14:paraId="2C5B8BF2">
      <w:pPr>
        <w:wordWrap w:val="0"/>
        <w:adjustRightInd w:val="0"/>
        <w:snapToGrid w:val="0"/>
        <w:spacing w:line="600" w:lineRule="exact"/>
        <w:ind w:right="1280" w:firstLine="640" w:firstLineChars="200"/>
        <w:jc w:val="right"/>
        <w:rPr>
          <w:rFonts w:ascii="仿宋_GB2312" w:eastAsia="仿宋_GB2312"/>
          <w:sz w:val="32"/>
          <w:szCs w:val="32"/>
        </w:rPr>
      </w:pPr>
      <w:r>
        <w:rPr>
          <w:rFonts w:hint="eastAsia" w:eastAsia="仿宋_GB2312"/>
          <w:sz w:val="32"/>
          <w:szCs w:val="32"/>
          <w:lang w:eastAsia="zh-CN"/>
        </w:rPr>
        <w:t>202</w:t>
      </w:r>
      <w:r>
        <w:rPr>
          <w:rFonts w:hint="eastAsia" w:eastAsia="仿宋_GB2312"/>
          <w:sz w:val="32"/>
          <w:szCs w:val="32"/>
          <w:lang w:val="en-US" w:eastAsia="zh-CN"/>
        </w:rPr>
        <w:t>6</w:t>
      </w:r>
      <w:r>
        <w:rPr>
          <w:rFonts w:hint="eastAsia" w:eastAsia="仿宋_GB2312"/>
          <w:sz w:val="32"/>
          <w:szCs w:val="32"/>
        </w:rPr>
        <w:t>年</w:t>
      </w:r>
      <w:r>
        <w:rPr>
          <w:rFonts w:eastAsia="仿宋_GB2312"/>
          <w:sz w:val="32"/>
          <w:szCs w:val="32"/>
        </w:rPr>
        <w:t>9</w:t>
      </w:r>
      <w:r>
        <w:rPr>
          <w:rFonts w:hint="eastAsia" w:eastAsia="仿宋_GB2312"/>
          <w:sz w:val="32"/>
          <w:szCs w:val="32"/>
        </w:rPr>
        <w:t xml:space="preserve">月 </w:t>
      </w:r>
      <w:r>
        <w:rPr>
          <w:rFonts w:hint="eastAsia" w:eastAsia="仿宋_GB2312"/>
          <w:sz w:val="32"/>
          <w:szCs w:val="32"/>
          <w:lang w:val="en-US" w:eastAsia="zh-CN"/>
        </w:rPr>
        <w:t>15</w:t>
      </w:r>
      <w:r>
        <w:rPr>
          <w:rFonts w:hint="eastAsia" w:eastAsia="仿宋_GB2312"/>
          <w:sz w:val="32"/>
          <w:szCs w:val="32"/>
        </w:rPr>
        <w:t>日</w:t>
      </w:r>
    </w:p>
    <w:sectPr>
      <w:pgSz w:w="11906" w:h="16838"/>
      <w:pgMar w:top="1440" w:right="1797" w:bottom="1440" w:left="1797"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moder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altName w:val="微软雅黑"/>
    <w:panose1 w:val="00000000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仿宋_GB2312">
    <w:altName w:val="仿宋"/>
    <w:panose1 w:val="00000000000000000000"/>
    <w:charset w:val="86"/>
    <w:family w:val="modern"/>
    <w:pitch w:val="default"/>
    <w:sig w:usb0="00000000" w:usb1="00000000" w:usb2="00000010" w:usb3="00000000" w:csb0="00040000" w:csb1="00000000"/>
  </w:font>
  <w:font w:name="方正小标宋简体">
    <w:altName w:val="宋体"/>
    <w:panose1 w:val="00000000000000000000"/>
    <w:charset w:val="00"/>
    <w:family w:val="auto"/>
    <w:pitch w:val="default"/>
    <w:sig w:usb0="00000000" w:usb1="00000000" w:usb2="00000000" w:usb3="00000000" w:csb0="00000000" w:csb1="00000000"/>
  </w:font>
  <w:font w:name="Microsoft YaHei UI">
    <w:panose1 w:val="020B0503020204020204"/>
    <w:charset w:val="86"/>
    <w:family w:val="auto"/>
    <w:pitch w:val="default"/>
    <w:sig w:usb0="80000287" w:usb1="2ACF3C50" w:usb2="00000016" w:usb3="00000000" w:csb0="0004001F" w:csb1="00000000"/>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 w:name="仿宋_GB2312">
    <w:altName w:val="仿宋"/>
    <w:panose1 w:val="00000000000000000000"/>
    <w:charset w:val="00"/>
    <w:family w:val="auto"/>
    <w:pitch w:val="default"/>
    <w:sig w:usb0="00000000" w:usb1="00000000" w:usb2="0000000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C1FADE7"/>
    <w:multiLevelType w:val="singleLevel"/>
    <w:tmpl w:val="5C1FADE7"/>
    <w:lvl w:ilvl="0" w:tentative="0">
      <w:start w:val="5"/>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System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YyYWVmYjg0ODI5NWY3NDM0MGI1Njg4ZWU5ZmEyY2EifQ=="/>
  </w:docVars>
  <w:rsids>
    <w:rsidRoot w:val="00E023F5"/>
    <w:rsid w:val="00037B95"/>
    <w:rsid w:val="00092A72"/>
    <w:rsid w:val="00151FB2"/>
    <w:rsid w:val="0017128D"/>
    <w:rsid w:val="00273308"/>
    <w:rsid w:val="0028717B"/>
    <w:rsid w:val="002A087C"/>
    <w:rsid w:val="002C7F9F"/>
    <w:rsid w:val="003746AC"/>
    <w:rsid w:val="00404B9B"/>
    <w:rsid w:val="00491393"/>
    <w:rsid w:val="004A139B"/>
    <w:rsid w:val="004C6E4D"/>
    <w:rsid w:val="00543F87"/>
    <w:rsid w:val="005A30F2"/>
    <w:rsid w:val="005B2827"/>
    <w:rsid w:val="006117C5"/>
    <w:rsid w:val="0061728F"/>
    <w:rsid w:val="0073431B"/>
    <w:rsid w:val="00762D52"/>
    <w:rsid w:val="00783181"/>
    <w:rsid w:val="007C4811"/>
    <w:rsid w:val="00826AF3"/>
    <w:rsid w:val="00836368"/>
    <w:rsid w:val="00877BA1"/>
    <w:rsid w:val="009541AD"/>
    <w:rsid w:val="009B4A40"/>
    <w:rsid w:val="00A76448"/>
    <w:rsid w:val="00A83D64"/>
    <w:rsid w:val="00B30C5E"/>
    <w:rsid w:val="00B571A4"/>
    <w:rsid w:val="00B74A87"/>
    <w:rsid w:val="00C25252"/>
    <w:rsid w:val="00C32A43"/>
    <w:rsid w:val="00CE0BD6"/>
    <w:rsid w:val="00D116AF"/>
    <w:rsid w:val="00D1790A"/>
    <w:rsid w:val="00D70962"/>
    <w:rsid w:val="00D90AB0"/>
    <w:rsid w:val="00DF468F"/>
    <w:rsid w:val="00E023F5"/>
    <w:rsid w:val="00E641CA"/>
    <w:rsid w:val="00E96CA1"/>
    <w:rsid w:val="00EA1F7D"/>
    <w:rsid w:val="00EA742B"/>
    <w:rsid w:val="00F16E04"/>
    <w:rsid w:val="00F46220"/>
    <w:rsid w:val="00F94903"/>
    <w:rsid w:val="032C3518"/>
    <w:rsid w:val="0C1B0712"/>
    <w:rsid w:val="11BD4E2C"/>
    <w:rsid w:val="12E05514"/>
    <w:rsid w:val="14541F05"/>
    <w:rsid w:val="1E025946"/>
    <w:rsid w:val="24CA00D4"/>
    <w:rsid w:val="324638FF"/>
    <w:rsid w:val="354F5480"/>
    <w:rsid w:val="35AA2BC5"/>
    <w:rsid w:val="39000043"/>
    <w:rsid w:val="398E0170"/>
    <w:rsid w:val="425A79F8"/>
    <w:rsid w:val="45EA7197"/>
    <w:rsid w:val="46CF76F8"/>
    <w:rsid w:val="4D990E39"/>
    <w:rsid w:val="51873EA0"/>
    <w:rsid w:val="524471F1"/>
    <w:rsid w:val="58E53E93"/>
    <w:rsid w:val="686135DC"/>
    <w:rsid w:val="710B069E"/>
    <w:rsid w:val="71DE5731"/>
    <w:rsid w:val="755765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iPriority="99"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Body Text"/>
    <w:basedOn w:val="1"/>
    <w:next w:val="3"/>
    <w:link w:val="15"/>
    <w:qFormat/>
    <w:uiPriority w:val="0"/>
    <w:pPr>
      <w:widowControl/>
      <w:spacing w:before="100" w:beforeAutospacing="1" w:after="100" w:afterAutospacing="1"/>
      <w:jc w:val="left"/>
    </w:pPr>
    <w:rPr>
      <w:rFonts w:ascii="宋体" w:hAnsi="宋体" w:cs="宋体"/>
      <w:kern w:val="0"/>
      <w:sz w:val="24"/>
    </w:rPr>
  </w:style>
  <w:style w:type="paragraph" w:styleId="3">
    <w:name w:val="index 5"/>
    <w:basedOn w:val="1"/>
    <w:next w:val="1"/>
    <w:unhideWhenUsed/>
    <w:qFormat/>
    <w:uiPriority w:val="99"/>
    <w:pPr>
      <w:suppressAutoHyphens/>
      <w:ind w:left="1680"/>
    </w:pPr>
    <w:rPr>
      <w:szCs w:val="20"/>
    </w:rPr>
  </w:style>
  <w:style w:type="paragraph" w:styleId="4">
    <w:name w:val="Balloon Text"/>
    <w:basedOn w:val="1"/>
    <w:link w:val="14"/>
    <w:qFormat/>
    <w:uiPriority w:val="0"/>
    <w:rPr>
      <w:sz w:val="18"/>
      <w:szCs w:val="18"/>
    </w:rPr>
  </w:style>
  <w:style w:type="paragraph" w:styleId="5">
    <w:name w:val="footer"/>
    <w:basedOn w:val="1"/>
    <w:link w:val="13"/>
    <w:qFormat/>
    <w:uiPriority w:val="0"/>
    <w:pPr>
      <w:tabs>
        <w:tab w:val="center" w:pos="4153"/>
        <w:tab w:val="right" w:pos="8306"/>
      </w:tabs>
      <w:snapToGrid w:val="0"/>
      <w:jc w:val="left"/>
    </w:pPr>
    <w:rPr>
      <w:sz w:val="18"/>
      <w:szCs w:val="18"/>
    </w:rPr>
  </w:style>
  <w:style w:type="paragraph" w:styleId="6">
    <w:name w:val="header"/>
    <w:basedOn w:val="1"/>
    <w:link w:val="12"/>
    <w:qFormat/>
    <w:uiPriority w:val="0"/>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character" w:styleId="10">
    <w:name w:val="FollowedHyperlink"/>
    <w:basedOn w:val="9"/>
    <w:qFormat/>
    <w:uiPriority w:val="0"/>
    <w:rPr>
      <w:color w:val="800080" w:themeColor="followedHyperlink"/>
      <w:u w:val="single"/>
    </w:rPr>
  </w:style>
  <w:style w:type="character" w:styleId="11">
    <w:name w:val="Hyperlink"/>
    <w:basedOn w:val="9"/>
    <w:qFormat/>
    <w:uiPriority w:val="0"/>
    <w:rPr>
      <w:color w:val="0000FF" w:themeColor="hyperlink"/>
      <w:u w:val="single"/>
    </w:rPr>
  </w:style>
  <w:style w:type="character" w:customStyle="1" w:styleId="12">
    <w:name w:val="页眉 字符"/>
    <w:basedOn w:val="9"/>
    <w:link w:val="6"/>
    <w:qFormat/>
    <w:uiPriority w:val="0"/>
    <w:rPr>
      <w:kern w:val="2"/>
      <w:sz w:val="18"/>
      <w:szCs w:val="18"/>
    </w:rPr>
  </w:style>
  <w:style w:type="character" w:customStyle="1" w:styleId="13">
    <w:name w:val="页脚 字符"/>
    <w:basedOn w:val="9"/>
    <w:link w:val="5"/>
    <w:qFormat/>
    <w:uiPriority w:val="0"/>
    <w:rPr>
      <w:kern w:val="2"/>
      <w:sz w:val="18"/>
      <w:szCs w:val="18"/>
    </w:rPr>
  </w:style>
  <w:style w:type="character" w:customStyle="1" w:styleId="14">
    <w:name w:val="批注框文本 字符"/>
    <w:basedOn w:val="9"/>
    <w:link w:val="4"/>
    <w:qFormat/>
    <w:uiPriority w:val="0"/>
    <w:rPr>
      <w:kern w:val="2"/>
      <w:sz w:val="18"/>
      <w:szCs w:val="18"/>
    </w:rPr>
  </w:style>
  <w:style w:type="character" w:customStyle="1" w:styleId="15">
    <w:name w:val="正文文本 字符"/>
    <w:basedOn w:val="9"/>
    <w:link w:val="2"/>
    <w:qFormat/>
    <w:uiPriority w:val="0"/>
    <w:rPr>
      <w:kern w:val="2"/>
      <w:sz w:val="21"/>
      <w:szCs w:val="24"/>
    </w:rPr>
  </w:style>
  <w:style w:type="character" w:customStyle="1" w:styleId="16">
    <w:name w:val="font71"/>
    <w:basedOn w:val="9"/>
    <w:qFormat/>
    <w:uiPriority w:val="0"/>
    <w:rPr>
      <w:rFonts w:hint="eastAsia" w:ascii="宋体" w:hAnsi="宋体" w:eastAsia="宋体" w:cs="宋体"/>
      <w:color w:val="000000"/>
      <w:sz w:val="20"/>
      <w:szCs w:val="20"/>
      <w:u w:val="none"/>
    </w:rPr>
  </w:style>
  <w:style w:type="character" w:customStyle="1" w:styleId="17">
    <w:name w:val="font81"/>
    <w:basedOn w:val="9"/>
    <w:qFormat/>
    <w:uiPriority w:val="0"/>
    <w:rPr>
      <w:rFonts w:hint="default" w:ascii="Times New Roman" w:hAnsi="Times New Roman" w:cs="Times New Roman"/>
      <w:color w:val="000000"/>
      <w:sz w:val="20"/>
      <w:szCs w:val="20"/>
      <w:u w:val="none"/>
    </w:rPr>
  </w:style>
  <w:style w:type="character" w:customStyle="1" w:styleId="18">
    <w:name w:val="font21"/>
    <w:basedOn w:val="9"/>
    <w:qFormat/>
    <w:uiPriority w:val="0"/>
    <w:rPr>
      <w:rFonts w:hint="eastAsia" w:ascii="宋体" w:hAnsi="宋体" w:eastAsia="宋体" w:cs="宋体"/>
      <w:color w:val="000000"/>
      <w:sz w:val="20"/>
      <w:szCs w:val="20"/>
      <w:u w:val="none"/>
    </w:rPr>
  </w:style>
  <w:style w:type="character" w:customStyle="1" w:styleId="19">
    <w:name w:val="font01"/>
    <w:basedOn w:val="9"/>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Lenovo (Beijing) Limited</Company>
  <Pages>9</Pages>
  <Words>3592</Words>
  <Characters>3778</Characters>
  <Lines>11</Lines>
  <Paragraphs>3</Paragraphs>
  <TotalTime>7</TotalTime>
  <ScaleCrop>false</ScaleCrop>
  <LinksUpToDate>false</LinksUpToDate>
  <CharactersWithSpaces>3797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2023-09-10T05:26:00Z</dcterms:created>
  <dc:creator>Lenovo User</dc:creator>
  <cp:lastModifiedBy>不得了</cp:lastModifiedBy>
  <cp:lastPrinted>2026-09-15T01:46:07Z</cp:lastPrinted>
  <dcterms:modified xsi:type="dcterms:W3CDTF">2026-09-15T01:48:26Z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49DF1DC3F5FA49828BEA2B377D7DD46B_13</vt:lpwstr>
  </property>
  <property fmtid="{D5CDD505-2E9C-101B-9397-08002B2CF9AE}" pid="4" name="KSOTemplateDocerSaveRecord">
    <vt:lpwstr>eyJoZGlkIjoiMjU1NzNiOTI4NjJkNmE3MjgzMWMxNDU2ZTY5ZDBlMjAiLCJ1c2VySWQiOiIxNDk4OTUyNjI5In0=</vt:lpwstr>
  </property>
</Properties>
</file>