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E5CF5">
      <w:pPr>
        <w:keepNext w:val="0"/>
        <w:keepLines w:val="0"/>
        <w:pageBreakBefore w:val="0"/>
        <w:kinsoku/>
        <w:overflowPunct/>
        <w:topLinePunct w:val="0"/>
        <w:autoSpaceDN/>
        <w:bidi w:val="0"/>
        <w:adjustRightInd w:val="0"/>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5</w:t>
      </w:r>
      <w:r>
        <w:rPr>
          <w:rFonts w:hint="eastAsia" w:ascii="方正小标宋简体" w:hAnsi="方正小标宋简体" w:eastAsia="方正小标宋简体" w:cs="方正小标宋简体"/>
          <w:b w:val="0"/>
          <w:bCs w:val="0"/>
          <w:sz w:val="44"/>
          <w:szCs w:val="44"/>
        </w:rPr>
        <w:t>年度</w:t>
      </w:r>
      <w:r>
        <w:rPr>
          <w:rFonts w:hint="eastAsia" w:ascii="方正小标宋简体" w:hAnsi="方正小标宋简体" w:eastAsia="方正小标宋简体" w:cs="方正小标宋简体"/>
          <w:b w:val="0"/>
          <w:bCs w:val="0"/>
          <w:sz w:val="44"/>
          <w:szCs w:val="44"/>
          <w:u w:val="single"/>
        </w:rPr>
        <w:t>东安县公安局</w:t>
      </w:r>
      <w:r>
        <w:rPr>
          <w:rFonts w:hint="eastAsia" w:ascii="方正小标宋简体" w:hAnsi="方正小标宋简体" w:eastAsia="方正小标宋简体" w:cs="方正小标宋简体"/>
          <w:b w:val="0"/>
          <w:bCs w:val="0"/>
          <w:sz w:val="44"/>
          <w:szCs w:val="44"/>
        </w:rPr>
        <w:t>部门整体支出</w:t>
      </w:r>
    </w:p>
    <w:p w14:paraId="72E4444F">
      <w:pPr>
        <w:keepNext w:val="0"/>
        <w:keepLines w:val="0"/>
        <w:pageBreakBefore w:val="0"/>
        <w:kinsoku/>
        <w:overflowPunct/>
        <w:topLinePunct w:val="0"/>
        <w:autoSpaceDN/>
        <w:bidi w:val="0"/>
        <w:adjustRightInd w:val="0"/>
        <w:spacing w:line="56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绩效评价报告</w:t>
      </w:r>
    </w:p>
    <w:p w14:paraId="769940A7">
      <w:pPr>
        <w:keepNext w:val="0"/>
        <w:keepLines w:val="0"/>
        <w:pageBreakBefore w:val="0"/>
        <w:kinsoku/>
        <w:overflowPunct/>
        <w:topLinePunct w:val="0"/>
        <w:autoSpaceDN/>
        <w:bidi w:val="0"/>
        <w:adjustRightInd w:val="0"/>
        <w:snapToGrid w:val="0"/>
        <w:spacing w:line="560" w:lineRule="exact"/>
        <w:ind w:firstLine="643" w:firstLineChars="200"/>
        <w:textAlignment w:val="auto"/>
        <w:rPr>
          <w:rFonts w:hint="eastAsia" w:ascii="仿宋_GB2312" w:hAnsi="仿宋_GB2312" w:eastAsia="仿宋_GB2312" w:cs="仿宋_GB2312"/>
          <w:b/>
          <w:sz w:val="32"/>
          <w:szCs w:val="32"/>
        </w:rPr>
      </w:pPr>
    </w:p>
    <w:p w14:paraId="215E1558">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一、部门概况</w:t>
      </w:r>
    </w:p>
    <w:p w14:paraId="4E43B392">
      <w:pPr>
        <w:keepNext w:val="0"/>
        <w:keepLines w:val="0"/>
        <w:pageBreakBefore w:val="0"/>
        <w:kinsoku/>
        <w:overflowPunct/>
        <w:topLinePunct w:val="0"/>
        <w:autoSpaceDN/>
        <w:bidi w:val="0"/>
        <w:spacing w:line="560" w:lineRule="exact"/>
        <w:ind w:left="0" w:lef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1、组织机构设置</w:t>
      </w:r>
    </w:p>
    <w:p w14:paraId="65F88EF2">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根据编委核定，公安局下辖17个派出所，看守、拘留2个监管场所，刑侦、治安、巡警、国内安全保卫、人口与出入境、禁毒、经侦、网安、</w:t>
      </w:r>
      <w:r>
        <w:rPr>
          <w:rFonts w:hint="eastAsia" w:ascii="仿宋_GB2312" w:hAnsi="仿宋_GB2312" w:eastAsia="仿宋_GB2312" w:cs="仿宋_GB2312"/>
          <w:kern w:val="0"/>
          <w:sz w:val="32"/>
          <w:szCs w:val="32"/>
          <w:lang w:val="en-US" w:eastAsia="zh-CN"/>
        </w:rPr>
        <w:t>电侦</w:t>
      </w:r>
      <w:r>
        <w:rPr>
          <w:rFonts w:hint="eastAsia" w:ascii="仿宋_GB2312" w:hAnsi="仿宋_GB2312" w:eastAsia="仿宋_GB2312" w:cs="仿宋_GB2312"/>
          <w:kern w:val="0"/>
          <w:sz w:val="32"/>
          <w:szCs w:val="32"/>
        </w:rPr>
        <w:t>、反恐、森林公安、督</w:t>
      </w:r>
      <w:r>
        <w:rPr>
          <w:rFonts w:hint="eastAsia" w:ascii="仿宋_GB2312" w:hAnsi="仿宋_GB2312" w:eastAsia="仿宋_GB2312" w:cs="仿宋_GB2312"/>
          <w:kern w:val="0"/>
          <w:sz w:val="32"/>
          <w:szCs w:val="32"/>
          <w:lang w:val="en-US" w:eastAsia="zh-CN"/>
        </w:rPr>
        <w:t>察</w:t>
      </w:r>
      <w:r>
        <w:rPr>
          <w:rFonts w:hint="eastAsia" w:ascii="仿宋_GB2312" w:hAnsi="仿宋_GB2312" w:eastAsia="仿宋_GB2312" w:cs="仿宋_GB2312"/>
          <w:kern w:val="0"/>
          <w:sz w:val="32"/>
          <w:szCs w:val="32"/>
        </w:rPr>
        <w:t>12个大队和指挥中心、政工、法制信访室、警务保障室4个内设机构，共35个所队室。</w:t>
      </w:r>
    </w:p>
    <w:p w14:paraId="5AC7CA96">
      <w:pPr>
        <w:pStyle w:val="14"/>
        <w:keepNext w:val="0"/>
        <w:keepLines w:val="0"/>
        <w:pageBreakBefore w:val="0"/>
        <w:kinsoku/>
        <w:overflowPunct/>
        <w:topLinePunct w:val="0"/>
        <w:autoSpaceDE w:val="0"/>
        <w:autoSpaceDN/>
        <w:bidi w:val="0"/>
        <w:spacing w:before="0" w:beforeAutospacing="0" w:after="0" w:afterAutospacing="0" w:line="560" w:lineRule="exact"/>
        <w:ind w:left="0"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2、主要工作职能</w:t>
      </w:r>
    </w:p>
    <w:p w14:paraId="26712169">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县公安局是县政府主管全县公安工作的职能部门，领导、管理全县范围内的公安工作。其主要职责是：</w:t>
      </w:r>
    </w:p>
    <w:p w14:paraId="56C9BC3D">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(一)贯彻执行党和国家关于公安工作的路线、方针、政策和法律法规，组织、指导、检查、监督全县公安工作。</w:t>
      </w:r>
    </w:p>
    <w:p w14:paraId="65BC52EC">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(二)掌握影响稳定、危害国内安全和社会治安的情况，分析形势，制定对策。</w:t>
      </w:r>
    </w:p>
    <w:p w14:paraId="305B7B3A">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(三)预防、制止和侦查违法犯罪活动，负责对危害国家安全案件、刑事案件、经济案件以及毒品案件的侦察、预审工作。</w:t>
      </w:r>
    </w:p>
    <w:p w14:paraId="6263149C">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(四)维护社会治安秩序，制止危害社会治安秩序的行为。</w:t>
      </w:r>
    </w:p>
    <w:p w14:paraId="115E2D0E">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(五)维护交通安全和交通秩序，处理交通事故，加强车辆及驾驶员的依法管理。</w:t>
      </w:r>
    </w:p>
    <w:p w14:paraId="6DA3ADBE">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(六)指导、检查、监督全县公安机关的执法活动。</w:t>
      </w:r>
    </w:p>
    <w:p w14:paraId="1D35EEFF">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(七)指导、监督、组织实施全县消防工作。</w:t>
      </w:r>
      <w:r>
        <w:rPr>
          <w:rFonts w:hint="eastAsia" w:ascii="仿宋_GB2312" w:hAnsi="仿宋_GB2312" w:eastAsia="仿宋_GB2312" w:cs="仿宋_GB2312"/>
          <w:kern w:val="0"/>
          <w:sz w:val="32"/>
          <w:szCs w:val="32"/>
        </w:rPr>
        <w:tab/>
      </w:r>
    </w:p>
    <w:p w14:paraId="4F7E6E68">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(八)指导、监督全县公安机关对国家机关、社会团体、企事业单位和重点建设工程的治安保卫工作以及群体性治安保卫组织的治安防范工作。</w:t>
      </w:r>
    </w:p>
    <w:p w14:paraId="1E431CA8">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(九)指导、监督、实施全县公安机关对信息网络的安全监察工作。</w:t>
      </w:r>
    </w:p>
    <w:p w14:paraId="3F33B472">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(十)指导、监督、实施全县公安机关依法承担的执行刑罚和监督、考察工作；指导、监督、实施对看守所、治安拘留所的管理工作。</w:t>
      </w:r>
    </w:p>
    <w:p w14:paraId="5337143A">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(十一)组织、指导出境、入境和外国人在我县居留、旅行的有关管理工作。</w:t>
      </w:r>
    </w:p>
    <w:p w14:paraId="181E04F7">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(十二)依法管理户口、居民身分证、枪支弹药、管制刀具和易燃易爆、剧毒、放射性等危险物品和特种待业的管理工作。</w:t>
      </w:r>
    </w:p>
    <w:p w14:paraId="68DED037">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(十三)依法管理集会、游行、示威活动。</w:t>
      </w:r>
    </w:p>
    <w:p w14:paraId="37C34C5E">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(十四)警卫国家规定的特定人员，守卫重要的场所和设施。</w:t>
      </w:r>
    </w:p>
    <w:p w14:paraId="11002A68">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(十五)负责全县公安后勤保障。</w:t>
      </w:r>
    </w:p>
    <w:p w14:paraId="1487BBEC">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(十六)制定全县公安机关人员培训、教育及公安宣传的方针和规划，检查监督落实情况；按规定权限任用干部。</w:t>
      </w:r>
    </w:p>
    <w:p w14:paraId="17ECB097">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(十七)制定全县公安队伍监督管理工作规章制度，分析队伍现状，组织实施督察工作；按规定权限实施对干部的管理和监督；查处全县公安队伍违法违纪案件。</w:t>
      </w:r>
    </w:p>
    <w:p w14:paraId="56CFF562">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二、部门整体支出使用情况</w:t>
      </w:r>
    </w:p>
    <w:p w14:paraId="3405FA15">
      <w:pPr>
        <w:keepNext w:val="0"/>
        <w:keepLines w:val="0"/>
        <w:pageBreakBefore w:val="0"/>
        <w:kinsoku/>
        <w:overflowPunct/>
        <w:topLinePunct w:val="0"/>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（一）基本支出</w:t>
      </w:r>
    </w:p>
    <w:p w14:paraId="0681D997">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rPr>
        <w:t>202</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rPr>
        <w:t>年支出9</w:t>
      </w:r>
      <w:r>
        <w:rPr>
          <w:rFonts w:hint="eastAsia" w:ascii="仿宋_GB2312" w:hAnsi="仿宋_GB2312" w:eastAsia="仿宋_GB2312" w:cs="仿宋_GB2312"/>
          <w:kern w:val="0"/>
          <w:sz w:val="32"/>
          <w:szCs w:val="32"/>
          <w:highlight w:val="none"/>
          <w:lang w:val="en-US" w:eastAsia="zh-CN"/>
        </w:rPr>
        <w:t>768</w:t>
      </w:r>
      <w:r>
        <w:rPr>
          <w:rFonts w:hint="eastAsia" w:ascii="仿宋_GB2312" w:hAnsi="仿宋_GB2312" w:eastAsia="仿宋_GB2312" w:cs="仿宋_GB2312"/>
          <w:kern w:val="0"/>
          <w:sz w:val="32"/>
          <w:szCs w:val="32"/>
          <w:highlight w:val="none"/>
        </w:rPr>
        <w:t>万元，其中：基本支出</w:t>
      </w:r>
      <w:r>
        <w:rPr>
          <w:rFonts w:hint="eastAsia" w:ascii="仿宋_GB2312" w:hAnsi="仿宋_GB2312" w:eastAsia="仿宋_GB2312" w:cs="仿宋_GB2312"/>
          <w:kern w:val="0"/>
          <w:sz w:val="32"/>
          <w:szCs w:val="32"/>
          <w:highlight w:val="none"/>
          <w:lang w:val="en-US" w:eastAsia="zh-CN"/>
        </w:rPr>
        <w:t>6183</w:t>
      </w:r>
      <w:r>
        <w:rPr>
          <w:rFonts w:hint="eastAsia" w:ascii="仿宋_GB2312" w:hAnsi="仿宋_GB2312" w:eastAsia="仿宋_GB2312" w:cs="仿宋_GB2312"/>
          <w:kern w:val="0"/>
          <w:sz w:val="32"/>
          <w:szCs w:val="32"/>
          <w:highlight w:val="none"/>
        </w:rPr>
        <w:t>万元，占6</w:t>
      </w:r>
      <w:r>
        <w:rPr>
          <w:rFonts w:hint="eastAsia" w:ascii="仿宋_GB2312" w:hAnsi="仿宋_GB2312" w:eastAsia="仿宋_GB2312" w:cs="仿宋_GB2312"/>
          <w:kern w:val="0"/>
          <w:sz w:val="32"/>
          <w:szCs w:val="32"/>
          <w:highlight w:val="none"/>
          <w:lang w:val="en-US" w:eastAsia="zh-CN"/>
        </w:rPr>
        <w:t>3.3</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val="en-US" w:eastAsia="zh-CN"/>
        </w:rPr>
        <w:t>项目支出3585万元，占36.7%。</w:t>
      </w:r>
    </w:p>
    <w:p w14:paraId="49CA2A7D">
      <w:pPr>
        <w:keepNext w:val="0"/>
        <w:keepLines w:val="0"/>
        <w:pageBreakBefore w:val="0"/>
        <w:kinsoku/>
        <w:overflowPunct/>
        <w:topLinePunct w:val="0"/>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（二）项目支</w:t>
      </w:r>
      <w:r>
        <w:rPr>
          <w:rFonts w:hint="eastAsia" w:ascii="仿宋_GB2312" w:hAnsi="仿宋_GB2312" w:eastAsia="仿宋_GB2312" w:cs="仿宋_GB2312"/>
          <w:b/>
          <w:sz w:val="32"/>
          <w:szCs w:val="32"/>
          <w:lang w:val="en-US" w:eastAsia="zh-CN"/>
        </w:rPr>
        <w:t>出</w:t>
      </w:r>
    </w:p>
    <w:p w14:paraId="26819E43">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项目经费3537万元。总收入较上年</w:t>
      </w:r>
      <w:r>
        <w:rPr>
          <w:rFonts w:hint="eastAsia" w:ascii="仿宋_GB2312" w:hAnsi="仿宋_GB2312" w:eastAsia="仿宋_GB2312" w:cs="仿宋_GB2312"/>
          <w:kern w:val="0"/>
          <w:sz w:val="32"/>
          <w:szCs w:val="32"/>
          <w:highlight w:val="none"/>
          <w:lang w:val="en-US" w:eastAsia="zh-CN"/>
        </w:rPr>
        <w:t>增加</w:t>
      </w:r>
      <w:r>
        <w:rPr>
          <w:rFonts w:hint="eastAsia" w:ascii="仿宋_GB2312" w:hAnsi="仿宋_GB2312" w:eastAsia="仿宋_GB2312" w:cs="仿宋_GB2312"/>
          <w:kern w:val="0"/>
          <w:sz w:val="32"/>
          <w:szCs w:val="32"/>
          <w:highlight w:val="none"/>
        </w:rPr>
        <w:t>了</w:t>
      </w:r>
      <w:r>
        <w:rPr>
          <w:rFonts w:hint="eastAsia" w:ascii="仿宋_GB2312" w:hAnsi="仿宋_GB2312" w:eastAsia="仿宋_GB2312" w:cs="仿宋_GB2312"/>
          <w:kern w:val="0"/>
          <w:sz w:val="32"/>
          <w:szCs w:val="32"/>
          <w:highlight w:val="none"/>
          <w:lang w:val="en-US" w:eastAsia="zh-CN"/>
        </w:rPr>
        <w:t>18</w:t>
      </w:r>
      <w:r>
        <w:rPr>
          <w:rFonts w:hint="eastAsia" w:ascii="仿宋_GB2312" w:hAnsi="仿宋_GB2312" w:eastAsia="仿宋_GB2312" w:cs="仿宋_GB2312"/>
          <w:kern w:val="0"/>
          <w:sz w:val="32"/>
          <w:szCs w:val="32"/>
          <w:highlight w:val="none"/>
        </w:rPr>
        <w:t>万元，主要原因是年度内正常的涨幅。</w:t>
      </w:r>
    </w:p>
    <w:p w14:paraId="22047BD2">
      <w:pPr>
        <w:keepNext w:val="0"/>
        <w:keepLines w:val="0"/>
        <w:pageBreakBefore w:val="0"/>
        <w:kinsoku/>
        <w:overflowPunct/>
        <w:topLinePunct w:val="0"/>
        <w:autoSpaceDN/>
        <w:bidi w:val="0"/>
        <w:spacing w:line="560" w:lineRule="exact"/>
        <w:ind w:left="0" w:leftChars="0"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（三）“三公经费”支出说明</w:t>
      </w:r>
    </w:p>
    <w:p w14:paraId="53584CD8">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2025年度我局“三公”经费支出共计128.64万元，比上年减少4.66万元。主要原因是公务接比上年减少11.36万元；其中公务接待10批次，比上年减少41批次；接待人次160人次，比上年减少166人次；2025年度无公务用车购置，公务用车运行维护费128万元，比上年增加了6.7万元：“三公”经费减少是因我局严格按照中央、省、市和县的有关政策规定执行，严格控制开支。</w:t>
      </w:r>
    </w:p>
    <w:p w14:paraId="58765EF6">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三、部门整体支出管理情况</w:t>
      </w:r>
    </w:p>
    <w:p w14:paraId="5684C719">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1、在预算管理上，根据“总量控制，计划管理”的要求从严控制行政经费，压缩公务开支，严控把控“三公经费”。</w:t>
      </w:r>
    </w:p>
    <w:p w14:paraId="285015BF">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2、在财务管理上，建章立制，按照相关的法律法规，制定了财务管理制度、公务用车管理制度、采购管理制度、装备管理制度、经费支出审批制度等管理制度，保证财政资金的有效管理及运行。</w:t>
      </w:r>
    </w:p>
    <w:p w14:paraId="535A34CD">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3、逐步健全内控审批制度，完善内部支出管理，各项支出符合财务规定，强化内部约束，不断降低单位运行成本。</w:t>
      </w:r>
    </w:p>
    <w:p w14:paraId="128D5C13">
      <w:pPr>
        <w:keepNext w:val="0"/>
        <w:keepLines w:val="0"/>
        <w:pageBreakBefore w:val="0"/>
        <w:kinsoku/>
        <w:overflowPunct/>
        <w:topLinePunct w:val="0"/>
        <w:autoSpaceDN/>
        <w:bidi w:val="0"/>
        <w:spacing w:line="560" w:lineRule="exact"/>
        <w:ind w:left="0" w:leftChars="0" w:firstLine="640" w:firstLineChars="200"/>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四、部门整体支出绩效情况</w:t>
      </w:r>
    </w:p>
    <w:p w14:paraId="3BD90C33">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val="en-US" w:eastAsia="zh-CN"/>
        </w:rPr>
        <w:t>2025年以来，东安县公安局</w:t>
      </w:r>
      <w:r>
        <w:rPr>
          <w:rFonts w:hint="eastAsia" w:ascii="仿宋_GB2312" w:hAnsi="仿宋_GB2312" w:eastAsia="仿宋_GB2312" w:cs="仿宋_GB2312"/>
          <w:kern w:val="0"/>
          <w:sz w:val="32"/>
          <w:szCs w:val="32"/>
        </w:rPr>
        <w:t>严打范罪，筑牢安全防线。电诈与跨境犯罪：破获公安部督办跨境案件2起；电诈追赃快反专班追回损失121万元，刑拘52人；劝返境外涉诈高危人员成效显著；反诈宣传覆盖广，短视频与资料提升防骗意识 。传统侵财立案同比降30.28%，破案率升3.33%；速破入室盗窃、跨区域盗窃家禽、货车柴油被盗等案；6小时破入室盗窃、跨省抓盗窃团伙，挽回群众损失。聚焦基层治理，夯实工作根基。扎实推进警务工作与基层社会治理深度融入，以社区警务为重点的派出所主防</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12345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模式；全县治安、刑事、传统盗抢骗案件发案同比分别下降19.64%、10.07%、16.88%。</w:t>
      </w:r>
    </w:p>
    <w:p w14:paraId="007CAD54">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2、经济性评价</w:t>
      </w:r>
    </w:p>
    <w:p w14:paraId="406A143C">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预算指标执行到位。财政供给人员控制率没有超标，无人员超标的现象。</w:t>
      </w:r>
    </w:p>
    <w:p w14:paraId="51F1209C">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3、效率型评价</w:t>
      </w:r>
    </w:p>
    <w:p w14:paraId="698D90EC">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立了适合本单位的实际情况的内部控制体系。分析风险隐患，完善风险评估机制，制定风险策略；有效运用不相容岗位相分离，内部授权控制审批、归口管理、预算控制、财产保护控制、会计控制、单位控制、信息内部公开等内部控制基本方法，实现内部控制体系全面有效实施，并对针对存在的问题，抓好整改落实，进一步健全制度，提高执行力，完善监督措施。</w:t>
      </w:r>
    </w:p>
    <w:p w14:paraId="0DD888E1">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4、有效性评价</w:t>
      </w:r>
    </w:p>
    <w:p w14:paraId="0A69C1B6">
      <w:pPr>
        <w:keepNext w:val="0"/>
        <w:keepLines w:val="0"/>
        <w:pageBreakBefore w:val="0"/>
        <w:kinsoku/>
        <w:overflowPunct/>
        <w:topLinePunct w:val="0"/>
        <w:autoSpaceDN/>
        <w:bidi w:val="0"/>
        <w:spacing w:line="560" w:lineRule="exact"/>
        <w:ind w:left="0" w:leftChars="0"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2025年，东安县公安局配备警用无人机3台，建设无人机机场1座</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街面警情处置率同比提升10.6%</w:t>
      </w:r>
      <w:r>
        <w:rPr>
          <w:rFonts w:hint="eastAsia" w:ascii="仿宋_GB2312" w:hAnsi="仿宋_GB2312" w:eastAsia="仿宋_GB2312" w:cs="仿宋_GB2312"/>
          <w:kern w:val="0"/>
          <w:sz w:val="32"/>
          <w:szCs w:val="32"/>
          <w:lang w:eastAsia="zh-CN"/>
        </w:rPr>
        <w:t>。破案率达58.04%，全年共采取刑事强制措施481人，百名民警抓获数居全市前列。侦破部省认定大要案18起，其中公安部督办3起、部级重点案1起、省厅督办5起、跨区域系列盗窃案2起，公安部贺电表扬案件1起、省厅贺电表扬案件4起、公安厅长肯定性批示案1起、涉黑恶案1起。</w:t>
      </w:r>
    </w:p>
    <w:p w14:paraId="69ED4FF7">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五、存在的主要问题</w:t>
      </w:r>
    </w:p>
    <w:p w14:paraId="7F81F588">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1、随着办案成本的增高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而公用经费的标准并</w:t>
      </w:r>
      <w:r>
        <w:rPr>
          <w:rFonts w:hint="eastAsia" w:ascii="仿宋_GB2312" w:hAnsi="仿宋_GB2312" w:eastAsia="仿宋_GB2312" w:cs="仿宋_GB2312"/>
          <w:sz w:val="32"/>
          <w:szCs w:val="32"/>
          <w:lang w:val="en-US" w:eastAsia="zh-CN"/>
        </w:rPr>
        <w:t>没有</w:t>
      </w:r>
      <w:bookmarkStart w:id="0" w:name="_GoBack"/>
      <w:bookmarkEnd w:id="0"/>
      <w:r>
        <w:rPr>
          <w:rFonts w:hint="eastAsia" w:ascii="仿宋_GB2312" w:hAnsi="仿宋_GB2312" w:eastAsia="仿宋_GB2312" w:cs="仿宋_GB2312"/>
          <w:sz w:val="32"/>
          <w:szCs w:val="32"/>
        </w:rPr>
        <w:t>提高，转移支付等专项资金没有增量，我局只有通过压缩其他经费开支来弥补办案经费的不足。</w:t>
      </w:r>
    </w:p>
    <w:p w14:paraId="38ACAA21">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2、没有一个健全的内控体系，监督力量不足。</w:t>
      </w:r>
    </w:p>
    <w:p w14:paraId="01E0D2D1">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、改进措施和有关建议</w:t>
      </w:r>
    </w:p>
    <w:p w14:paraId="764D99D7">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1、主动争取财政支持建立相适应的公用经费标准和报账体系，建立高效的项目及专项经费争取机制，扩宽经费保障空间。</w:t>
      </w:r>
    </w:p>
    <w:p w14:paraId="1590EF0E">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2、建立健全的内控体系。</w:t>
      </w:r>
    </w:p>
    <w:p w14:paraId="4BC4BBE9">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3、开源节流，严格“三公经费”的使用，严防资金流失、浪费。</w:t>
      </w:r>
    </w:p>
    <w:p w14:paraId="5BD03AEE">
      <w:pPr>
        <w:keepNext w:val="0"/>
        <w:keepLines w:val="0"/>
        <w:pageBreakBefore w:val="0"/>
        <w:kinsoku/>
        <w:overflowPunct/>
        <w:topLinePunct w:val="0"/>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rPr>
      </w:pPr>
    </w:p>
    <w:p w14:paraId="64AFA435">
      <w:pPr>
        <w:keepNext w:val="0"/>
        <w:keepLines w:val="0"/>
        <w:pageBreakBefore w:val="0"/>
        <w:kinsoku/>
        <w:wordWrap w:val="0"/>
        <w:overflowPunct/>
        <w:topLinePunct w:val="0"/>
        <w:autoSpaceDN/>
        <w:bidi w:val="0"/>
        <w:adjustRightInd w:val="0"/>
        <w:snapToGrid w:val="0"/>
        <w:spacing w:line="560" w:lineRule="exact"/>
        <w:ind w:left="0" w:leftChars="0" w:firstLine="640" w:firstLineChars="20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东安县公安局</w:t>
      </w:r>
      <w:r>
        <w:rPr>
          <w:rFonts w:hint="eastAsia" w:ascii="仿宋_GB2312" w:hAnsi="仿宋_GB2312" w:eastAsia="仿宋_GB2312" w:cs="仿宋_GB2312"/>
          <w:sz w:val="32"/>
          <w:szCs w:val="32"/>
          <w:lang w:val="en-US" w:eastAsia="zh-CN"/>
        </w:rPr>
        <w:t xml:space="preserve">       </w:t>
      </w:r>
    </w:p>
    <w:p w14:paraId="3FB2852F">
      <w:pPr>
        <w:keepNext w:val="0"/>
        <w:keepLines w:val="0"/>
        <w:pageBreakBefore w:val="0"/>
        <w:kinsoku/>
        <w:wordWrap w:val="0"/>
        <w:overflowPunct/>
        <w:topLinePunct w:val="0"/>
        <w:autoSpaceDN/>
        <w:bidi w:val="0"/>
        <w:adjustRightInd w:val="0"/>
        <w:snapToGrid w:val="0"/>
        <w:spacing w:line="560" w:lineRule="exact"/>
        <w:ind w:left="0" w:leftChars="0"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 xml:space="preserve">年 </w:t>
      </w:r>
      <w:r>
        <w:rPr>
          <w:rFonts w:hint="eastAsia" w:ascii="仿宋_GB2312" w:hAnsi="仿宋_GB2312" w:eastAsia="仿宋_GB2312" w:cs="仿宋_GB2312"/>
          <w:sz w:val="32"/>
          <w:szCs w:val="32"/>
          <w:lang w:val="en-US" w:eastAsia="zh-CN"/>
        </w:rPr>
        <w:t>03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14:paraId="6903C095">
      <w:pPr>
        <w:keepNext w:val="0"/>
        <w:keepLines w:val="0"/>
        <w:pageBreakBefore w:val="0"/>
        <w:kinsoku/>
        <w:overflowPunct/>
        <w:topLinePunct w:val="0"/>
        <w:autoSpaceDN/>
        <w:bidi w:val="0"/>
        <w:spacing w:line="560" w:lineRule="exact"/>
        <w:textAlignment w:val="auto"/>
        <w:rPr>
          <w:rFonts w:hint="eastAsia" w:ascii="仿宋_GB2312" w:hAnsi="仿宋_GB2312" w:eastAsia="仿宋_GB2312" w:cs="仿宋_GB2312"/>
          <w:szCs w:val="32"/>
        </w:rPr>
      </w:pPr>
    </w:p>
    <w:sectPr>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FEE002-3262-4ACB-819A-18275F2D04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9BF261C1-ACFE-4732-A667-D75659678A66}"/>
  </w:font>
  <w:font w:name="仿宋_GB2312">
    <w:panose1 w:val="02010609030101010101"/>
    <w:charset w:val="86"/>
    <w:family w:val="modern"/>
    <w:pitch w:val="default"/>
    <w:sig w:usb0="00000001" w:usb1="080E0000" w:usb2="00000000" w:usb3="00000000" w:csb0="00040000" w:csb1="00000000"/>
    <w:embedRegular r:id="rId3" w:fontKey="{383CFB96-62AD-4844-A5A1-BC4ABC94B0A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023F5"/>
    <w:rsid w:val="00037B95"/>
    <w:rsid w:val="00074985"/>
    <w:rsid w:val="00074A13"/>
    <w:rsid w:val="00086EBA"/>
    <w:rsid w:val="00101540"/>
    <w:rsid w:val="00107F61"/>
    <w:rsid w:val="00112809"/>
    <w:rsid w:val="00151FB2"/>
    <w:rsid w:val="00156175"/>
    <w:rsid w:val="0017128D"/>
    <w:rsid w:val="001A28A8"/>
    <w:rsid w:val="001C636B"/>
    <w:rsid w:val="001D3E72"/>
    <w:rsid w:val="002132D1"/>
    <w:rsid w:val="00273308"/>
    <w:rsid w:val="00282C74"/>
    <w:rsid w:val="002A087C"/>
    <w:rsid w:val="00404019"/>
    <w:rsid w:val="00462437"/>
    <w:rsid w:val="00491393"/>
    <w:rsid w:val="004A139B"/>
    <w:rsid w:val="004E4EE4"/>
    <w:rsid w:val="0051664B"/>
    <w:rsid w:val="0055698C"/>
    <w:rsid w:val="0056335F"/>
    <w:rsid w:val="005A30F2"/>
    <w:rsid w:val="005B2827"/>
    <w:rsid w:val="005C1DFF"/>
    <w:rsid w:val="006117C5"/>
    <w:rsid w:val="0061728F"/>
    <w:rsid w:val="00656B59"/>
    <w:rsid w:val="006F5D78"/>
    <w:rsid w:val="007308F3"/>
    <w:rsid w:val="0073431B"/>
    <w:rsid w:val="007433F4"/>
    <w:rsid w:val="00762D52"/>
    <w:rsid w:val="00783181"/>
    <w:rsid w:val="00836368"/>
    <w:rsid w:val="00846E1B"/>
    <w:rsid w:val="00877BA1"/>
    <w:rsid w:val="00953224"/>
    <w:rsid w:val="00977F76"/>
    <w:rsid w:val="009C402D"/>
    <w:rsid w:val="009E0E98"/>
    <w:rsid w:val="009E5907"/>
    <w:rsid w:val="009F020F"/>
    <w:rsid w:val="00A03ADB"/>
    <w:rsid w:val="00A14621"/>
    <w:rsid w:val="00A2383C"/>
    <w:rsid w:val="00A76448"/>
    <w:rsid w:val="00AF491D"/>
    <w:rsid w:val="00B30C5E"/>
    <w:rsid w:val="00B53353"/>
    <w:rsid w:val="00B678D7"/>
    <w:rsid w:val="00B74A87"/>
    <w:rsid w:val="00C25252"/>
    <w:rsid w:val="00C3312C"/>
    <w:rsid w:val="00C3781B"/>
    <w:rsid w:val="00C8318D"/>
    <w:rsid w:val="00C86443"/>
    <w:rsid w:val="00C97A2D"/>
    <w:rsid w:val="00CB5326"/>
    <w:rsid w:val="00CC46CD"/>
    <w:rsid w:val="00CE0BD6"/>
    <w:rsid w:val="00D116AF"/>
    <w:rsid w:val="00D1790A"/>
    <w:rsid w:val="00D32188"/>
    <w:rsid w:val="00D777D0"/>
    <w:rsid w:val="00D90AB0"/>
    <w:rsid w:val="00DC7B9B"/>
    <w:rsid w:val="00DF468F"/>
    <w:rsid w:val="00E023F5"/>
    <w:rsid w:val="00E461B9"/>
    <w:rsid w:val="00E641CA"/>
    <w:rsid w:val="00E6673C"/>
    <w:rsid w:val="00E7175A"/>
    <w:rsid w:val="00E96CA1"/>
    <w:rsid w:val="00EA1F7D"/>
    <w:rsid w:val="00EE630A"/>
    <w:rsid w:val="00F02DED"/>
    <w:rsid w:val="00F13F80"/>
    <w:rsid w:val="00F16E04"/>
    <w:rsid w:val="00F55A80"/>
    <w:rsid w:val="00F8779E"/>
    <w:rsid w:val="00F94903"/>
    <w:rsid w:val="00FF452B"/>
    <w:rsid w:val="0EC9167F"/>
    <w:rsid w:val="39000043"/>
    <w:rsid w:val="45265309"/>
    <w:rsid w:val="46CF76F8"/>
    <w:rsid w:val="557C7B35"/>
    <w:rsid w:val="58E53E93"/>
    <w:rsid w:val="66CF03D4"/>
    <w:rsid w:val="6B1C2AEF"/>
    <w:rsid w:val="6EE6509E"/>
    <w:rsid w:val="7788078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alloon Text"/>
    <w:basedOn w:val="1"/>
    <w:link w:val="11"/>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character" w:styleId="9">
    <w:name w:val="FollowedHyperlink"/>
    <w:basedOn w:val="8"/>
    <w:qFormat/>
    <w:uiPriority w:val="99"/>
    <w:rPr>
      <w:rFonts w:cs="Times New Roman"/>
      <w:color w:val="800080"/>
      <w:u w:val="single"/>
    </w:rPr>
  </w:style>
  <w:style w:type="character" w:styleId="10">
    <w:name w:val="Hyperlink"/>
    <w:basedOn w:val="8"/>
    <w:qFormat/>
    <w:uiPriority w:val="99"/>
    <w:rPr>
      <w:rFonts w:cs="Times New Roman"/>
      <w:color w:val="0000FF"/>
      <w:u w:val="single"/>
    </w:rPr>
  </w:style>
  <w:style w:type="character" w:customStyle="1" w:styleId="11">
    <w:name w:val="Balloon Text Char"/>
    <w:basedOn w:val="8"/>
    <w:link w:val="4"/>
    <w:qFormat/>
    <w:locked/>
    <w:uiPriority w:val="99"/>
    <w:rPr>
      <w:rFonts w:cs="Times New Roman"/>
      <w:kern w:val="2"/>
      <w:sz w:val="18"/>
      <w:szCs w:val="18"/>
    </w:rPr>
  </w:style>
  <w:style w:type="character" w:customStyle="1" w:styleId="12">
    <w:name w:val="Footer Char"/>
    <w:basedOn w:val="8"/>
    <w:link w:val="5"/>
    <w:qFormat/>
    <w:locked/>
    <w:uiPriority w:val="99"/>
    <w:rPr>
      <w:rFonts w:cs="Times New Roman"/>
      <w:kern w:val="2"/>
      <w:sz w:val="18"/>
      <w:szCs w:val="18"/>
    </w:rPr>
  </w:style>
  <w:style w:type="character" w:customStyle="1" w:styleId="13">
    <w:name w:val="Header Char"/>
    <w:basedOn w:val="8"/>
    <w:link w:val="6"/>
    <w:qFormat/>
    <w:locked/>
    <w:uiPriority w:val="99"/>
    <w:rPr>
      <w:rFonts w:cs="Times New Roman"/>
      <w:kern w:val="2"/>
      <w:sz w:val="18"/>
      <w:szCs w:val="18"/>
    </w:rPr>
  </w:style>
  <w:style w:type="paragraph" w:customStyle="1" w:styleId="14">
    <w:name w:val="custom_unionstyle"/>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Lenovo (Beijing) Limited</Company>
  <Pages>5</Pages>
  <Words>2188</Words>
  <Characters>2300</Characters>
  <Lines>0</Lines>
  <Paragraphs>0</Paragraphs>
  <TotalTime>4</TotalTime>
  <ScaleCrop>false</ScaleCrop>
  <LinksUpToDate>false</LinksUpToDate>
  <CharactersWithSpaces>2316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2024-05-24T03:43:00Z</dcterms:created>
  <dc:creator>Lenovo User</dc:creator>
  <cp:lastModifiedBy>艾小黑听说名字取很长运气就会变好</cp:lastModifiedBy>
  <cp:lastPrinted>2013-10-09T02:05:00Z</cp:lastPrinted>
  <dcterms:modified xsi:type="dcterms:W3CDTF">2026-09-10T11:10:21Z</dcterms:modified>
  <dc:title>2021年度东安县公安局部门整体支出绩效评价报告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9A39158079B249C4877607C56424A0B9</vt:lpwstr>
  </property>
  <property fmtid="{D5CDD505-2E9C-101B-9397-08002B2CF9AE}" pid="4" name="KSOTemplateDocerSaveRecord">
    <vt:lpwstr>eyJoZGlkIjoiMzM5YmE1NDY4NjU3ODdhZGMxMzY3MzA2ZmI4M2UxZDkiLCJ1c2VySWQiOiIyNDc1MjAwNjEifQ==</vt:lpwstr>
  </property>
</Properties>
</file>