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jc w:val="center"/>
        <w:rPr>
          <w:rFonts w:ascii="黑体" w:hAnsi="黑体" w:eastAsia="黑体"/>
          <w:b/>
          <w:bCs/>
          <w:color w:val="666666"/>
          <w:w w:val="9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>东安县融媒体中心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>年部门整体支出绩效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>评</w:t>
      </w:r>
      <w:r>
        <w:rPr>
          <w:rFonts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>价</w:t>
      </w:r>
      <w:r>
        <w:rPr>
          <w:rFonts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>报</w:t>
      </w:r>
      <w:r>
        <w:rPr>
          <w:rFonts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44"/>
          <w:szCs w:val="44"/>
        </w:rPr>
        <w:t>告</w:t>
      </w:r>
    </w:p>
    <w:p>
      <w:pPr>
        <w:widowControl/>
        <w:shd w:val="clear" w:color="auto" w:fill="FFFFFF"/>
        <w:spacing w:line="580" w:lineRule="atLeast"/>
        <w:jc w:val="left"/>
        <w:rPr>
          <w:rFonts w:ascii="宋体"/>
          <w:b/>
          <w:bCs/>
          <w:color w:val="666666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222222"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autoSpaceDE w:val="0"/>
        <w:spacing w:line="600" w:lineRule="exact"/>
        <w:ind w:firstLine="643" w:firstLineChars="200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一、部门概况</w:t>
      </w:r>
    </w:p>
    <w:p>
      <w:pPr>
        <w:ind w:left="160" w:leftChars="76" w:firstLine="498" w:firstLineChars="155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（一）部门基本情况</w:t>
      </w:r>
    </w:p>
    <w:p>
      <w:pPr>
        <w:ind w:left="160" w:leftChars="76" w:firstLine="498" w:firstLineChars="155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、单位机构、人员情况</w:t>
      </w:r>
    </w:p>
    <w:p>
      <w:pPr>
        <w:spacing w:line="360" w:lineRule="auto"/>
        <w:ind w:left="172" w:leftChars="82"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东安县融媒体中心以县广播电视台为主体，整合县新闻网（红网东安站、县文明网）、手机报、东安发布等机构组建而成，为县政府直属正科级公益类事业单位，归口县委宣传部管理。中心设主任</w:t>
      </w:r>
      <w:r>
        <w:rPr>
          <w:rFonts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名（正科级），副主任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名（副科级）。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中心设置</w:t>
      </w:r>
      <w:r>
        <w:rPr>
          <w:rFonts w:hint="eastAsia" w:ascii="微软雅黑" w:hAnsi="微软雅黑" w:eastAsia="微软雅黑" w:cs="微软雅黑"/>
          <w:spacing w:val="9"/>
          <w:sz w:val="30"/>
          <w:szCs w:val="30"/>
        </w:rPr>
        <w:t>办公室、总编室、新闻采访室、编辑制作室、播控技术室、广电发展室、市场服务室共</w:t>
      </w:r>
      <w:r>
        <w:rPr>
          <w:rFonts w:hint="eastAsia" w:ascii="微软雅黑" w:hAnsi="微软雅黑" w:eastAsia="微软雅黑" w:cs="微软雅黑"/>
          <w:spacing w:val="9"/>
          <w:sz w:val="30"/>
          <w:szCs w:val="3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pacing w:val="9"/>
          <w:sz w:val="30"/>
          <w:szCs w:val="30"/>
        </w:rPr>
        <w:t>个部门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。核定事业编制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85名，在编人员63名。</w:t>
      </w:r>
      <w:bookmarkStart w:id="0" w:name="_GoBack"/>
      <w:bookmarkEnd w:id="0"/>
    </w:p>
    <w:p>
      <w:pPr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、融媒体中心的主要职责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（一）我中心负责贯彻执行党和国家有关新闻宣传、媒体管理的方针政策和法律法规，把握正确的舆论导向；拟定全县媒体大融合事业的发展规划，经批准后组织实施。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二）负责全县“两台一网”即东安电台、东安电视台、东安新闻网，“两微一端”即东安发布微信、微博、移动客户端，新东安APP以及“一系统”即覆盖县、乡、村三级广播系统的开发、建设、融合、运营和维护，开展媒体服务、党建服务、政务服务、公共服务、增值服务等业务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（三）在县委的领导下，按照县委宣传部的安排部署，研究新闻宣传中的重大课题，具体实施全县新闻宣传报道，不断提高宣传品质和水平，当好党和人民的喉舌。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（四）负责融媒体安全播出、发布、传输和发射，做好“无线覆盖”、“户户通”、“村村响”（含防洪预警广播）等三项惠民工程的管理维护工作。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（五）负责媒体高新技术的科学研究、开发应用、申报评定和推广使用。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（六）负责使用融媒体、广播电视系统专项资金，管理、经营原县广播电视台所属企事业单位占有（用）的全部国有资产并承担国有资产保值的责任。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（七）负责全县融媒体人才的培训、培养、引进和对外交流合作工作； 负责融媒体文化产业经营发展创收，负责全县各类宣传产品的策划、设计和制作，开展媒体商业活动，承办全县各类大型宣传文化活动； 完成县委、县政府、县宣传部交办的其他事项。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（八）负责全县融媒体人才的培训、培养、引进和对外交流合作工作； 负责融媒体文化产业经营发展创收，负责全县各类宣传产品的策划、设计和制作，开展媒体商业活动，承办全县各类大型宣传文化活动； 完成县委、县政府、县宣传部交办的其他事项。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（九）负责融媒体文化产业经营发展创收，负责全县各类宣传产品的策划、设计和制作，开展媒体商业活动，承办全县各类大型宣传文化活动。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 xml:space="preserve">（十）负责融媒体文化产业经营发展创收，负责全县各类宣传产品的策划、设计和制作，开展媒体商业活动，承办全县各类大型宣传文化活动。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"/>
        </w:rPr>
        <w:t>（十一）完成县委、县政府、县宣传部交办的其他事项。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ind w:firstLine="630" w:firstLineChars="196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（二）部门整体支出规模、使用方向和主要内容、涉及范围</w:t>
      </w:r>
    </w:p>
    <w:p>
      <w:pPr>
        <w:ind w:firstLine="630" w:firstLineChars="196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年预算支出规模</w:t>
      </w:r>
    </w:p>
    <w:p>
      <w:pPr>
        <w:ind w:firstLine="630" w:firstLineChars="196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）预算资金情况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年年初预算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万元，财政拨款支出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万元，比上年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减少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96.25</w:t>
      </w:r>
      <w:r>
        <w:rPr>
          <w:rFonts w:hint="eastAsia" w:ascii="黑体" w:hAnsi="黑体" w:eastAsia="黑体" w:cs="黑体"/>
          <w:sz w:val="32"/>
          <w:szCs w:val="32"/>
        </w:rPr>
        <w:t>万元，变动原因为财政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减少</w:t>
      </w:r>
      <w:r>
        <w:rPr>
          <w:rFonts w:hint="eastAsia" w:ascii="黑体" w:hAnsi="黑体" w:eastAsia="黑体" w:cs="黑体"/>
          <w:sz w:val="32"/>
          <w:szCs w:val="32"/>
        </w:rPr>
        <w:t>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经费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96.25</w:t>
      </w:r>
      <w:r>
        <w:rPr>
          <w:rFonts w:hint="eastAsia" w:ascii="黑体" w:hAnsi="黑体" w:eastAsia="黑体" w:cs="黑体"/>
          <w:sz w:val="32"/>
          <w:szCs w:val="32"/>
        </w:rPr>
        <w:t>万元。其中：财政拨款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万元。支出预算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万元，其中，基本支出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873.75</w:t>
      </w:r>
      <w:r>
        <w:rPr>
          <w:rFonts w:hint="eastAsia" w:ascii="黑体" w:hAnsi="黑体" w:eastAsia="黑体" w:cs="黑体"/>
          <w:sz w:val="32"/>
          <w:szCs w:val="32"/>
        </w:rPr>
        <w:t>万元，项目支出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400</w:t>
      </w:r>
      <w:r>
        <w:rPr>
          <w:rFonts w:hint="eastAsia" w:ascii="黑体" w:hAnsi="黑体" w:eastAsia="黑体" w:cs="黑体"/>
          <w:sz w:val="32"/>
          <w:szCs w:val="32"/>
        </w:rPr>
        <w:t>万元。</w:t>
      </w:r>
    </w:p>
    <w:p>
      <w:pPr>
        <w:ind w:firstLine="630" w:firstLineChars="196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）整体支出使用范围、方向和内容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年财政拨款支出按用途划，基本支出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873.75</w:t>
      </w:r>
      <w:r>
        <w:rPr>
          <w:rFonts w:hint="eastAsia" w:ascii="黑体" w:hAnsi="黑体" w:eastAsia="黑体" w:cs="黑体"/>
          <w:sz w:val="32"/>
          <w:szCs w:val="32"/>
        </w:rPr>
        <w:t>万元，其中人员经费支出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711.31</w:t>
      </w:r>
      <w:r>
        <w:rPr>
          <w:rFonts w:hint="eastAsia" w:ascii="黑体" w:hAnsi="黑体" w:eastAsia="黑体" w:cs="黑体"/>
          <w:sz w:val="32"/>
          <w:szCs w:val="32"/>
        </w:rPr>
        <w:t>万元，较上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11.31</w:t>
      </w:r>
      <w:r>
        <w:rPr>
          <w:rFonts w:hint="eastAsia" w:ascii="黑体" w:hAnsi="黑体" w:eastAsia="黑体" w:cs="黑体"/>
          <w:sz w:val="32"/>
          <w:szCs w:val="32"/>
        </w:rPr>
        <w:t>万元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主要原因为人员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正常增资</w:t>
      </w:r>
      <w:r>
        <w:rPr>
          <w:rFonts w:hint="eastAsia" w:ascii="黑体" w:hAnsi="黑体" w:eastAsia="黑体" w:cs="黑体"/>
          <w:sz w:val="32"/>
          <w:szCs w:val="32"/>
        </w:rPr>
        <w:t>。日常公用经费支出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62.42</w:t>
      </w:r>
      <w:r>
        <w:rPr>
          <w:rFonts w:hint="eastAsia" w:ascii="黑体" w:hAnsi="黑体" w:eastAsia="黑体" w:cs="黑体"/>
          <w:sz w:val="32"/>
          <w:szCs w:val="32"/>
        </w:rPr>
        <w:t>万元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机关运行经费比去年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13.46</w:t>
      </w:r>
      <w:r>
        <w:rPr>
          <w:rFonts w:hint="eastAsia" w:ascii="黑体" w:hAnsi="黑体" w:eastAsia="黑体" w:cs="黑体"/>
          <w:sz w:val="32"/>
          <w:szCs w:val="32"/>
        </w:rPr>
        <w:t>万元，主要原因为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其他商品服务支出增加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13.46</w:t>
      </w:r>
      <w:r>
        <w:rPr>
          <w:rFonts w:hint="eastAsia" w:ascii="黑体" w:hAnsi="黑体" w:eastAsia="黑体" w:cs="黑体"/>
          <w:sz w:val="32"/>
          <w:szCs w:val="32"/>
        </w:rPr>
        <w:t>万元公用经费。</w:t>
      </w:r>
    </w:p>
    <w:p>
      <w:pPr>
        <w:ind w:left="160" w:leftChars="76" w:firstLine="496" w:firstLineChars="1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项目支出为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400</w:t>
      </w:r>
      <w:r>
        <w:rPr>
          <w:rFonts w:hint="eastAsia" w:ascii="黑体" w:hAnsi="黑体" w:eastAsia="黑体" w:cs="黑体"/>
          <w:sz w:val="32"/>
          <w:szCs w:val="32"/>
        </w:rPr>
        <w:t>万元，</w:t>
      </w:r>
    </w:p>
    <w:p>
      <w:pPr>
        <w:ind w:firstLine="630" w:firstLineChars="196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年年度预算收支决算情况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年收入预算支出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万元，支出决算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万元，其中：人员经费支出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711.31</w:t>
      </w:r>
      <w:r>
        <w:rPr>
          <w:rFonts w:hint="eastAsia" w:ascii="黑体" w:hAnsi="黑体" w:eastAsia="黑体" w:cs="黑体"/>
          <w:sz w:val="32"/>
          <w:szCs w:val="32"/>
        </w:rPr>
        <w:t>万元，较上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11.31</w:t>
      </w:r>
      <w:r>
        <w:rPr>
          <w:rFonts w:hint="eastAsia" w:ascii="黑体" w:hAnsi="黑体" w:eastAsia="黑体" w:cs="黑体"/>
          <w:sz w:val="32"/>
          <w:szCs w:val="32"/>
        </w:rPr>
        <w:t>万元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主要原因为人员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正常增资</w:t>
      </w:r>
      <w:r>
        <w:rPr>
          <w:rFonts w:hint="eastAsia" w:ascii="黑体" w:hAnsi="黑体" w:eastAsia="黑体" w:cs="黑体"/>
          <w:sz w:val="32"/>
          <w:szCs w:val="32"/>
        </w:rPr>
        <w:t>。日常公用经费支出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62.42</w:t>
      </w:r>
      <w:r>
        <w:rPr>
          <w:rFonts w:hint="eastAsia" w:ascii="黑体" w:hAnsi="黑体" w:eastAsia="黑体" w:cs="黑体"/>
          <w:sz w:val="32"/>
          <w:szCs w:val="32"/>
        </w:rPr>
        <w:t>万元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机关运行经费比去年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13.46</w:t>
      </w:r>
      <w:r>
        <w:rPr>
          <w:rFonts w:hint="eastAsia" w:ascii="黑体" w:hAnsi="黑体" w:eastAsia="黑体" w:cs="黑体"/>
          <w:sz w:val="32"/>
          <w:szCs w:val="32"/>
        </w:rPr>
        <w:t>万元，主要原因为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其他商品服务支出增加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13.46</w:t>
      </w:r>
      <w:r>
        <w:rPr>
          <w:rFonts w:hint="eastAsia" w:ascii="黑体" w:hAnsi="黑体" w:eastAsia="黑体" w:cs="黑体"/>
          <w:sz w:val="32"/>
          <w:szCs w:val="32"/>
        </w:rPr>
        <w:t>万元公用经费。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400</w:t>
      </w:r>
      <w:r>
        <w:rPr>
          <w:rFonts w:hint="eastAsia" w:ascii="黑体" w:hAnsi="黑体" w:eastAsia="黑体" w:cs="黑体"/>
          <w:sz w:val="32"/>
          <w:szCs w:val="32"/>
        </w:rPr>
        <w:t>万元。</w:t>
      </w:r>
    </w:p>
    <w:p>
      <w:pPr>
        <w:widowControl/>
        <w:shd w:val="clear" w:color="auto" w:fill="FFFFFF"/>
        <w:autoSpaceDE w:val="0"/>
        <w:spacing w:line="600" w:lineRule="exact"/>
        <w:ind w:firstLine="800" w:firstLineChars="249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二、整体支出使用管理情况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（一）基本支出使用管理情况</w:t>
      </w:r>
    </w:p>
    <w:p>
      <w:pPr>
        <w:spacing w:line="600" w:lineRule="atLeast"/>
        <w:ind w:firstLine="640"/>
        <w:rPr>
          <w:rFonts w:ascii="黑体" w:hAnsi="黑体" w:eastAsia="黑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基本支出的范围和主要用途包括人员经费和日常公用经费。</w:t>
      </w:r>
    </w:p>
    <w:p>
      <w:pPr>
        <w:spacing w:line="600" w:lineRule="atLeast"/>
        <w:ind w:firstLine="640"/>
        <w:rPr>
          <w:rFonts w:ascii="黑体" w:hAnsi="黑体" w:eastAsia="黑体"/>
          <w:color w:val="55555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基本支出的管理和使用情况如下：工资福利支出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711.31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万元、日常办公经费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62.42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万元，主要用于本单位的公务用车、公务接待，办公用品的购买，缴纳医保、社保、住房公积金和其他日常办公的正常开支。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本年基本支出预算可用指标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万元，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年基本支出与预算一致。</w:t>
      </w:r>
    </w:p>
    <w:p>
      <w:pPr>
        <w:widowControl/>
        <w:shd w:val="clear" w:color="auto" w:fill="FFFFFF"/>
        <w:autoSpaceDE w:val="0"/>
        <w:spacing w:line="600" w:lineRule="exact"/>
        <w:ind w:firstLine="643" w:firstLineChars="200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（二）“三公”经费使用管理执行情况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年三公经费预算为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3.5</w:t>
      </w:r>
      <w:r>
        <w:rPr>
          <w:rFonts w:hint="eastAsia" w:ascii="黑体" w:hAnsi="黑体" w:eastAsia="黑体" w:cs="黑体"/>
          <w:sz w:val="32"/>
          <w:szCs w:val="32"/>
        </w:rPr>
        <w:t>万元，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年“三公经费”决算支出共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3.5</w:t>
      </w:r>
      <w:r>
        <w:rPr>
          <w:rFonts w:hint="eastAsia" w:ascii="黑体" w:hAnsi="黑体" w:eastAsia="黑体" w:cs="黑体"/>
          <w:sz w:val="32"/>
          <w:szCs w:val="32"/>
        </w:rPr>
        <w:t>万元，与去年同比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减少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18.72</w:t>
      </w:r>
      <w:r>
        <w:rPr>
          <w:rFonts w:hint="eastAsia" w:ascii="黑体" w:hAnsi="黑体" w:eastAsia="黑体" w:cs="黑体"/>
          <w:sz w:val="32"/>
          <w:szCs w:val="32"/>
        </w:rPr>
        <w:t>万元，具体情况如下：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年三公经费财政拨款支出共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3.5</w:t>
      </w:r>
      <w:r>
        <w:rPr>
          <w:rFonts w:hint="eastAsia" w:ascii="黑体" w:hAnsi="黑体" w:eastAsia="黑体" w:cs="黑体"/>
          <w:sz w:val="32"/>
          <w:szCs w:val="32"/>
        </w:rPr>
        <w:t>万元，具体情况如下：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、因公出国（境）费无支出；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、公务用车及运行维护费支出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1.5</w:t>
      </w:r>
      <w:r>
        <w:rPr>
          <w:rFonts w:hint="eastAsia" w:ascii="黑体" w:hAnsi="黑体" w:eastAsia="黑体" w:cs="黑体"/>
          <w:sz w:val="32"/>
          <w:szCs w:val="32"/>
        </w:rPr>
        <w:t>万元，具体是：公务车保有量</w:t>
      </w:r>
      <w:r>
        <w:rPr>
          <w:rFonts w:ascii="黑体" w:hAnsi="黑体" w:eastAsia="黑体" w:cs="黑体"/>
          <w:sz w:val="32"/>
          <w:szCs w:val="32"/>
        </w:rPr>
        <w:t xml:space="preserve">1 </w:t>
      </w:r>
      <w:r>
        <w:rPr>
          <w:rFonts w:hint="eastAsia" w:ascii="黑体" w:hAnsi="黑体" w:eastAsia="黑体" w:cs="黑体"/>
          <w:sz w:val="32"/>
          <w:szCs w:val="32"/>
        </w:rPr>
        <w:t>台，全年维护运行费支出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1.5</w:t>
      </w:r>
      <w:r>
        <w:rPr>
          <w:rFonts w:hint="eastAsia" w:ascii="黑体" w:hAnsi="黑体" w:eastAsia="黑体" w:cs="黑体"/>
          <w:sz w:val="32"/>
          <w:szCs w:val="32"/>
        </w:rPr>
        <w:t>万元。</w:t>
      </w:r>
    </w:p>
    <w:p>
      <w:pPr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、公务接待费支出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万元，比上年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减少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16.72</w:t>
      </w:r>
      <w:r>
        <w:rPr>
          <w:rFonts w:hint="eastAsia" w:ascii="黑体" w:hAnsi="黑体" w:eastAsia="黑体" w:cs="黑体"/>
          <w:sz w:val="32"/>
          <w:szCs w:val="32"/>
        </w:rPr>
        <w:t>万元，主要用于接待上级部门检查和调研及会议接待、单位食堂伙食补助等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，单位压减公务接待费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16.72万元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）会议费支出情况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年会议费支出</w:t>
      </w:r>
      <w:r>
        <w:rPr>
          <w:rFonts w:ascii="黑体" w:hAnsi="黑体" w:eastAsia="黑体" w:cs="黑体"/>
          <w:sz w:val="32"/>
          <w:szCs w:val="32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万元。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）培训费支出情况：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年培训费支出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1.5</w:t>
      </w:r>
      <w:r>
        <w:rPr>
          <w:rFonts w:hint="eastAsia" w:ascii="黑体" w:hAnsi="黑体" w:eastAsia="黑体" w:cs="黑体"/>
          <w:sz w:val="32"/>
          <w:szCs w:val="32"/>
        </w:rPr>
        <w:t>万元，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b/>
          <w:bCs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三、部门整体支出管理情况</w:t>
      </w:r>
    </w:p>
    <w:p>
      <w:pPr>
        <w:widowControl/>
        <w:spacing w:line="600" w:lineRule="atLeast"/>
        <w:ind w:firstLine="64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我们严格预算管理，切实按照县委出台的五项管理制度要求，</w:t>
      </w:r>
      <w:r>
        <w:rPr>
          <w:rFonts w:hint="eastAsia" w:ascii="黑体" w:hAnsi="黑体" w:eastAsia="黑体" w:cs="黑体"/>
          <w:color w:val="555555"/>
          <w:kern w:val="0"/>
          <w:sz w:val="32"/>
          <w:szCs w:val="32"/>
        </w:rPr>
        <w:t>坚持执行财经和财务制度，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修改完善了《机关财务管理规定》《财产管理规定》《公务接待管理规定》《内部审计制度》《差旅费、会议费、培训费管理规定》《公务车辆管理办法》《会计核算制度》《厉行节约规定》等工作制度，进一步明确了财政预算资金审批手续和拨付程序、机关行政经费审批手续和报销程序，加强了财务管理，规范了收支行为，保证了财务管理工作规范有序进行。</w:t>
      </w:r>
    </w:p>
    <w:p>
      <w:pPr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我们按照绩效评价规程要求，第一阶段为前期准备：制定了详细的工作方案，明确责任，确定评价指标细则；第二阶段为自评：根据上一阶段任务布置，按照要求展开自评工作，并初拟评价结果；第三阶段为定性终评，查阅相关文件资料和财务凭证，对收集资料进行定量定性分析，综合评议后形成评价结论，出具绩效评价报告从上表反映出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年收入预算支出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万元，支出决算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1273.75</w:t>
      </w:r>
      <w:r>
        <w:rPr>
          <w:rFonts w:hint="eastAsia" w:ascii="黑体" w:hAnsi="黑体" w:eastAsia="黑体" w:cs="黑体"/>
          <w:sz w:val="32"/>
          <w:szCs w:val="32"/>
        </w:rPr>
        <w:t>万元，其中：人员经费支出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711.31</w:t>
      </w:r>
      <w:r>
        <w:rPr>
          <w:rFonts w:hint="eastAsia" w:ascii="黑体" w:hAnsi="黑体" w:eastAsia="黑体" w:cs="黑体"/>
          <w:sz w:val="32"/>
          <w:szCs w:val="32"/>
        </w:rPr>
        <w:t>万元，较上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11.31</w:t>
      </w:r>
      <w:r>
        <w:rPr>
          <w:rFonts w:hint="eastAsia" w:ascii="黑体" w:hAnsi="黑体" w:eastAsia="黑体" w:cs="黑体"/>
          <w:sz w:val="32"/>
          <w:szCs w:val="32"/>
        </w:rPr>
        <w:t>万元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主要原因为人员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正常增资</w:t>
      </w:r>
      <w:r>
        <w:rPr>
          <w:rFonts w:hint="eastAsia" w:ascii="黑体" w:hAnsi="黑体" w:eastAsia="黑体" w:cs="黑体"/>
          <w:sz w:val="32"/>
          <w:szCs w:val="32"/>
        </w:rPr>
        <w:t>。日常公用经费支出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62.42</w:t>
      </w:r>
      <w:r>
        <w:rPr>
          <w:rFonts w:hint="eastAsia" w:ascii="黑体" w:hAnsi="黑体" w:eastAsia="黑体" w:cs="黑体"/>
          <w:sz w:val="32"/>
          <w:szCs w:val="32"/>
        </w:rPr>
        <w:t>万元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机关运行经费比去年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13.46</w:t>
      </w:r>
      <w:r>
        <w:rPr>
          <w:rFonts w:hint="eastAsia" w:ascii="黑体" w:hAnsi="黑体" w:eastAsia="黑体" w:cs="黑体"/>
          <w:sz w:val="32"/>
          <w:szCs w:val="32"/>
        </w:rPr>
        <w:t>万元，主要原因为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其他商品服务支出增加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13.46</w:t>
      </w:r>
      <w:r>
        <w:rPr>
          <w:rFonts w:hint="eastAsia" w:ascii="黑体" w:hAnsi="黑体" w:eastAsia="黑体" w:cs="黑体"/>
          <w:sz w:val="32"/>
          <w:szCs w:val="32"/>
        </w:rPr>
        <w:t>万元公用经费。项目支出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400</w:t>
      </w:r>
      <w:r>
        <w:rPr>
          <w:rFonts w:hint="eastAsia" w:ascii="黑体" w:hAnsi="黑体" w:eastAsia="黑体" w:cs="黑体"/>
          <w:sz w:val="32"/>
          <w:szCs w:val="32"/>
        </w:rPr>
        <w:t>万元。</w:t>
      </w:r>
    </w:p>
    <w:p>
      <w:pPr>
        <w:snapToGrid w:val="0"/>
        <w:spacing w:line="520" w:lineRule="exact"/>
        <w:ind w:firstLine="643" w:firstLineChars="200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四、部门整体支出绩效情况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年，根据年初工作规划和重点性工作，围绕全面建成小康社会的发展蓝图，积极履职，强化管理，较好的完成了年度工作目标。通过加强预算收支管理，不断建立健全内部管理制度，梳理内部管理流程，部门整体支出管理情况得到提升。根据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年度部门整体支出状况的概述和分析，</w:t>
      </w:r>
      <w:r>
        <w:rPr>
          <w:rFonts w:ascii="黑体" w:hAnsi="黑体" w:eastAsia="黑体" w:cs="黑体"/>
          <w:color w:val="22222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部门整体支出绩效情况如下：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（一）经济效益评价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222222"/>
          <w:kern w:val="0"/>
          <w:sz w:val="32"/>
          <w:szCs w:val="32"/>
        </w:rPr>
        <w:t xml:space="preserve">1. 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本年预算配置控制较好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。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财政供养人员控制在预算编制以内，编制内在职人员控制率≦</w:t>
      </w:r>
      <w:r>
        <w:rPr>
          <w:rFonts w:ascii="黑体" w:hAnsi="黑体" w:eastAsia="黑体" w:cs="黑体"/>
          <w:color w:val="000000"/>
          <w:sz w:val="32"/>
          <w:szCs w:val="32"/>
        </w:rPr>
        <w:t>100%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；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222222"/>
          <w:kern w:val="0"/>
          <w:sz w:val="32"/>
          <w:szCs w:val="32"/>
        </w:rPr>
        <w:t xml:space="preserve"> 2. 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预算执行控制较好。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支出总额控制在预算总额以内，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本年部门预算未进行预算相关事项的调整；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预算完成率达到</w:t>
      </w:r>
      <w:r>
        <w:rPr>
          <w:rFonts w:ascii="黑体" w:hAnsi="黑体" w:eastAsia="黑体" w:cs="黑体"/>
          <w:color w:val="000000"/>
          <w:sz w:val="32"/>
          <w:szCs w:val="32"/>
        </w:rPr>
        <w:t>100%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，预算控制较好，全年无截留或滞留专项资金情况；全年没有新建楼堂馆所。</w:t>
      </w:r>
    </w:p>
    <w:p>
      <w:pPr>
        <w:widowControl/>
        <w:spacing w:line="600" w:lineRule="atLeast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 xml:space="preserve">3.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预算管理较为理想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。制度执行总体较为有效，但仍需进一步强化。全年公用经费控制率为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100%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；“三公”经费总体控制较好，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年三公经费预算为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3.5</w:t>
      </w:r>
      <w:r>
        <w:rPr>
          <w:rFonts w:hint="eastAsia" w:ascii="黑体" w:hAnsi="黑体" w:eastAsia="黑体" w:cs="黑体"/>
          <w:sz w:val="32"/>
          <w:szCs w:val="32"/>
        </w:rPr>
        <w:t>万元，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</w:rPr>
        <w:t>年“三公经费”决算支出共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3.5</w:t>
      </w:r>
      <w:r>
        <w:rPr>
          <w:rFonts w:hint="eastAsia" w:ascii="黑体" w:hAnsi="黑体" w:eastAsia="黑体" w:cs="黑体"/>
          <w:sz w:val="32"/>
          <w:szCs w:val="32"/>
        </w:rPr>
        <w:t>万元，基本持平。</w:t>
      </w:r>
    </w:p>
    <w:p>
      <w:pPr>
        <w:widowControl/>
        <w:spacing w:line="600" w:lineRule="atLeast"/>
        <w:ind w:firstLine="640"/>
        <w:jc w:val="left"/>
        <w:rPr>
          <w:rFonts w:ascii="黑体" w:hAnsi="黑体" w:eastAsia="黑体"/>
          <w:color w:val="55555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（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）对于单位的政府采购项目，凡单位购买属于政府采购范围内的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货物、工程和服务，严格遵守政府采购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相关法律法规的规定办理相关审批手续，政府采购执行率达到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100%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atLeast"/>
        <w:ind w:firstLine="640"/>
        <w:jc w:val="left"/>
        <w:rPr>
          <w:rFonts w:ascii="黑体" w:hAnsi="黑体" w:eastAsia="黑体"/>
          <w:color w:val="55555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（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管理制度健全。我们严格预算管理，切实按照县委出台的五项管理制度要求，坚持执行财经和财务制度，修改完善了《机关财务管理规定》《财产管理规定》《公务接待管理规定》《内部审计制度》《差旅费、会议费、培训费管理规定》《公务车辆管理办法》《会计核算制度》《厉行节约规定》等工作制度，进一步明确了财政预算资金审批手续和拨付程序、机关行政经费审批手续和报销程序，加强了财务管理，规范了收支行为，保证了财务管理工作规范有序进行</w:t>
      </w:r>
      <w:r>
        <w:rPr>
          <w:rFonts w:hint="eastAsia" w:ascii="黑体" w:hAnsi="黑体" w:eastAsia="黑体" w:cs="黑体"/>
          <w:color w:val="555555"/>
          <w:kern w:val="0"/>
          <w:sz w:val="32"/>
          <w:szCs w:val="32"/>
        </w:rPr>
        <w:t>。</w:t>
      </w:r>
    </w:p>
    <w:p>
      <w:pPr>
        <w:widowControl/>
        <w:spacing w:line="600" w:lineRule="atLeas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（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资金使用管理逐步加强。单位支出严格按照国家财经法规和财务管理制度规定执行，正确组织资金的筹集、调度和使用，债权债务及时结算、结清。费用开支有标准、有预算，正确核算收入、税金、利润及利润分配。所有支出均通过我单位财政直接支付方式办理，资金使用无截留、挤占、挪用、虚列支出等情况。</w:t>
      </w:r>
    </w:p>
    <w:p>
      <w:pPr>
        <w:widowControl/>
        <w:spacing w:line="600" w:lineRule="atLeast"/>
        <w:ind w:firstLine="64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（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）部门预算收支严格按年初部门预算方案执行，部门预决算、“三公”经费预决算按要求及时进行了公开。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（二）效率性评价和有效性评价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预算安排的基本支出保障了正常的工作运转，预算安排的项目支出是非常必要的，在执行上是严格遵守各项财经纪律的，在项目资金的使用上也是放的心的，严守法律底线、纪律底线、道德底线。</w:t>
      </w:r>
    </w:p>
    <w:p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（三）社会公众满意度评价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年，全体干部职工在县委、县政府的正确领导下，克服人手短缺、经验不足等种种困难，积极做好本单位财务管理工作，保证了财政资金的安全，获得了县财政局预算股和国库股的一致好评。在财政局组织的本级预算单位财务管理综合考核工作中，我单位财务管理工作被评为先进单位。在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年民主测评中，满意度为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100%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b/>
          <w:bCs/>
          <w:color w:val="666666"/>
          <w:w w:val="9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bCs/>
          <w:color w:val="222222"/>
          <w:w w:val="90"/>
          <w:kern w:val="0"/>
          <w:sz w:val="32"/>
          <w:szCs w:val="32"/>
        </w:rPr>
        <w:t>结合《部门整体支出绩效议价指标表》（见附表）的评价结果。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b/>
          <w:bCs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六、存在的主要问题。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会计专业人员急需，预算编制的合理性有待提高。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七、改正愿措施和有关建议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针对上述存在的问题及整体支出管理工作的需要，拟实施的改进措施如下：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666666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color w:val="222222"/>
          <w:kern w:val="0"/>
          <w:sz w:val="32"/>
          <w:szCs w:val="32"/>
        </w:rPr>
        <w:t xml:space="preserve">1. 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细化预算编制工作，认真做好预算的编制。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进一步加强内部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推行预算“二上二下”方式，提高预算的合理性和准确性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666666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color w:val="222222"/>
          <w:kern w:val="0"/>
          <w:sz w:val="32"/>
          <w:szCs w:val="32"/>
        </w:rPr>
        <w:t xml:space="preserve">2. 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加强财务管理，严格财务审核。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在费用报账支付时，按照预算规定的费用项目和用途进行资金使用审核、列报支付、财务核算，杜绝超支现象的发生。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color w:val="666666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color w:val="222222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．持续抓好“三公”经费控制管理。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黑体" w:hAnsi="黑体" w:eastAsia="黑体"/>
          <w:b/>
          <w:bCs/>
          <w:color w:val="666666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color w:val="222222"/>
          <w:kern w:val="0"/>
          <w:sz w:val="32"/>
          <w:szCs w:val="32"/>
        </w:rPr>
        <w:t>4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．加强项目开展进度的跟踪，开展项目绩效评价，确保项目绩效目标的完成。</w:t>
      </w:r>
    </w:p>
    <w:p>
      <w:pPr>
        <w:widowControl/>
        <w:shd w:val="clear" w:color="auto" w:fill="FFFFFF"/>
        <w:autoSpaceDE w:val="0"/>
        <w:spacing w:line="600" w:lineRule="exact"/>
        <w:ind w:left="5118" w:leftChars="304" w:hanging="4480" w:hangingChars="1400"/>
        <w:jc w:val="left"/>
        <w:rPr>
          <w:rFonts w:ascii="黑体" w:hAnsi="黑体" w:eastAsia="黑体"/>
          <w:color w:val="222222"/>
          <w:kern w:val="0"/>
          <w:sz w:val="32"/>
          <w:szCs w:val="32"/>
        </w:rPr>
      </w:pPr>
      <w:r>
        <w:rPr>
          <w:rFonts w:ascii="黑体" w:hAnsi="黑体" w:eastAsia="黑体" w:cs="黑体"/>
          <w:color w:val="222222"/>
          <w:kern w:val="0"/>
          <w:sz w:val="32"/>
          <w:szCs w:val="32"/>
        </w:rPr>
        <w:t xml:space="preserve">                                                   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东安县融媒体中心</w:t>
      </w:r>
    </w:p>
    <w:p>
      <w:pPr>
        <w:widowControl/>
        <w:shd w:val="clear" w:color="auto" w:fill="FFFFFF"/>
        <w:autoSpaceDE w:val="0"/>
        <w:spacing w:line="600" w:lineRule="exact"/>
        <w:ind w:left="5118" w:leftChars="304" w:hanging="4480" w:hangingChars="1400"/>
        <w:jc w:val="left"/>
        <w:rPr>
          <w:rFonts w:ascii="黑体" w:hAnsi="黑体" w:eastAsia="黑体"/>
          <w:color w:val="222222"/>
          <w:kern w:val="0"/>
          <w:sz w:val="32"/>
          <w:szCs w:val="32"/>
        </w:rPr>
      </w:pPr>
    </w:p>
    <w:p>
      <w:pPr>
        <w:shd w:val="clear" w:color="auto" w:fill="FFFFFF"/>
        <w:autoSpaceDE w:val="0"/>
        <w:spacing w:line="600" w:lineRule="exact"/>
        <w:jc w:val="center"/>
        <w:rPr>
          <w:rFonts w:ascii="黑体" w:hAnsi="黑体" w:eastAsia="黑体"/>
          <w:color w:val="666666"/>
          <w:kern w:val="0"/>
          <w:sz w:val="32"/>
          <w:szCs w:val="32"/>
        </w:rPr>
      </w:pPr>
      <w:r>
        <w:rPr>
          <w:rFonts w:ascii="黑体" w:hAnsi="黑体" w:eastAsia="黑体" w:cs="黑体"/>
          <w:color w:val="222222"/>
          <w:kern w:val="0"/>
          <w:sz w:val="32"/>
          <w:szCs w:val="32"/>
        </w:rPr>
        <w:t xml:space="preserve">                                 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月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日</w:t>
      </w:r>
      <w:r>
        <w:rPr>
          <w:rFonts w:ascii="黑体" w:hAnsi="黑体" w:eastAsia="黑体" w:cs="黑体"/>
          <w:color w:val="22222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wZDJlYWU0YWU5MWZkZmJmNTJjYzBlNThkYWQ4NjMifQ=="/>
  </w:docVars>
  <w:rsids>
    <w:rsidRoot w:val="00E023F5"/>
    <w:rsid w:val="00004007"/>
    <w:rsid w:val="00037876"/>
    <w:rsid w:val="00037B95"/>
    <w:rsid w:val="000D313B"/>
    <w:rsid w:val="000D5FD1"/>
    <w:rsid w:val="00101DC9"/>
    <w:rsid w:val="00151FB2"/>
    <w:rsid w:val="0017128D"/>
    <w:rsid w:val="001A178D"/>
    <w:rsid w:val="001A1B7E"/>
    <w:rsid w:val="001F536D"/>
    <w:rsid w:val="00205491"/>
    <w:rsid w:val="00223142"/>
    <w:rsid w:val="00240500"/>
    <w:rsid w:val="00273308"/>
    <w:rsid w:val="002A087C"/>
    <w:rsid w:val="002A7553"/>
    <w:rsid w:val="002C20DF"/>
    <w:rsid w:val="002E080D"/>
    <w:rsid w:val="002E5905"/>
    <w:rsid w:val="00344D1B"/>
    <w:rsid w:val="003614F0"/>
    <w:rsid w:val="00382F85"/>
    <w:rsid w:val="00462113"/>
    <w:rsid w:val="00462DD8"/>
    <w:rsid w:val="00465C57"/>
    <w:rsid w:val="00491393"/>
    <w:rsid w:val="00496C26"/>
    <w:rsid w:val="004A139B"/>
    <w:rsid w:val="00540106"/>
    <w:rsid w:val="005A30F2"/>
    <w:rsid w:val="005B2827"/>
    <w:rsid w:val="006117C5"/>
    <w:rsid w:val="0061728F"/>
    <w:rsid w:val="006237B8"/>
    <w:rsid w:val="006D68E4"/>
    <w:rsid w:val="0073431B"/>
    <w:rsid w:val="00762D52"/>
    <w:rsid w:val="0077563C"/>
    <w:rsid w:val="00783181"/>
    <w:rsid w:val="00836368"/>
    <w:rsid w:val="00837CAD"/>
    <w:rsid w:val="00877BA1"/>
    <w:rsid w:val="009437D1"/>
    <w:rsid w:val="00974056"/>
    <w:rsid w:val="00A76448"/>
    <w:rsid w:val="00B24493"/>
    <w:rsid w:val="00B30C5E"/>
    <w:rsid w:val="00B74A87"/>
    <w:rsid w:val="00B94E2D"/>
    <w:rsid w:val="00BC27A4"/>
    <w:rsid w:val="00BF6708"/>
    <w:rsid w:val="00C25252"/>
    <w:rsid w:val="00C74F5C"/>
    <w:rsid w:val="00CA45DB"/>
    <w:rsid w:val="00CE0BD6"/>
    <w:rsid w:val="00D116AF"/>
    <w:rsid w:val="00D1790A"/>
    <w:rsid w:val="00D344C1"/>
    <w:rsid w:val="00D834A6"/>
    <w:rsid w:val="00D90AB0"/>
    <w:rsid w:val="00DE05B4"/>
    <w:rsid w:val="00DF0F45"/>
    <w:rsid w:val="00DF468F"/>
    <w:rsid w:val="00E023F5"/>
    <w:rsid w:val="00E0720D"/>
    <w:rsid w:val="00E413EF"/>
    <w:rsid w:val="00E4571C"/>
    <w:rsid w:val="00E641CA"/>
    <w:rsid w:val="00E96CA1"/>
    <w:rsid w:val="00EA1F7D"/>
    <w:rsid w:val="00EA790B"/>
    <w:rsid w:val="00EB044A"/>
    <w:rsid w:val="00F16E04"/>
    <w:rsid w:val="00F30F71"/>
    <w:rsid w:val="00F64D4A"/>
    <w:rsid w:val="00F846A6"/>
    <w:rsid w:val="00F9485F"/>
    <w:rsid w:val="00F94903"/>
    <w:rsid w:val="00FC6856"/>
    <w:rsid w:val="00FF649A"/>
    <w:rsid w:val="0236222A"/>
    <w:rsid w:val="08594E18"/>
    <w:rsid w:val="092025DA"/>
    <w:rsid w:val="096575F7"/>
    <w:rsid w:val="0983769C"/>
    <w:rsid w:val="0A93596B"/>
    <w:rsid w:val="0B357979"/>
    <w:rsid w:val="0B467DB7"/>
    <w:rsid w:val="0C0F0FA9"/>
    <w:rsid w:val="0C231A75"/>
    <w:rsid w:val="10F9403B"/>
    <w:rsid w:val="29BF23A5"/>
    <w:rsid w:val="319D7C65"/>
    <w:rsid w:val="33710153"/>
    <w:rsid w:val="38D36147"/>
    <w:rsid w:val="39000043"/>
    <w:rsid w:val="3EAE0496"/>
    <w:rsid w:val="4AE41970"/>
    <w:rsid w:val="4EF16C6A"/>
    <w:rsid w:val="53DB4ED8"/>
    <w:rsid w:val="549F02EF"/>
    <w:rsid w:val="700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批注框文本 Char"/>
    <w:basedOn w:val="6"/>
    <w:link w:val="2"/>
    <w:qFormat/>
    <w:locked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9</Pages>
  <Words>3939</Words>
  <Characters>4210</Characters>
  <Lines>29</Lines>
  <Paragraphs>8</Paragraphs>
  <TotalTime>3</TotalTime>
  <ScaleCrop>false</ScaleCrop>
  <LinksUpToDate>false</LinksUpToDate>
  <CharactersWithSpaces>4331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Administrator</cp:lastModifiedBy>
  <cp:lastPrinted>2013-10-09T02:05:00Z</cp:lastPrinted>
  <dcterms:modified xsi:type="dcterms:W3CDTF">2025-04-23T00:47:34Z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542C259AD64845E5BB9EEE94D59938FB</vt:lpwstr>
  </property>
  <property fmtid="{D5CDD505-2E9C-101B-9397-08002B2CF9AE}" pid="4" name="KSOTemplateDocerSaveRecord">
    <vt:lpwstr>eyJoZGlkIjoiNmMwZDJlYWU0YWU5MWZkZmJmNTJjYzBlNThkYWQ4NjMiLCJ1c2VySWQiOiI1NjE2MDMyMzMifQ==</vt:lpwstr>
  </property>
</Properties>
</file>