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00" w:lineRule="exact"/>
        <w:jc w:val="center"/>
        <w:rPr>
          <w:rFonts w:ascii="黑体" w:hAnsi="黑体" w:eastAsia="黑体" w:cs="黑体"/>
          <w:bCs/>
          <w:sz w:val="36"/>
          <w:szCs w:val="36"/>
        </w:rPr>
      </w:pPr>
      <w:bookmarkStart w:id="0" w:name="_GoBack"/>
      <w:bookmarkEnd w:id="0"/>
      <w:r>
        <w:rPr>
          <w:rFonts w:hint="eastAsia" w:ascii="黑体" w:hAnsi="黑体" w:eastAsia="黑体" w:cs="黑体"/>
          <w:bCs/>
          <w:sz w:val="36"/>
          <w:szCs w:val="36"/>
        </w:rPr>
        <w:t>2024年度东安县疾病预防控制中心部门</w:t>
      </w:r>
    </w:p>
    <w:p>
      <w:pPr>
        <w:adjustRightInd w:val="0"/>
        <w:spacing w:line="600" w:lineRule="exact"/>
        <w:jc w:val="center"/>
        <w:rPr>
          <w:rFonts w:ascii="黑体" w:hAnsi="黑体" w:eastAsia="黑体" w:cs="黑体"/>
          <w:bCs/>
          <w:sz w:val="36"/>
          <w:szCs w:val="36"/>
        </w:rPr>
      </w:pPr>
      <w:r>
        <w:rPr>
          <w:rFonts w:hint="eastAsia" w:ascii="黑体" w:hAnsi="黑体" w:eastAsia="黑体" w:cs="黑体"/>
          <w:bCs/>
          <w:sz w:val="36"/>
          <w:szCs w:val="36"/>
        </w:rPr>
        <w:t>整体支出绩效评价报告</w:t>
      </w:r>
    </w:p>
    <w:p>
      <w:pPr>
        <w:adjustRightInd w:val="0"/>
        <w:spacing w:line="600" w:lineRule="exact"/>
        <w:rPr>
          <w:rFonts w:eastAsia="仿宋_GB2312"/>
          <w:sz w:val="32"/>
          <w:szCs w:val="32"/>
        </w:rPr>
      </w:pPr>
    </w:p>
    <w:p>
      <w:pPr>
        <w:adjustRightInd w:val="0"/>
        <w:snapToGrid w:val="0"/>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一、部门概况</w:t>
      </w:r>
    </w:p>
    <w:p>
      <w:pPr>
        <w:ind w:firstLine="627" w:firstLineChars="196"/>
        <w:rPr>
          <w:rFonts w:ascii="仿宋" w:hAnsi="仿宋" w:eastAsia="仿宋" w:cs="仿宋"/>
          <w:sz w:val="32"/>
          <w:szCs w:val="32"/>
        </w:rPr>
      </w:pPr>
      <w:r>
        <w:rPr>
          <w:rFonts w:hint="eastAsia" w:ascii="仿宋" w:hAnsi="仿宋" w:eastAsia="仿宋" w:cs="仿宋"/>
          <w:sz w:val="32"/>
          <w:szCs w:val="32"/>
        </w:rPr>
        <w:t>（一）部门基本情况</w:t>
      </w:r>
    </w:p>
    <w:p>
      <w:pPr>
        <w:ind w:firstLine="627" w:firstLineChars="196"/>
        <w:rPr>
          <w:rFonts w:ascii="仿宋" w:hAnsi="仿宋" w:eastAsia="仿宋" w:cs="仿宋"/>
          <w:sz w:val="32"/>
          <w:szCs w:val="32"/>
        </w:rPr>
      </w:pPr>
      <w:r>
        <w:rPr>
          <w:rFonts w:hint="eastAsia" w:ascii="仿宋" w:hAnsi="仿宋" w:eastAsia="仿宋" w:cs="仿宋"/>
          <w:sz w:val="32"/>
          <w:szCs w:val="32"/>
        </w:rPr>
        <w:t>东安县疾病预防中心属财政全额拨款的副科级全民事业单位，设职能科室和业务科室，其中职能科室又分为办公室、财务室、健康教育科、质量管理科；业务科室又分为职业危害因素控制科、疾病控制科、检验科、免疫规划科、性病艾滋病防治科、结核病控制科、预防医学门诊部、卫生监测科。目前现有在职人员59人，退休人员30人，另有临时工2人，共计91人。我中心实有车辆3 台。</w:t>
      </w:r>
    </w:p>
    <w:p>
      <w:pPr>
        <w:pStyle w:val="5"/>
        <w:spacing w:before="0" w:beforeAutospacing="0" w:after="2"/>
        <w:ind w:firstLine="641"/>
        <w:rPr>
          <w:rFonts w:ascii="仿宋" w:hAnsi="仿宋" w:eastAsia="仿宋" w:cs="仿宋"/>
          <w:color w:val="000000"/>
          <w:sz w:val="27"/>
          <w:szCs w:val="27"/>
        </w:rPr>
      </w:pPr>
      <w:r>
        <w:rPr>
          <w:rFonts w:hint="eastAsia" w:ascii="仿宋" w:hAnsi="仿宋" w:eastAsia="仿宋" w:cs="仿宋"/>
          <w:color w:val="000000"/>
          <w:sz w:val="32"/>
          <w:szCs w:val="32"/>
        </w:rPr>
        <w:t>(二）部门收入支出决算总体情况说明</w:t>
      </w:r>
    </w:p>
    <w:p>
      <w:pPr>
        <w:pStyle w:val="5"/>
        <w:spacing w:before="0" w:beforeAutospacing="0" w:after="2"/>
        <w:ind w:firstLine="641"/>
        <w:rPr>
          <w:rFonts w:ascii="仿宋" w:hAnsi="仿宋" w:eastAsia="仿宋" w:cs="仿宋"/>
          <w:color w:val="000000"/>
          <w:sz w:val="27"/>
          <w:szCs w:val="27"/>
        </w:rPr>
      </w:pPr>
      <w:r>
        <w:rPr>
          <w:rFonts w:hint="eastAsia" w:ascii="仿宋" w:hAnsi="仿宋" w:eastAsia="仿宋" w:cs="仿宋"/>
          <w:color w:val="000000"/>
          <w:sz w:val="32"/>
          <w:szCs w:val="32"/>
        </w:rPr>
        <w:t>2024年度收支总金额1575万元。与上一年度相比减少2234.5万元，降幅58.66%；与2024年年初预算一致。收入支出减少了2234.5万元，主要原因是本年度重大公共卫生服务减少192.5万元，事业医疗单位减少了3万元，突发公共卫生事件应急处理减少326万元。</w:t>
      </w:r>
    </w:p>
    <w:p>
      <w:pPr>
        <w:pStyle w:val="5"/>
        <w:spacing w:before="0" w:beforeAutospacing="0" w:after="2"/>
        <w:ind w:firstLine="640" w:firstLineChars="200"/>
        <w:rPr>
          <w:rFonts w:ascii="仿宋" w:hAnsi="仿宋" w:eastAsia="仿宋" w:cs="仿宋"/>
          <w:color w:val="000000"/>
          <w:sz w:val="27"/>
          <w:szCs w:val="27"/>
        </w:rPr>
      </w:pPr>
      <w:r>
        <w:rPr>
          <w:rFonts w:hint="eastAsia" w:ascii="仿宋" w:hAnsi="仿宋" w:eastAsia="仿宋" w:cs="仿宋"/>
          <w:color w:val="000000"/>
          <w:sz w:val="32"/>
          <w:szCs w:val="32"/>
        </w:rPr>
        <w:t>（三）部门收入决算情况说明</w:t>
      </w:r>
    </w:p>
    <w:p>
      <w:pPr>
        <w:pStyle w:val="5"/>
        <w:spacing w:before="0" w:beforeAutospacing="0" w:after="2"/>
        <w:ind w:firstLine="640"/>
        <w:rPr>
          <w:rFonts w:ascii="仿宋" w:hAnsi="仿宋" w:eastAsia="仿宋" w:cs="仿宋"/>
          <w:color w:val="000000"/>
          <w:sz w:val="32"/>
          <w:szCs w:val="32"/>
        </w:rPr>
      </w:pPr>
      <w:r>
        <w:rPr>
          <w:rFonts w:hint="eastAsia" w:ascii="仿宋" w:hAnsi="仿宋" w:eastAsia="仿宋" w:cs="仿宋"/>
          <w:color w:val="000000"/>
          <w:sz w:val="32"/>
          <w:szCs w:val="32"/>
        </w:rPr>
        <w:t>2024年度收入合计1575万元，其中：财政拨款收入1575万元，占100%；上级补助收入0万元，占0%；事业收入0万元，占0%；经营收入0万元，占0%；附属单位上缴收入0万元，占0%；其他收入0万元，占0%。</w:t>
      </w:r>
    </w:p>
    <w:p>
      <w:pPr>
        <w:pStyle w:val="5"/>
        <w:spacing w:before="0" w:beforeAutospacing="0" w:after="2"/>
        <w:ind w:firstLine="640"/>
        <w:rPr>
          <w:rFonts w:ascii="仿宋" w:hAnsi="仿宋" w:eastAsia="仿宋" w:cs="仿宋"/>
          <w:color w:val="000000"/>
          <w:sz w:val="32"/>
          <w:szCs w:val="32"/>
        </w:rPr>
      </w:pPr>
      <w:r>
        <w:rPr>
          <w:rFonts w:hint="eastAsia" w:ascii="仿宋" w:hAnsi="仿宋" w:eastAsia="仿宋" w:cs="仿宋"/>
          <w:sz w:val="32"/>
          <w:szCs w:val="32"/>
        </w:rPr>
        <w:t>2024年整体收入1575万元，一般公共预算财政拨款1575万元；包括社会保障和就业支出收入82万元，占比5.2%；卫生健康支出1441万元，占比91.49%；住房保障支出52万元，占比3.3%。</w:t>
      </w:r>
    </w:p>
    <w:p>
      <w:pPr>
        <w:pStyle w:val="5"/>
        <w:spacing w:before="0" w:beforeAutospacing="0" w:after="2"/>
        <w:ind w:firstLine="640" w:firstLineChars="200"/>
        <w:rPr>
          <w:rFonts w:ascii="仿宋" w:hAnsi="仿宋" w:eastAsia="仿宋" w:cs="仿宋"/>
          <w:color w:val="000000"/>
          <w:sz w:val="27"/>
          <w:szCs w:val="27"/>
        </w:rPr>
      </w:pPr>
      <w:r>
        <w:rPr>
          <w:rFonts w:hint="eastAsia" w:ascii="仿宋" w:hAnsi="仿宋" w:eastAsia="仿宋" w:cs="仿宋"/>
          <w:color w:val="000000"/>
          <w:sz w:val="32"/>
          <w:szCs w:val="32"/>
        </w:rPr>
        <w:t>（四）支出决算情况说明</w:t>
      </w:r>
    </w:p>
    <w:p>
      <w:pPr>
        <w:pStyle w:val="5"/>
        <w:spacing w:before="0" w:beforeAutospacing="0" w:after="2"/>
        <w:ind w:firstLine="640"/>
        <w:rPr>
          <w:rFonts w:ascii="仿宋" w:hAnsi="仿宋" w:eastAsia="仿宋" w:cs="仿宋"/>
          <w:color w:val="000000"/>
          <w:sz w:val="27"/>
          <w:szCs w:val="27"/>
        </w:rPr>
      </w:pPr>
      <w:r>
        <w:rPr>
          <w:rFonts w:hint="eastAsia" w:ascii="仿宋" w:hAnsi="仿宋" w:eastAsia="仿宋" w:cs="仿宋"/>
          <w:color w:val="000000"/>
          <w:sz w:val="32"/>
          <w:szCs w:val="32"/>
        </w:rPr>
        <w:t>2024年度支出合计1575万元，其中：基本支出1139万元，占72.31%；项目支出436万元，占27.68%；上缴上级支出0万元，占0%；经营支出0万元，占0%；对附属单位补助支出0万元，占0%。</w:t>
      </w:r>
    </w:p>
    <w:p>
      <w:pPr>
        <w:spacing w:line="600" w:lineRule="exact"/>
        <w:ind w:firstLine="800" w:firstLineChars="250"/>
        <w:rPr>
          <w:rFonts w:ascii="仿宋" w:hAnsi="仿宋" w:eastAsia="仿宋" w:cs="仿宋"/>
          <w:sz w:val="32"/>
          <w:szCs w:val="32"/>
        </w:rPr>
      </w:pPr>
      <w:r>
        <w:rPr>
          <w:rFonts w:hint="eastAsia" w:ascii="仿宋" w:hAnsi="仿宋" w:eastAsia="仿宋" w:cs="仿宋"/>
          <w:sz w:val="32"/>
          <w:szCs w:val="32"/>
        </w:rPr>
        <w:t>2024年基本支出1139万元，财政拨款支出 1139万元。</w:t>
      </w:r>
    </w:p>
    <w:p>
      <w:pPr>
        <w:ind w:firstLine="800" w:firstLineChars="250"/>
        <w:rPr>
          <w:rFonts w:ascii="仿宋" w:hAnsi="仿宋" w:eastAsia="仿宋" w:cs="仿宋"/>
          <w:sz w:val="32"/>
          <w:szCs w:val="32"/>
        </w:rPr>
      </w:pPr>
      <w:r>
        <w:rPr>
          <w:rFonts w:hint="eastAsia" w:ascii="仿宋" w:hAnsi="仿宋" w:eastAsia="仿宋" w:cs="仿宋"/>
          <w:sz w:val="32"/>
          <w:szCs w:val="32"/>
        </w:rPr>
        <w:t>2024年财政拨款支出按用途划分，基本支出 1139万元,项目支出436万元。</w:t>
      </w:r>
    </w:p>
    <w:p>
      <w:pPr>
        <w:spacing w:line="600" w:lineRule="exact"/>
        <w:ind w:firstLine="800" w:firstLineChars="250"/>
        <w:rPr>
          <w:rFonts w:ascii="仿宋" w:hAnsi="仿宋" w:eastAsia="仿宋" w:cs="仿宋"/>
          <w:sz w:val="32"/>
          <w:szCs w:val="32"/>
        </w:rPr>
      </w:pPr>
      <w:r>
        <w:rPr>
          <w:rFonts w:hint="eastAsia" w:ascii="仿宋" w:hAnsi="仿宋" w:eastAsia="仿宋" w:cs="仿宋"/>
          <w:sz w:val="32"/>
          <w:szCs w:val="32"/>
        </w:rPr>
        <w:t xml:space="preserve">2024年“三公经费”财政拨款支出共23.99万元，具体情况如下：（一）“三公”经费财政拨款支出决算总体情况说明 “三公”经费财政拨款支出预算为 23.99万元，支出决算为 23.99万元，完成预算的 100.00%，与本年预算数相同，主要原因是中心严 格控制“三公”经费，与上年相比增加了1.49万元，增加 6.62%，增加的主要原因是今年增加了项目考核督查，公务接待人员和次数的增加。中心严格控制了“三公”经费，其中： 因公出国（境）费支出预算为 0.00 万元，支出决算为 0.00 万元， 由于预算数为 0 万元，无法计算完成比率。与本年预算数相同，主要原因是中心没有因公出国（境）的人员，与上年决算数相同，主要原因是中心没有因公出国（境)的人员。 公务接待费支出预算为 14.11万元，支出决算为 14.11 万元，完成预算的 100.00%，与本年预算数相同，主要原因是中心严格控制公务接待费，与上年相比增加 1.11万元，增加 7.86%，增加的主要原因是中心增加了项目考核和项目督查，公务接待人员和次数的增加。公务用车购置费支出预算为 0.00 万元，支出决算为 0.00 万元， 由于预算数为 0 万元，无法计算增减比率。与本年预算数相同，主要原因是中心严格控制公务用车的购置，与上年决算数相同，主要原因是中心严格控制公务用车的购置。公务用车运行维护费支出预算为 9.88 万元，支出决算为 9.88万 元，完成预算的 100.00%，与本年预算数相同，主要原因是中心严格 控制公务用车的运行费等，与上年相比增加了0.38万元，增加 3.8%， 增加的主要原因是中心增加的项目考核和项目督查。 </w:t>
      </w:r>
    </w:p>
    <w:p>
      <w:pPr>
        <w:adjustRightInd w:val="0"/>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二、项目支出</w:t>
      </w:r>
    </w:p>
    <w:p>
      <w:pPr>
        <w:ind w:firstLine="640" w:firstLineChars="200"/>
        <w:rPr>
          <w:rFonts w:ascii="仿宋" w:hAnsi="仿宋" w:eastAsia="仿宋" w:cs="仿宋"/>
          <w:sz w:val="32"/>
          <w:szCs w:val="32"/>
        </w:rPr>
      </w:pPr>
      <w:r>
        <w:rPr>
          <w:rFonts w:hint="eastAsia" w:ascii="仿宋" w:hAnsi="仿宋" w:eastAsia="仿宋" w:cs="仿宋"/>
          <w:sz w:val="32"/>
          <w:szCs w:val="32"/>
        </w:rPr>
        <w:t>2024年度项目支出436万元，其中县里配套项目经费55万元（冷链运转经费5万元、水质监测费50万元）。</w:t>
      </w:r>
    </w:p>
    <w:p>
      <w:pPr>
        <w:adjustRightInd w:val="0"/>
        <w:snapToGrid w:val="0"/>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三、</w:t>
      </w:r>
      <w:r>
        <w:rPr>
          <w:rFonts w:hint="eastAsia" w:ascii="仿宋" w:hAnsi="仿宋" w:eastAsia="仿宋" w:cs="仿宋"/>
          <w:sz w:val="32"/>
          <w:szCs w:val="32"/>
        </w:rPr>
        <w:t>部门整体支出管理情况</w:t>
      </w:r>
    </w:p>
    <w:p>
      <w:pPr>
        <w:pStyle w:val="5"/>
        <w:shd w:val="clear" w:color="auto" w:fill="FFFFFF"/>
        <w:spacing w:beforeAutospacing="0" w:line="33" w:lineRule="atLeast"/>
        <w:ind w:firstLine="420"/>
        <w:jc w:val="both"/>
        <w:rPr>
          <w:rFonts w:ascii="仿宋" w:hAnsi="仿宋" w:eastAsia="仿宋" w:cs="仿宋"/>
          <w:kern w:val="2"/>
          <w:sz w:val="32"/>
          <w:szCs w:val="32"/>
        </w:rPr>
      </w:pPr>
      <w:r>
        <w:rPr>
          <w:rFonts w:hint="eastAsia" w:ascii="仿宋" w:hAnsi="仿宋" w:eastAsia="仿宋" w:cs="仿宋"/>
          <w:kern w:val="2"/>
          <w:sz w:val="32"/>
          <w:szCs w:val="32"/>
        </w:rPr>
        <w:t>（一）严格预算支出管理。在支出预算编制上，人员经费按照配置定额，共用经费分类分档，按定额编制，根据“总量控制，计划管理”的要求从严控制行政经费，压缩公务开支，严格控制“三公经费”，资产的配置严格政府采购，按照预算科目和项目资金的规定使用财政资金，保障部门整体支出的规范化、制度化。</w:t>
      </w:r>
    </w:p>
    <w:p>
      <w:pPr>
        <w:pStyle w:val="5"/>
        <w:numPr>
          <w:ilvl w:val="0"/>
          <w:numId w:val="1"/>
        </w:numPr>
        <w:shd w:val="clear" w:color="auto" w:fill="FFFFFF"/>
        <w:spacing w:before="0" w:beforeAutospacing="0" w:after="0" w:line="33" w:lineRule="atLeast"/>
        <w:ind w:firstLine="420"/>
        <w:jc w:val="both"/>
        <w:rPr>
          <w:rFonts w:ascii="仿宋" w:hAnsi="仿宋" w:eastAsia="仿宋" w:cs="仿宋"/>
          <w:kern w:val="2"/>
          <w:sz w:val="32"/>
          <w:szCs w:val="32"/>
        </w:rPr>
      </w:pPr>
      <w:r>
        <w:rPr>
          <w:rFonts w:hint="eastAsia" w:ascii="仿宋" w:hAnsi="仿宋" w:eastAsia="仿宋" w:cs="仿宋"/>
          <w:kern w:val="2"/>
          <w:sz w:val="32"/>
          <w:szCs w:val="32"/>
        </w:rPr>
        <w:t>财务管理上，按照国家相关法律法规，制定了机关财务、公物购置使用、接待会务、车辆使用等管理制度，并严格按照制度管理和执行，防范风险，保证财政资金的安全和高效运行。</w:t>
      </w:r>
    </w:p>
    <w:p>
      <w:pPr>
        <w:pStyle w:val="5"/>
        <w:spacing w:before="0" w:beforeAutospacing="0" w:after="2"/>
        <w:ind w:firstLine="641"/>
        <w:rPr>
          <w:rFonts w:ascii="仿宋" w:hAnsi="仿宋" w:eastAsia="仿宋" w:cs="仿宋"/>
          <w:color w:val="000000"/>
          <w:sz w:val="27"/>
          <w:szCs w:val="27"/>
        </w:rPr>
      </w:pPr>
      <w:r>
        <w:rPr>
          <w:rStyle w:val="8"/>
          <w:rFonts w:hint="eastAsia" w:ascii="仿宋" w:hAnsi="仿宋" w:eastAsia="仿宋" w:cs="仿宋"/>
          <w:b w:val="0"/>
          <w:color w:val="000000"/>
          <w:sz w:val="32"/>
          <w:szCs w:val="32"/>
        </w:rPr>
        <w:t>四、部门整体支出绩效情况</w:t>
      </w:r>
    </w:p>
    <w:p>
      <w:pPr>
        <w:pStyle w:val="5"/>
        <w:spacing w:before="0" w:beforeAutospacing="0" w:after="2"/>
        <w:ind w:firstLine="641"/>
        <w:rPr>
          <w:rFonts w:ascii="仿宋" w:hAnsi="仿宋" w:eastAsia="仿宋" w:cs="仿宋"/>
          <w:color w:val="000000"/>
          <w:sz w:val="32"/>
          <w:szCs w:val="32"/>
        </w:rPr>
      </w:pPr>
      <w:r>
        <w:rPr>
          <w:rFonts w:hint="eastAsia" w:ascii="仿宋" w:hAnsi="仿宋" w:eastAsia="仿宋" w:cs="仿宋"/>
          <w:color w:val="000000"/>
          <w:sz w:val="32"/>
          <w:szCs w:val="32"/>
        </w:rPr>
        <w:t>1.基础绩效目标完成情况：①完成了各项日常性工作任务；②完成党建及乡村振兴工作任务；③高质量完成新冠疫情防控任务，核酸检测应检尽检，共采样人份，自行检测23490人份，准确率100%。。</w:t>
      </w:r>
    </w:p>
    <w:p>
      <w:pPr>
        <w:adjustRightInd w:val="0"/>
        <w:snapToGrid w:val="0"/>
        <w:spacing w:line="600" w:lineRule="exact"/>
        <w:ind w:firstLine="640" w:firstLineChars="200"/>
        <w:rPr>
          <w:rFonts w:ascii="仿宋" w:hAnsi="仿宋" w:eastAsia="仿宋" w:cs="仿宋"/>
          <w:sz w:val="32"/>
          <w:szCs w:val="32"/>
        </w:rPr>
      </w:pPr>
      <w:r>
        <w:rPr>
          <w:rFonts w:hint="eastAsia" w:ascii="仿宋" w:hAnsi="仿宋" w:eastAsia="仿宋" w:cs="仿宋"/>
          <w:color w:val="000000"/>
          <w:sz w:val="32"/>
          <w:szCs w:val="32"/>
        </w:rPr>
        <w:t xml:space="preserve"> 2.项目绩效目标完成情况：①国家免疫规划基础疫苗接种率达95%；②对所有麻风病人及密切接触者进行检查监测，对所有愈后存活人员进行随访调查；③慢性病防控：死因登记完成105%、居民营养与健康状况调查采集样品1037人次，完成100%、盐碘检测300人次、尿碘检测300人次；④基本公卫工作：建立居民健康电子档案349922份，建档率100%、老年人和慢病患者及重症精神障碍患者管理率100%；⑤急性传染病报告及治疗率达93%；⑥完成农村饮用水采样及检测174个；⑦政府指令性新冠防控核酸检测率达100%。结合工作具体指标结合工作实际，中心的整体支出绩效综合评分为97分。</w:t>
      </w:r>
      <w:r>
        <w:rPr>
          <w:rFonts w:hint="eastAsia" w:ascii="仿宋" w:hAnsi="仿宋" w:eastAsia="仿宋" w:cs="仿宋"/>
          <w:sz w:val="32"/>
          <w:szCs w:val="32"/>
        </w:rPr>
        <w:t>五、部门整体支出绩效情况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制度执行情况，资金管理使用的各个环节是严格按照财政资金相关类别项目专项资金管理办法的规定执行。分析评价：资金使用情况，资金使用的各个环节和有关内容合理到位，没有存在虚报项目骗取财政资金的情况；没有存在截留、挤占、挪用财政资金的情况。没有用于弥补人员经费或用于其它活动；没有用于对外借款、对外投资；没有擅自调整预算、计提管理费、基本支出挤占项目支出或截留财政资金挪作它用等情况；资金监管情况。采用资金运行全程监控等管理手段进行资金的有效管理，建立了资金使用和监管的责任机制。.做到项目资金专账核算、专款专用、专人负责；没有存在虚列支出、重复列支、提前列支的情况；</w:t>
      </w:r>
    </w:p>
    <w:p>
      <w:pPr>
        <w:adjustRightInd w:val="0"/>
        <w:snapToGrid w:val="0"/>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五、</w:t>
      </w:r>
      <w:r>
        <w:rPr>
          <w:rFonts w:hint="eastAsia" w:ascii="仿宋" w:hAnsi="仿宋" w:eastAsia="仿宋" w:cs="仿宋"/>
          <w:sz w:val="32"/>
          <w:szCs w:val="32"/>
        </w:rPr>
        <w:t>结合《部门整体支出绩效评价指标表》（见附件）的评价结果，按照《财政部关于开展行政事业单位内部控制基础性评价工作的通知》要求，依据《行政事业单位内部控制规范（试行）》的有关规定，采用定量分析和定性分析相结合的方法，从预算编制、执行、资金使用、监管以及财务会计信息、项目组织管理、项目绩效完成等方面对专项进行了综合评价，形成绩效综合评价结论。本次绩效评价得分100分。</w:t>
      </w:r>
    </w:p>
    <w:p>
      <w:pPr>
        <w:pStyle w:val="5"/>
        <w:spacing w:before="0" w:beforeAutospacing="0" w:after="2"/>
        <w:ind w:firstLine="641"/>
        <w:rPr>
          <w:rFonts w:ascii="仿宋" w:hAnsi="仿宋" w:eastAsia="仿宋" w:cs="仿宋"/>
          <w:sz w:val="27"/>
          <w:szCs w:val="27"/>
        </w:rPr>
      </w:pPr>
      <w:r>
        <w:rPr>
          <w:rStyle w:val="8"/>
          <w:rFonts w:hint="eastAsia" w:ascii="仿宋" w:hAnsi="仿宋" w:eastAsia="仿宋" w:cs="仿宋"/>
          <w:b w:val="0"/>
          <w:sz w:val="32"/>
          <w:szCs w:val="32"/>
        </w:rPr>
        <w:t>六、存在的问题及原因分析</w:t>
      </w:r>
    </w:p>
    <w:p>
      <w:pPr>
        <w:pStyle w:val="14"/>
        <w:spacing w:after="2"/>
        <w:ind w:firstLine="641"/>
        <w:rPr>
          <w:rFonts w:hint="default" w:ascii="仿宋" w:hAnsi="仿宋" w:eastAsia="仿宋" w:cs="仿宋"/>
          <w:color w:val="000000"/>
          <w:sz w:val="32"/>
          <w:szCs w:val="32"/>
        </w:rPr>
      </w:pPr>
      <w:r>
        <w:rPr>
          <w:rFonts w:ascii="仿宋" w:hAnsi="仿宋" w:eastAsia="仿宋" w:cs="仿宋"/>
          <w:color w:val="000000"/>
          <w:sz w:val="32"/>
          <w:szCs w:val="32"/>
        </w:rPr>
        <w:t>（一）存在的问题</w:t>
      </w:r>
    </w:p>
    <w:p>
      <w:pPr>
        <w:pStyle w:val="14"/>
        <w:spacing w:after="2"/>
        <w:ind w:firstLine="641"/>
        <w:rPr>
          <w:rFonts w:hint="default" w:ascii="仿宋" w:hAnsi="仿宋" w:eastAsia="仿宋" w:cs="仿宋"/>
          <w:color w:val="000000"/>
          <w:sz w:val="32"/>
          <w:szCs w:val="32"/>
        </w:rPr>
      </w:pPr>
      <w:r>
        <w:rPr>
          <w:rFonts w:ascii="仿宋" w:hAnsi="仿宋" w:eastAsia="仿宋" w:cs="仿宋"/>
          <w:color w:val="000000"/>
          <w:sz w:val="32"/>
          <w:szCs w:val="32"/>
        </w:rPr>
        <w:t>（1）预算执行差异问题</w:t>
      </w:r>
    </w:p>
    <w:p>
      <w:pPr>
        <w:pStyle w:val="14"/>
        <w:spacing w:after="2"/>
        <w:ind w:firstLine="641"/>
        <w:rPr>
          <w:rFonts w:hint="default" w:ascii="仿宋" w:hAnsi="仿宋" w:eastAsia="仿宋" w:cs="仿宋"/>
          <w:color w:val="000000"/>
          <w:sz w:val="32"/>
          <w:szCs w:val="32"/>
        </w:rPr>
      </w:pPr>
      <w:r>
        <w:rPr>
          <w:rFonts w:ascii="仿宋" w:hAnsi="仿宋" w:eastAsia="仿宋" w:cs="仿宋"/>
          <w:color w:val="000000"/>
          <w:sz w:val="32"/>
          <w:szCs w:val="32"/>
        </w:rPr>
        <w:t>收入预算执行率低：东安县疾病预防控制中心由于一体化门诊服务范围有限等原因，实际接种疫苗的人数低于预期，从而导致非税收入未达到预算绩效目标。其次，政府补助收入因政策调整或资金拨付不及时，未能按预算到位。</w:t>
      </w:r>
    </w:p>
    <w:p>
      <w:pPr>
        <w:pStyle w:val="14"/>
        <w:spacing w:after="2"/>
        <w:ind w:firstLine="641"/>
        <w:rPr>
          <w:rFonts w:hint="default" w:ascii="仿宋" w:hAnsi="仿宋" w:eastAsia="仿宋" w:cs="仿宋"/>
          <w:color w:val="000000"/>
          <w:sz w:val="32"/>
          <w:szCs w:val="32"/>
        </w:rPr>
      </w:pPr>
      <w:r>
        <w:rPr>
          <w:rFonts w:ascii="仿宋" w:hAnsi="仿宋" w:eastAsia="仿宋" w:cs="仿宋"/>
          <w:color w:val="000000"/>
          <w:sz w:val="32"/>
          <w:szCs w:val="32"/>
        </w:rPr>
        <w:t>支出预算超支：设备购置和维修支出超预算，我中心为了提升医疗服务水平，临时增加了一些设备购置或维修项目，但预算未及时调整。</w:t>
      </w:r>
    </w:p>
    <w:p>
      <w:pPr>
        <w:pStyle w:val="14"/>
        <w:spacing w:after="2"/>
        <w:ind w:firstLine="641"/>
        <w:rPr>
          <w:rFonts w:hint="default" w:ascii="仿宋" w:hAnsi="仿宋" w:eastAsia="仿宋" w:cs="仿宋"/>
          <w:color w:val="000000"/>
          <w:sz w:val="32"/>
          <w:szCs w:val="32"/>
        </w:rPr>
      </w:pPr>
      <w:r>
        <w:rPr>
          <w:rFonts w:ascii="仿宋" w:hAnsi="仿宋" w:eastAsia="仿宋" w:cs="仿宋"/>
          <w:color w:val="000000"/>
          <w:sz w:val="32"/>
          <w:szCs w:val="32"/>
        </w:rPr>
        <w:t>（2）成本控制问题</w:t>
      </w:r>
    </w:p>
    <w:p>
      <w:pPr>
        <w:pStyle w:val="14"/>
        <w:spacing w:after="2"/>
        <w:ind w:firstLine="641"/>
        <w:rPr>
          <w:rFonts w:hint="default" w:ascii="仿宋" w:hAnsi="仿宋" w:eastAsia="仿宋" w:cs="仿宋"/>
          <w:color w:val="000000"/>
          <w:sz w:val="32"/>
          <w:szCs w:val="32"/>
        </w:rPr>
      </w:pPr>
      <w:r>
        <w:rPr>
          <w:rFonts w:ascii="仿宋" w:hAnsi="仿宋" w:eastAsia="仿宋" w:cs="仿宋"/>
          <w:color w:val="000000"/>
          <w:sz w:val="32"/>
          <w:szCs w:val="32"/>
        </w:rPr>
        <w:t>成本费用过高：管理费用增长过快，可能是因为办公费用、水电费等日常开支缺乏有效控制，或者机构臃肿、人员冗余，增加了管理成本。</w:t>
      </w:r>
    </w:p>
    <w:p>
      <w:pPr>
        <w:pStyle w:val="14"/>
        <w:spacing w:after="2"/>
        <w:ind w:firstLine="641"/>
        <w:rPr>
          <w:rFonts w:hint="default" w:ascii="仿宋" w:hAnsi="仿宋" w:eastAsia="仿宋" w:cs="仿宋"/>
          <w:color w:val="000000"/>
          <w:sz w:val="32"/>
          <w:szCs w:val="32"/>
        </w:rPr>
      </w:pPr>
      <w:r>
        <w:rPr>
          <w:rFonts w:ascii="仿宋" w:hAnsi="仿宋" w:eastAsia="仿宋" w:cs="仿宋"/>
          <w:color w:val="000000"/>
          <w:sz w:val="32"/>
          <w:szCs w:val="32"/>
        </w:rPr>
        <w:t>成本核算不精细：我中心可能缺乏完善的成本核算体系，无法准确核算每个医疗服务项目的成本。例如，对于一些复杂的检查项目，无法准确分摊设备折旧、人员工资等成本。对于间接成本的分配不合理，导致成本核算不准确，无法为成本控制提供有效的依据。</w:t>
      </w:r>
    </w:p>
    <w:p>
      <w:pPr>
        <w:pStyle w:val="14"/>
        <w:spacing w:after="2"/>
        <w:ind w:firstLine="641"/>
        <w:rPr>
          <w:rFonts w:hint="default" w:ascii="仿宋" w:hAnsi="仿宋" w:eastAsia="仿宋" w:cs="仿宋"/>
          <w:color w:val="000000"/>
          <w:sz w:val="32"/>
          <w:szCs w:val="32"/>
        </w:rPr>
      </w:pPr>
      <w:r>
        <w:rPr>
          <w:rFonts w:ascii="仿宋" w:hAnsi="仿宋" w:eastAsia="仿宋" w:cs="仿宋"/>
          <w:color w:val="000000"/>
          <w:sz w:val="32"/>
          <w:szCs w:val="32"/>
        </w:rPr>
        <w:t>（3）财务分析不深入问题</w:t>
      </w:r>
    </w:p>
    <w:p>
      <w:pPr>
        <w:pStyle w:val="14"/>
        <w:spacing w:after="2"/>
        <w:ind w:firstLine="641"/>
        <w:rPr>
          <w:rFonts w:hint="default" w:ascii="仿宋" w:hAnsi="仿宋" w:eastAsia="仿宋" w:cs="仿宋"/>
          <w:color w:val="000000"/>
          <w:sz w:val="32"/>
          <w:szCs w:val="32"/>
        </w:rPr>
      </w:pPr>
      <w:r>
        <w:rPr>
          <w:rFonts w:ascii="仿宋" w:hAnsi="仿宋" w:eastAsia="仿宋" w:cs="仿宋"/>
          <w:color w:val="000000"/>
          <w:sz w:val="32"/>
          <w:szCs w:val="32"/>
        </w:rPr>
        <w:t>分析内容简单：决算报告中的财务分析可能仅关注收支总额、资产负债率等几个主要指标，缺乏对成本结构、收入来源、资产使用效率等方面的深入分析。对于财务指标的变化原因分析不够深入，只是简单地描述数据变动，无法为中心的财务管理提供有价值的建议。</w:t>
      </w:r>
    </w:p>
    <w:p>
      <w:pPr>
        <w:pStyle w:val="14"/>
        <w:spacing w:after="2"/>
        <w:ind w:firstLine="641"/>
        <w:rPr>
          <w:rFonts w:hint="default" w:ascii="仿宋" w:hAnsi="仿宋" w:eastAsia="仿宋" w:cs="仿宋"/>
          <w:color w:val="000000"/>
          <w:sz w:val="32"/>
          <w:szCs w:val="32"/>
        </w:rPr>
      </w:pPr>
      <w:r>
        <w:rPr>
          <w:rFonts w:ascii="仿宋" w:hAnsi="仿宋" w:eastAsia="仿宋" w:cs="仿宋"/>
          <w:color w:val="000000"/>
          <w:sz w:val="32"/>
          <w:szCs w:val="32"/>
        </w:rPr>
        <w:t>缺乏决策支持：财务分析结果不能与中心的发展战略和业务规划相结合，无法为中心的重大决策提供有力支持。例如，在设备购置、科室建设等方面，财务分析不能提供准确的成本效益分析和投资回报率预测。</w:t>
      </w:r>
    </w:p>
    <w:p>
      <w:pPr>
        <w:pStyle w:val="14"/>
        <w:spacing w:after="2"/>
        <w:ind w:firstLine="641"/>
        <w:rPr>
          <w:rFonts w:hint="default" w:ascii="仿宋" w:hAnsi="仿宋" w:eastAsia="仿宋" w:cs="仿宋"/>
          <w:color w:val="000000"/>
          <w:sz w:val="32"/>
          <w:szCs w:val="32"/>
        </w:rPr>
      </w:pPr>
      <w:r>
        <w:rPr>
          <w:rFonts w:ascii="仿宋" w:hAnsi="仿宋" w:eastAsia="仿宋" w:cs="仿宋"/>
          <w:color w:val="000000"/>
          <w:sz w:val="32"/>
          <w:szCs w:val="32"/>
        </w:rPr>
        <w:t>（二）原因分析</w:t>
      </w:r>
    </w:p>
    <w:p>
      <w:pPr>
        <w:pStyle w:val="14"/>
        <w:spacing w:after="2"/>
        <w:ind w:firstLine="641"/>
        <w:rPr>
          <w:rFonts w:hint="default" w:ascii="仿宋" w:hAnsi="仿宋" w:eastAsia="仿宋" w:cs="仿宋"/>
          <w:color w:val="000000"/>
          <w:sz w:val="32"/>
          <w:szCs w:val="32"/>
        </w:rPr>
      </w:pPr>
      <w:r>
        <w:rPr>
          <w:rFonts w:ascii="仿宋" w:hAnsi="仿宋" w:eastAsia="仿宋" w:cs="仿宋"/>
          <w:color w:val="000000"/>
          <w:sz w:val="32"/>
          <w:szCs w:val="32"/>
        </w:rPr>
        <w:t>（1）预算编制不合理：预算编制过程中，对疾控中心的业务发展和市场变化估计不足。例如，没有充分考虑到人口出生率的下降对疾控中心疫苗接种需求的影响，导致收入预算过高。预算编制方法不科学，采用简单的历史数据法或经验估计法，缺乏对未来业务发展的前瞻性分析。</w:t>
      </w:r>
    </w:p>
    <w:p>
      <w:pPr>
        <w:pStyle w:val="14"/>
        <w:spacing w:after="2"/>
        <w:ind w:firstLine="641"/>
        <w:rPr>
          <w:rFonts w:hint="default" w:ascii="仿宋" w:hAnsi="仿宋" w:eastAsia="仿宋" w:cs="仿宋"/>
          <w:color w:val="000000"/>
          <w:sz w:val="32"/>
          <w:szCs w:val="32"/>
        </w:rPr>
      </w:pPr>
      <w:r>
        <w:rPr>
          <w:rFonts w:ascii="仿宋" w:hAnsi="仿宋" w:eastAsia="仿宋" w:cs="仿宋"/>
          <w:color w:val="000000"/>
          <w:sz w:val="32"/>
          <w:szCs w:val="32"/>
        </w:rPr>
        <w:t>（2）预算执行监控不力：中心缺乏有效的预算执行监控机制，不能及时掌握预算执行情况。例如，没有定期对预算执行进度进行分析和评估，也没有及时采取措施调整预算执行策略。各部门之间缺乏有效的沟通和协作，预算执行过程中出现问题不能及时解决。例如，设备购置部门未与财务部门沟通，擅自增加设备购置项目，导致支出预算超支。</w:t>
      </w:r>
    </w:p>
    <w:p>
      <w:pPr>
        <w:pStyle w:val="14"/>
        <w:spacing w:after="2"/>
        <w:ind w:firstLine="641"/>
        <w:rPr>
          <w:rFonts w:hint="default" w:ascii="仿宋" w:hAnsi="仿宋" w:eastAsia="仿宋" w:cs="仿宋"/>
          <w:color w:val="000000"/>
          <w:sz w:val="32"/>
          <w:szCs w:val="32"/>
        </w:rPr>
      </w:pPr>
      <w:r>
        <w:rPr>
          <w:rFonts w:ascii="仿宋" w:hAnsi="仿宋" w:eastAsia="仿宋" w:cs="仿宋"/>
          <w:color w:val="000000"/>
          <w:sz w:val="32"/>
          <w:szCs w:val="32"/>
        </w:rPr>
        <w:t>（3）成本控制问题原因</w:t>
      </w:r>
    </w:p>
    <w:p>
      <w:pPr>
        <w:pStyle w:val="14"/>
        <w:spacing w:after="2"/>
        <w:ind w:firstLine="641"/>
        <w:rPr>
          <w:rFonts w:hint="default" w:ascii="仿宋" w:hAnsi="仿宋" w:eastAsia="仿宋" w:cs="仿宋"/>
          <w:color w:val="000000"/>
          <w:sz w:val="32"/>
          <w:szCs w:val="32"/>
        </w:rPr>
      </w:pPr>
      <w:r>
        <w:rPr>
          <w:rFonts w:ascii="仿宋" w:hAnsi="仿宋" w:eastAsia="仿宋" w:cs="仿宋"/>
          <w:color w:val="000000"/>
          <w:sz w:val="32"/>
          <w:szCs w:val="32"/>
        </w:rPr>
        <w:t>资源浪费：我中心存在设备利用率低的情况。由于医疗技术水平有限，一些高端设备闲置时间较长，造成资源浪费。</w:t>
      </w:r>
    </w:p>
    <w:p>
      <w:pPr>
        <w:pStyle w:val="14"/>
        <w:spacing w:after="2"/>
        <w:ind w:firstLine="641"/>
        <w:rPr>
          <w:rFonts w:hint="default" w:ascii="仿宋" w:hAnsi="仿宋" w:eastAsia="仿宋" w:cs="仿宋"/>
          <w:color w:val="000000"/>
          <w:sz w:val="32"/>
          <w:szCs w:val="32"/>
        </w:rPr>
      </w:pPr>
      <w:r>
        <w:rPr>
          <w:rFonts w:ascii="仿宋" w:hAnsi="仿宋" w:eastAsia="仿宋" w:cs="仿宋"/>
          <w:color w:val="000000"/>
          <w:sz w:val="32"/>
          <w:szCs w:val="32"/>
        </w:rPr>
        <w:t>物资采购不合理，存在库存积压或短缺的情况。例如，药品、耗材的采购量过大，导致库存积压，占用大量资金；或者采购量不足，影响医疗服务的正常开展。</w:t>
      </w:r>
    </w:p>
    <w:p>
      <w:pPr>
        <w:pStyle w:val="14"/>
        <w:spacing w:after="2"/>
        <w:ind w:firstLine="641"/>
        <w:rPr>
          <w:rFonts w:hint="default" w:ascii="仿宋" w:hAnsi="仿宋" w:eastAsia="仿宋" w:cs="仿宋"/>
          <w:color w:val="000000"/>
          <w:sz w:val="32"/>
          <w:szCs w:val="32"/>
        </w:rPr>
      </w:pPr>
      <w:r>
        <w:rPr>
          <w:rFonts w:ascii="仿宋" w:hAnsi="仿宋" w:eastAsia="仿宋" w:cs="仿宋"/>
          <w:color w:val="000000"/>
          <w:sz w:val="32"/>
          <w:szCs w:val="32"/>
        </w:rPr>
        <w:t>缺乏成本控制意识：中心管理层对成本控制的重视程度不够，没有将成本控制纳入中心的战略规划和绩效考核体系。例如，在决策过程中，只注重业务发展和服务质量，忽视了成本控制。职工缺乏成本控制意识，在日常工作中存在浪费现象。例如，办公用品的浪费、水电的浪费等。</w:t>
      </w:r>
    </w:p>
    <w:p>
      <w:pPr>
        <w:pStyle w:val="14"/>
        <w:spacing w:after="2"/>
        <w:ind w:firstLine="641"/>
        <w:rPr>
          <w:rFonts w:hint="default" w:ascii="仿宋" w:hAnsi="仿宋" w:eastAsia="仿宋" w:cs="仿宋"/>
          <w:color w:val="000000"/>
          <w:sz w:val="32"/>
          <w:szCs w:val="32"/>
        </w:rPr>
      </w:pPr>
      <w:r>
        <w:rPr>
          <w:rFonts w:ascii="仿宋" w:hAnsi="仿宋" w:eastAsia="仿宋" w:cs="仿宋"/>
          <w:color w:val="000000"/>
          <w:sz w:val="32"/>
          <w:szCs w:val="32"/>
        </w:rPr>
        <w:t>（4）财务分析不深入问题原因</w:t>
      </w:r>
    </w:p>
    <w:p>
      <w:pPr>
        <w:pStyle w:val="14"/>
        <w:spacing w:after="2"/>
        <w:ind w:firstLine="641"/>
        <w:rPr>
          <w:rFonts w:hint="default" w:ascii="仿宋" w:hAnsi="仿宋" w:eastAsia="仿宋" w:cs="仿宋"/>
          <w:color w:val="000000"/>
          <w:sz w:val="32"/>
          <w:szCs w:val="32"/>
        </w:rPr>
      </w:pPr>
      <w:r>
        <w:rPr>
          <w:rFonts w:ascii="仿宋" w:hAnsi="仿宋" w:eastAsia="仿宋" w:cs="仿宋"/>
          <w:color w:val="000000"/>
          <w:sz w:val="32"/>
          <w:szCs w:val="32"/>
        </w:rPr>
        <w:t>财务人员专业水平不足：东安县疾病预防控制中心财务人员数量有限，且专业素质参差不齐。财务人员缺乏深入的财务分析能力和业务知识，无法进行高质量的财务分析。财务人员缺乏培训和学习机会，不能及时掌握新的财务分析方法和工具。没有充分利用信息化手段进行财务分析，数据分析的效率和准确性不高。</w:t>
      </w:r>
    </w:p>
    <w:p>
      <w:pPr>
        <w:pStyle w:val="14"/>
        <w:spacing w:after="2"/>
        <w:ind w:firstLine="641"/>
        <w:rPr>
          <w:rFonts w:hint="default" w:ascii="仿宋" w:hAnsi="仿宋" w:eastAsia="仿宋" w:cs="仿宋"/>
          <w:sz w:val="27"/>
          <w:szCs w:val="27"/>
        </w:rPr>
      </w:pPr>
      <w:r>
        <w:rPr>
          <w:rFonts w:ascii="仿宋" w:hAnsi="仿宋" w:eastAsia="仿宋" w:cs="仿宋"/>
          <w:color w:val="000000"/>
          <w:sz w:val="32"/>
          <w:szCs w:val="32"/>
        </w:rPr>
        <w:t>缺乏与业务部门的沟通：财务部门与业务部门之间缺乏有效的沟通和协作，财务人员不了解业务流程和业务需求，无法进行深入的业务分析。例如，在绩效评价分析医疗服务成本时，不了解业务科室的业务特点，无法准确核算成本。业务部门对财务分析的重视程度不够，不能积极配合财务部门提供相关业务数据和信息。</w:t>
      </w:r>
      <w:r>
        <w:rPr>
          <w:rFonts w:ascii="仿宋" w:hAnsi="仿宋" w:eastAsia="仿宋" w:cs="仿宋"/>
          <w:color w:val="000000"/>
          <w:sz w:val="27"/>
          <w:szCs w:val="27"/>
        </w:rPr>
        <w:t xml:space="preserve"> </w:t>
      </w:r>
    </w:p>
    <w:p>
      <w:pPr>
        <w:adjustRightInd w:val="0"/>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七、改进措施和有关建议</w:t>
      </w:r>
    </w:p>
    <w:p>
      <w:pPr>
        <w:adjustRightInd w:val="0"/>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针对上述存在的问题及整体支出管理工作的需要，提出改进措施和建议如下：</w:t>
      </w:r>
    </w:p>
    <w:p>
      <w:pPr>
        <w:adjustRightInd w:val="0"/>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（1）进一步加强内部预算管理意识，提高预算水平，严格按照预算编制的相关制度和要求进行预算编制，提高预算编制的合理性和严谨性。</w:t>
      </w:r>
    </w:p>
    <w:p>
      <w:pPr>
        <w:adjustRightInd w:val="0"/>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（2）进一步规范财务工作，加强预算管理，完善内部控制，合理支出，厉行节约，提高资金使用效益。</w:t>
      </w:r>
    </w:p>
    <w:p>
      <w:pPr>
        <w:adjustRightInd w:val="0"/>
        <w:snapToGrid w:val="0"/>
        <w:spacing w:line="600" w:lineRule="exact"/>
        <w:ind w:left="638" w:leftChars="304"/>
        <w:rPr>
          <w:rFonts w:ascii="仿宋" w:hAnsi="仿宋" w:eastAsia="仿宋" w:cs="仿宋"/>
          <w:sz w:val="32"/>
          <w:szCs w:val="32"/>
        </w:rPr>
      </w:pPr>
      <w:r>
        <w:rPr>
          <w:rFonts w:hint="eastAsia" w:ascii="仿宋" w:hAnsi="仿宋" w:eastAsia="仿宋" w:cs="仿宋"/>
          <w:sz w:val="32"/>
          <w:szCs w:val="32"/>
        </w:rPr>
        <w:t>（3）进一步加强财务人员培训，提高业务知识水平。</w:t>
      </w:r>
    </w:p>
    <w:p>
      <w:pPr>
        <w:adjustRightInd w:val="0"/>
        <w:snapToGrid w:val="0"/>
        <w:spacing w:line="600" w:lineRule="exact"/>
        <w:ind w:left="638" w:leftChars="304"/>
        <w:rPr>
          <w:rFonts w:ascii="仿宋" w:hAnsi="仿宋" w:eastAsia="仿宋" w:cs="仿宋"/>
          <w:sz w:val="32"/>
          <w:szCs w:val="32"/>
        </w:rPr>
      </w:pPr>
      <w:r>
        <w:rPr>
          <w:rFonts w:hint="eastAsia" w:ascii="仿宋" w:hAnsi="仿宋" w:eastAsia="仿宋" w:cs="仿宋"/>
          <w:sz w:val="32"/>
          <w:szCs w:val="32"/>
        </w:rPr>
        <w:t>（4）加大专项资金管理使用培训力度，进一步提高基层人员对专项资金管理的重视程度与业务能力。</w:t>
      </w:r>
    </w:p>
    <w:p>
      <w:pPr>
        <w:spacing w:line="560" w:lineRule="exact"/>
        <w:ind w:firstLine="480" w:firstLineChars="150"/>
        <w:rPr>
          <w:rFonts w:ascii="仿宋" w:hAnsi="仿宋" w:eastAsia="仿宋" w:cs="仿宋"/>
          <w:sz w:val="32"/>
          <w:szCs w:val="32"/>
        </w:rPr>
      </w:pPr>
    </w:p>
    <w:p>
      <w:pPr>
        <w:adjustRightInd w:val="0"/>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附件：</w:t>
      </w:r>
      <w:r>
        <w:fldChar w:fldCharType="begin"/>
      </w:r>
      <w:r>
        <w:instrText xml:space="preserve"> HYPERLINK "file:///C:\\Users\\Administrator\\Desktop\\10.18\\绩效自评模板\\2016年永州市直部门整体支出绩效评价指标表.doc" </w:instrText>
      </w:r>
      <w:r>
        <w:fldChar w:fldCharType="separate"/>
      </w:r>
      <w:r>
        <w:rPr>
          <w:rStyle w:val="10"/>
          <w:rFonts w:hint="eastAsia" w:ascii="仿宋" w:hAnsi="仿宋" w:eastAsia="仿宋" w:cs="仿宋"/>
          <w:sz w:val="32"/>
          <w:szCs w:val="32"/>
        </w:rPr>
        <w:t>部门整体支出绩效评价指标表</w:t>
      </w:r>
      <w:r>
        <w:rPr>
          <w:rStyle w:val="10"/>
          <w:rFonts w:hint="eastAsia" w:ascii="仿宋" w:hAnsi="仿宋" w:eastAsia="仿宋" w:cs="仿宋"/>
          <w:sz w:val="32"/>
          <w:szCs w:val="32"/>
        </w:rPr>
        <w:fldChar w:fldCharType="end"/>
      </w:r>
    </w:p>
    <w:p>
      <w:pPr>
        <w:ind w:firstLine="4480" w:firstLineChars="1400"/>
        <w:rPr>
          <w:rFonts w:ascii="仿宋" w:hAnsi="仿宋" w:eastAsia="仿宋" w:cs="仿宋"/>
          <w:sz w:val="32"/>
          <w:szCs w:val="32"/>
        </w:rPr>
      </w:pPr>
    </w:p>
    <w:p>
      <w:pPr>
        <w:ind w:firstLine="4160" w:firstLineChars="1300"/>
        <w:rPr>
          <w:rFonts w:ascii="仿宋" w:hAnsi="仿宋" w:eastAsia="仿宋" w:cs="仿宋"/>
          <w:sz w:val="32"/>
          <w:szCs w:val="32"/>
        </w:rPr>
      </w:pPr>
      <w:r>
        <w:rPr>
          <w:rFonts w:hint="eastAsia" w:ascii="仿宋" w:hAnsi="仿宋" w:eastAsia="仿宋" w:cs="仿宋"/>
          <w:sz w:val="32"/>
          <w:szCs w:val="32"/>
        </w:rPr>
        <w:t>东安县疾病预防控制中心</w:t>
      </w:r>
    </w:p>
    <w:p>
      <w:pPr>
        <w:ind w:firstLine="4800" w:firstLineChars="1500"/>
        <w:rPr>
          <w:rFonts w:ascii="仿宋" w:hAnsi="仿宋" w:eastAsia="仿宋" w:cs="仿宋"/>
          <w:sz w:val="32"/>
          <w:szCs w:val="32"/>
        </w:rPr>
      </w:pPr>
      <w:r>
        <w:rPr>
          <w:rFonts w:hint="eastAsia" w:ascii="仿宋" w:hAnsi="仿宋" w:eastAsia="仿宋" w:cs="仿宋"/>
          <w:sz w:val="32"/>
          <w:szCs w:val="32"/>
        </w:rPr>
        <w:t>2025年4月 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066320"/>
    <w:multiLevelType w:val="singleLevel"/>
    <w:tmpl w:val="5A066320"/>
    <w:lvl w:ilvl="0" w:tentative="0">
      <w:start w:val="2"/>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Y2I4YjVjMjVkMTgxNDE4NzgyNzkyMTcxZjE0ODUifQ=="/>
  </w:docVars>
  <w:rsids>
    <w:rsidRoot w:val="00E023F5"/>
    <w:rsid w:val="00037B95"/>
    <w:rsid w:val="00151FB2"/>
    <w:rsid w:val="0015501A"/>
    <w:rsid w:val="0017128D"/>
    <w:rsid w:val="00273308"/>
    <w:rsid w:val="002A087C"/>
    <w:rsid w:val="003C575A"/>
    <w:rsid w:val="00491393"/>
    <w:rsid w:val="004A139B"/>
    <w:rsid w:val="005A30F2"/>
    <w:rsid w:val="005B2827"/>
    <w:rsid w:val="006117C5"/>
    <w:rsid w:val="0061728F"/>
    <w:rsid w:val="00690B14"/>
    <w:rsid w:val="0073431B"/>
    <w:rsid w:val="00762D52"/>
    <w:rsid w:val="00783181"/>
    <w:rsid w:val="00836368"/>
    <w:rsid w:val="00877BA1"/>
    <w:rsid w:val="00A43554"/>
    <w:rsid w:val="00A44C7D"/>
    <w:rsid w:val="00A76448"/>
    <w:rsid w:val="00AA7045"/>
    <w:rsid w:val="00B30C5E"/>
    <w:rsid w:val="00B74A87"/>
    <w:rsid w:val="00B8098E"/>
    <w:rsid w:val="00C25252"/>
    <w:rsid w:val="00CE0BD6"/>
    <w:rsid w:val="00D116AF"/>
    <w:rsid w:val="00D1790A"/>
    <w:rsid w:val="00D90AB0"/>
    <w:rsid w:val="00DF468F"/>
    <w:rsid w:val="00E023F5"/>
    <w:rsid w:val="00E23B0F"/>
    <w:rsid w:val="00E641CA"/>
    <w:rsid w:val="00E65AF3"/>
    <w:rsid w:val="00E96CA1"/>
    <w:rsid w:val="00EA1F7D"/>
    <w:rsid w:val="00F16E04"/>
    <w:rsid w:val="00F7604E"/>
    <w:rsid w:val="00F94903"/>
    <w:rsid w:val="08190481"/>
    <w:rsid w:val="084022CB"/>
    <w:rsid w:val="08C95C9C"/>
    <w:rsid w:val="091833E8"/>
    <w:rsid w:val="094B4797"/>
    <w:rsid w:val="0A477F1F"/>
    <w:rsid w:val="0CC7676F"/>
    <w:rsid w:val="0D0A4DEE"/>
    <w:rsid w:val="0DBA10EE"/>
    <w:rsid w:val="0F0664B4"/>
    <w:rsid w:val="128834A7"/>
    <w:rsid w:val="16165BCA"/>
    <w:rsid w:val="185D26BA"/>
    <w:rsid w:val="18E8475F"/>
    <w:rsid w:val="1A65311F"/>
    <w:rsid w:val="1BBF17D9"/>
    <w:rsid w:val="1EFC55E3"/>
    <w:rsid w:val="1F1C3E87"/>
    <w:rsid w:val="21890303"/>
    <w:rsid w:val="26270280"/>
    <w:rsid w:val="282151DD"/>
    <w:rsid w:val="2BEE1256"/>
    <w:rsid w:val="2DE806FF"/>
    <w:rsid w:val="2E6952B5"/>
    <w:rsid w:val="2F331020"/>
    <w:rsid w:val="39000043"/>
    <w:rsid w:val="3B887CDC"/>
    <w:rsid w:val="3E0A6F32"/>
    <w:rsid w:val="3E530817"/>
    <w:rsid w:val="3F81663C"/>
    <w:rsid w:val="442742D8"/>
    <w:rsid w:val="476A02D4"/>
    <w:rsid w:val="4ED676B8"/>
    <w:rsid w:val="51735EBE"/>
    <w:rsid w:val="54FF32BA"/>
    <w:rsid w:val="61A161B8"/>
    <w:rsid w:val="640D3093"/>
    <w:rsid w:val="66EC1ADE"/>
    <w:rsid w:val="6B9A5E08"/>
    <w:rsid w:val="6F8A598B"/>
    <w:rsid w:val="73275239"/>
    <w:rsid w:val="79CE7DF9"/>
    <w:rsid w:val="7C590591"/>
    <w:rsid w:val="7CB76C6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autoRedefine/>
    <w:qFormat/>
    <w:uiPriority w:val="99"/>
    <w:rPr>
      <w:sz w:val="18"/>
      <w:szCs w:val="18"/>
    </w:rPr>
  </w:style>
  <w:style w:type="paragraph" w:styleId="3">
    <w:name w:val="footer"/>
    <w:basedOn w:val="1"/>
    <w:link w:val="12"/>
    <w:autoRedefine/>
    <w:qFormat/>
    <w:uiPriority w:val="99"/>
    <w:pPr>
      <w:tabs>
        <w:tab w:val="center" w:pos="4153"/>
        <w:tab w:val="right" w:pos="8306"/>
      </w:tabs>
      <w:snapToGrid w:val="0"/>
      <w:jc w:val="left"/>
    </w:pPr>
    <w:rPr>
      <w:sz w:val="18"/>
      <w:szCs w:val="18"/>
    </w:rPr>
  </w:style>
  <w:style w:type="paragraph" w:styleId="4">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99"/>
    <w:pPr>
      <w:widowControl/>
      <w:spacing w:before="100" w:beforeAutospacing="1" w:after="150" w:line="384" w:lineRule="atLeast"/>
      <w:jc w:val="left"/>
    </w:pPr>
    <w:rPr>
      <w:rFonts w:ascii="宋体" w:hAnsi="宋体" w:cs="宋体"/>
      <w:kern w:val="0"/>
      <w:sz w:val="24"/>
    </w:rPr>
  </w:style>
  <w:style w:type="character" w:styleId="8">
    <w:name w:val="Strong"/>
    <w:basedOn w:val="7"/>
    <w:autoRedefine/>
    <w:qFormat/>
    <w:locked/>
    <w:uiPriority w:val="0"/>
    <w:rPr>
      <w:b/>
    </w:rPr>
  </w:style>
  <w:style w:type="character" w:styleId="9">
    <w:name w:val="FollowedHyperlink"/>
    <w:basedOn w:val="7"/>
    <w:autoRedefine/>
    <w:qFormat/>
    <w:uiPriority w:val="99"/>
    <w:rPr>
      <w:rFonts w:cs="Times New Roman"/>
      <w:color w:val="800080"/>
      <w:u w:val="single"/>
    </w:rPr>
  </w:style>
  <w:style w:type="character" w:styleId="10">
    <w:name w:val="Hyperlink"/>
    <w:basedOn w:val="7"/>
    <w:autoRedefine/>
    <w:qFormat/>
    <w:uiPriority w:val="99"/>
    <w:rPr>
      <w:rFonts w:cs="Times New Roman"/>
      <w:color w:val="0000FF"/>
      <w:u w:val="single"/>
    </w:rPr>
  </w:style>
  <w:style w:type="character" w:customStyle="1" w:styleId="11">
    <w:name w:val="批注框文本 字符"/>
    <w:basedOn w:val="7"/>
    <w:link w:val="2"/>
    <w:autoRedefine/>
    <w:qFormat/>
    <w:locked/>
    <w:uiPriority w:val="99"/>
    <w:rPr>
      <w:rFonts w:cs="Times New Roman"/>
      <w:kern w:val="2"/>
      <w:sz w:val="18"/>
      <w:szCs w:val="18"/>
    </w:rPr>
  </w:style>
  <w:style w:type="character" w:customStyle="1" w:styleId="12">
    <w:name w:val="页脚 字符"/>
    <w:basedOn w:val="7"/>
    <w:link w:val="3"/>
    <w:autoRedefine/>
    <w:qFormat/>
    <w:locked/>
    <w:uiPriority w:val="99"/>
    <w:rPr>
      <w:rFonts w:cs="Times New Roman"/>
      <w:kern w:val="2"/>
      <w:sz w:val="18"/>
      <w:szCs w:val="18"/>
    </w:rPr>
  </w:style>
  <w:style w:type="character" w:customStyle="1" w:styleId="13">
    <w:name w:val="页眉 字符"/>
    <w:basedOn w:val="7"/>
    <w:link w:val="4"/>
    <w:autoRedefine/>
    <w:qFormat/>
    <w:locked/>
    <w:uiPriority w:val="99"/>
    <w:rPr>
      <w:rFonts w:cs="Times New Roman"/>
      <w:kern w:val="2"/>
      <w:sz w:val="18"/>
      <w:szCs w:val="18"/>
    </w:rPr>
  </w:style>
  <w:style w:type="paragraph" w:customStyle="1" w:styleId="14">
    <w:name w:val="18"/>
    <w:basedOn w:val="1"/>
    <w:autoRedefine/>
    <w:qFormat/>
    <w:uiPriority w:val="0"/>
    <w:rPr>
      <w:rFonts w:hint="eastAsia" w:ascii="等线" w:hAnsi="等线" w:eastAsia="等线"/>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9</Pages>
  <Words>668</Words>
  <Characters>3812</Characters>
  <Lines>31</Lines>
  <Paragraphs>8</Paragraphs>
  <TotalTime>367</TotalTime>
  <ScaleCrop>false</ScaleCrop>
  <LinksUpToDate>false</LinksUpToDate>
  <CharactersWithSpaces>4472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2015-08-13T01:19:00Z</dcterms:created>
  <dc:creator>Lenovo User</dc:creator>
  <cp:lastModifiedBy>彤</cp:lastModifiedBy>
  <cp:lastPrinted>2013-10-09T02:05:00Z</cp:lastPrinted>
  <dcterms:modified xsi:type="dcterms:W3CDTF">2025-09-15T07:41:04Z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D2F95F2C1997439FB42AC14BDB6A8251_13</vt:lpwstr>
  </property>
</Properties>
</file>