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20" w:lineRule="exact"/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  <w:t>附件7</w:t>
      </w:r>
    </w:p>
    <w:p>
      <w:pPr>
        <w:pStyle w:val="2"/>
        <w:spacing w:line="520" w:lineRule="exact"/>
        <w:jc w:val="center"/>
        <w:rPr>
          <w:rFonts w:asci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</w:pPr>
      <w:r>
        <w:rPr>
          <w:rFonts w:asci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  <w:t>永州市征地范围内成片用材林木、零星树木、竹类青苗补偿标准</w:t>
      </w:r>
    </w:p>
    <w:p>
      <w:pPr>
        <w:pStyle w:val="3"/>
        <w:widowControl w:val="0"/>
        <w:shd w:val="clear" w:color="auto" w:fill="FFFFFF"/>
        <w:spacing w:line="520" w:lineRule="exact"/>
        <w:jc w:val="center"/>
        <w:rPr>
          <w:rFonts w:eastAsia="仿宋_GB2312"/>
          <w:b/>
          <w:bCs/>
          <w:color w:val="000000"/>
        </w:rPr>
      </w:pPr>
      <w:r>
        <w:rPr>
          <w:rFonts w:eastAsia="仿宋_GB2312"/>
          <w:b/>
          <w:bCs/>
          <w:color w:val="000000"/>
          <w:sz w:val="21"/>
          <w:szCs w:val="21"/>
        </w:rPr>
        <w:t xml:space="preserve">                                                  </w:t>
      </w:r>
      <w:r>
        <w:rPr>
          <w:rFonts w:eastAsia="仿宋_GB2312"/>
          <w:color w:val="000000"/>
        </w:rPr>
        <w:t>单位：元/株</w:t>
      </w:r>
    </w:p>
    <w:tbl>
      <w:tblPr>
        <w:tblStyle w:val="5"/>
        <w:tblW w:w="916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1"/>
        <w:gridCol w:w="1175"/>
        <w:gridCol w:w="1067"/>
        <w:gridCol w:w="1068"/>
        <w:gridCol w:w="1298"/>
        <w:gridCol w:w="1346"/>
        <w:gridCol w:w="133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napToGrid w:val="0"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名 称</w:t>
            </w:r>
          </w:p>
        </w:tc>
        <w:tc>
          <w:tcPr>
            <w:tcW w:w="3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苗高（幼树）</w:t>
            </w:r>
          </w:p>
        </w:tc>
        <w:tc>
          <w:tcPr>
            <w:tcW w:w="39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胸径（成树）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spacing w:line="400" w:lineRule="exact"/>
              <w:rPr>
                <w:rFonts w:ascii="Times New Roman" w:hAnsi="Times New Roman" w:eastAsia="黑体" w:cs="Times New Roman"/>
                <w:color w:val="000000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0.6米以下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0.6—2米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2米以上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20—30厘米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30—40厘米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40厘米以上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杉、柏、松、</w:t>
            </w:r>
          </w:p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梓、香椿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40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桐、苦楝、杂树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40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樟树、玉兰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15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30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100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300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桂花树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15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40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150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400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楠木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30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80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250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450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750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植树造林</w:t>
            </w:r>
          </w:p>
        </w:tc>
        <w:tc>
          <w:tcPr>
            <w:tcW w:w="7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一年内不按苗高补偿，每亩补偿造林费4000元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灌木林</w:t>
            </w:r>
          </w:p>
        </w:tc>
        <w:tc>
          <w:tcPr>
            <w:tcW w:w="7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1500元/亩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楠竹</w:t>
            </w:r>
          </w:p>
        </w:tc>
        <w:tc>
          <w:tcPr>
            <w:tcW w:w="7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2000元/亩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水竹、丛竹</w:t>
            </w:r>
          </w:p>
        </w:tc>
        <w:tc>
          <w:tcPr>
            <w:tcW w:w="7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1500元/亩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成片林地</w:t>
            </w:r>
          </w:p>
        </w:tc>
        <w:tc>
          <w:tcPr>
            <w:tcW w:w="7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4000元/亩（按标准密度达到60%以上的）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绿化草地</w:t>
            </w:r>
          </w:p>
        </w:tc>
        <w:tc>
          <w:tcPr>
            <w:tcW w:w="7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3000元/亩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91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00" w:lineRule="exact"/>
              <w:ind w:left="-80" w:leftChars="-38" w:firstLine="480" w:firstLineChars="20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备注：1.零星树木按此标准补偿；</w:t>
            </w:r>
          </w:p>
          <w:p>
            <w:pPr>
              <w:widowControl w:val="0"/>
              <w:spacing w:line="400" w:lineRule="exact"/>
              <w:ind w:firstLine="1200" w:firstLineChars="50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2.不影响建设的树木，应保留的风景林，按此标准的200%—400%补偿；</w:t>
            </w:r>
          </w:p>
          <w:p>
            <w:pPr>
              <w:widowControl w:val="0"/>
              <w:spacing w:line="400" w:lineRule="exact"/>
              <w:ind w:firstLine="1200" w:firstLineChars="50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3.胸径、胸围按树根部以上1.5米处计算；</w:t>
            </w:r>
          </w:p>
          <w:p>
            <w:pPr>
              <w:widowControl w:val="0"/>
              <w:spacing w:line="400" w:lineRule="exact"/>
              <w:ind w:firstLine="1200" w:firstLineChars="500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4.此补偿费含育林费和砍运费。</w:t>
            </w:r>
          </w:p>
        </w:tc>
      </w:tr>
    </w:tbl>
    <w:p>
      <w:pPr>
        <w:pStyle w:val="2"/>
        <w:spacing w:line="410" w:lineRule="exact"/>
        <w:rPr>
          <w:rFonts w:ascii="Times New Roman" w:eastAsia="仿宋_GB2312" w:cs="Times New Roman"/>
          <w:color w:val="000000"/>
          <w:kern w:val="0"/>
          <w:sz w:val="32"/>
          <w:szCs w:val="32"/>
          <w:lang w:val="zh-CN"/>
        </w:rPr>
      </w:pPr>
    </w:p>
    <w:p>
      <w:pPr>
        <w:pStyle w:val="3"/>
        <w:rPr>
          <w:color w:val="000000"/>
          <w:lang w:val="zh-CN"/>
        </w:rPr>
      </w:pPr>
    </w:p>
    <w:p>
      <w:pPr>
        <w:pStyle w:val="4"/>
        <w:rPr>
          <w:rFonts w:ascii="Times New Roman" w:hAnsi="Times New Roman" w:cs="Times New Roman"/>
          <w:color w:val="000000"/>
          <w:lang w:val="zh-CN"/>
        </w:rPr>
      </w:pPr>
    </w:p>
    <w:p>
      <w:pPr>
        <w:pStyle w:val="4"/>
        <w:rPr>
          <w:rFonts w:ascii="Times New Roman" w:hAnsi="Times New Roman" w:cs="Times New Roman"/>
          <w:color w:val="000000"/>
          <w:lang w:val="zh-CN"/>
        </w:rPr>
      </w:pPr>
    </w:p>
    <w:p>
      <w:bookmarkStart w:id="0" w:name="_GoBack"/>
      <w:bookmarkEnd w:id="0"/>
    </w:p>
    <w:sectPr>
      <w:pgSz w:w="11906" w:h="16838"/>
      <w:pgMar w:top="175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Dk4MTMzNGNiNmU5OWIyZDkyZTk2ZDNkMzdjZjgifQ=="/>
  </w:docVars>
  <w:rsids>
    <w:rsidRoot w:val="00000000"/>
    <w:rsid w:val="2FF3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next w:val="3"/>
    <w:qFormat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  <w:style w:type="paragraph" w:styleId="3">
    <w:name w:val="Normal (Web)"/>
    <w:basedOn w:val="1"/>
    <w:next w:val="4"/>
    <w:unhideWhenUsed/>
    <w:qFormat/>
    <w:uiPriority w:val="99"/>
    <w:rPr>
      <w:rFonts w:ascii="Times New Roman" w:hAnsi="Times New Roman" w:cs="Times New Roman"/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Administrator.2016-20170517BZ</dc:creator>
  <cp:lastModifiedBy>唐亚云</cp:lastModifiedBy>
  <dcterms:modified xsi:type="dcterms:W3CDTF">2024-05-15T03:05:15Z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F875958EB7E54C508D85EF5437077EF2_12</vt:lpwstr>
  </property>
</Properties>
</file>