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392A">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b/>
          <w:bCs/>
          <w:sz w:val="44"/>
          <w:szCs w:val="44"/>
        </w:rPr>
      </w:pPr>
      <w:bookmarkStart w:id="0" w:name="_Toc4316"/>
      <w:bookmarkStart w:id="1" w:name="_Toc3758"/>
      <w:bookmarkStart w:id="2" w:name="_Toc1554"/>
      <w:bookmarkStart w:id="3" w:name="_Toc12075"/>
      <w:bookmarkStart w:id="4" w:name="_Toc5979"/>
      <w:bookmarkStart w:id="5" w:name="_Toc28467"/>
      <w:bookmarkStart w:id="6" w:name="_Toc19540"/>
      <w:bookmarkStart w:id="7" w:name="_Toc10344"/>
      <w:bookmarkStart w:id="8" w:name="_Toc30868"/>
      <w:bookmarkStart w:id="9" w:name="_Toc8965"/>
      <w:r>
        <w:rPr>
          <w:rFonts w:hint="eastAsia" w:eastAsia="方正小标宋简体" w:cs="Times New Roman"/>
          <w:b/>
          <w:bCs/>
          <w:sz w:val="44"/>
          <w:szCs w:val="44"/>
          <w:lang w:val="en-US" w:eastAsia="zh-CN"/>
        </w:rPr>
        <w:t>永州</w:t>
      </w:r>
      <w:r>
        <w:rPr>
          <w:rFonts w:hint="default" w:ascii="Times New Roman" w:hAnsi="Times New Roman" w:eastAsia="方正小标宋简体" w:cs="Times New Roman"/>
          <w:b/>
          <w:bCs/>
          <w:sz w:val="44"/>
          <w:szCs w:val="44"/>
        </w:rPr>
        <w:t>市</w:t>
      </w:r>
      <w:r>
        <w:rPr>
          <w:rFonts w:hint="default" w:ascii="Times New Roman" w:hAnsi="Times New Roman" w:eastAsia="方正小标宋简体" w:cs="Times New Roman"/>
          <w:b/>
          <w:bCs/>
          <w:sz w:val="44"/>
          <w:szCs w:val="44"/>
          <w:lang w:val="en-US" w:eastAsia="zh-CN"/>
        </w:rPr>
        <w:t>财政项目</w:t>
      </w:r>
      <w:r>
        <w:rPr>
          <w:rFonts w:hint="default" w:ascii="Times New Roman" w:hAnsi="Times New Roman" w:eastAsia="方正小标宋简体" w:cs="Times New Roman"/>
          <w:b/>
          <w:bCs/>
          <w:sz w:val="44"/>
          <w:szCs w:val="44"/>
        </w:rPr>
        <w:t>支出绩效评价报告</w:t>
      </w:r>
      <w:bookmarkEnd w:id="0"/>
      <w:bookmarkEnd w:id="1"/>
      <w:bookmarkEnd w:id="2"/>
      <w:bookmarkEnd w:id="3"/>
      <w:bookmarkEnd w:id="4"/>
      <w:bookmarkEnd w:id="5"/>
      <w:bookmarkEnd w:id="6"/>
      <w:bookmarkEnd w:id="7"/>
      <w:bookmarkEnd w:id="8"/>
      <w:bookmarkEnd w:id="9"/>
    </w:p>
    <w:p w14:paraId="24BE53BF">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2687EAD4">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1EEB392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评价项目类型：</w:t>
      </w:r>
      <w:r>
        <w:rPr>
          <w:rFonts w:hint="default" w:ascii="Times New Roman" w:hAnsi="Times New Roman" w:eastAsia="仿宋_GB2312" w:cs="Times New Roman"/>
          <w:bCs/>
          <w:sz w:val="32"/>
          <w:szCs w:val="32"/>
        </w:rPr>
        <w:t>项目实施过程评价□ 项目完成结果评价</w:t>
      </w:r>
      <w:r>
        <w:rPr>
          <w:rFonts w:hint="default" w:ascii="Times New Roman" w:hAnsi="Times New Roman" w:eastAsia="仿宋_GB2312" w:cs="Times New Roman"/>
          <w:bCs/>
          <w:sz w:val="32"/>
          <w:szCs w:val="32"/>
        </w:rPr>
        <w:sym w:font="Wingdings" w:char="00FE"/>
      </w:r>
    </w:p>
    <w:p w14:paraId="20EA108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sz w:val="32"/>
          <w:szCs w:val="32"/>
        </w:rPr>
      </w:pPr>
    </w:p>
    <w:p w14:paraId="7C177C42">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u w:val="single"/>
          <w:lang w:val="en-US" w:eastAsia="zh-CN"/>
        </w:rPr>
      </w:pPr>
      <w:r>
        <w:rPr>
          <w:rFonts w:hint="default" w:ascii="Times New Roman" w:hAnsi="Times New Roman" w:eastAsia="黑体" w:cs="Times New Roman"/>
          <w:bCs/>
          <w:sz w:val="32"/>
          <w:szCs w:val="32"/>
        </w:rPr>
        <w:t>评价项目</w:t>
      </w:r>
      <w:r>
        <w:rPr>
          <w:rFonts w:hint="default" w:ascii="Times New Roman" w:hAnsi="Times New Roman" w:eastAsia="黑体" w:cs="Times New Roman"/>
          <w:bCs/>
          <w:sz w:val="32"/>
          <w:szCs w:val="32"/>
          <w:lang w:eastAsia="zh-CN"/>
        </w:rPr>
        <w:t>名称</w:t>
      </w:r>
      <w:r>
        <w:rPr>
          <w:rFonts w:hint="default" w:ascii="Times New Roman" w:hAnsi="Times New Roman" w:eastAsia="黑体" w:cs="Times New Roman"/>
          <w:bCs/>
          <w:sz w:val="32"/>
          <w:szCs w:val="32"/>
        </w:rPr>
        <w:t>：</w:t>
      </w:r>
      <w:r>
        <w:rPr>
          <w:rFonts w:hint="default" w:ascii="Times New Roman" w:hAnsi="Times New Roman" w:eastAsia="仿宋_GB2312" w:cs="Times New Roman"/>
          <w:bCs/>
          <w:sz w:val="32"/>
          <w:szCs w:val="32"/>
          <w:u w:val="single"/>
        </w:rPr>
        <w:t>2023年永州市</w:t>
      </w:r>
      <w:r>
        <w:rPr>
          <w:rFonts w:hint="eastAsia" w:eastAsia="仿宋_GB2312" w:cs="Times New Roman"/>
          <w:bCs/>
          <w:sz w:val="32"/>
          <w:szCs w:val="32"/>
          <w:u w:val="single"/>
          <w:lang w:val="en-US" w:eastAsia="zh-CN"/>
        </w:rPr>
        <w:t>冷水滩区园林绿化面积养护及新增面积环卫经费</w:t>
      </w:r>
      <w:r>
        <w:rPr>
          <w:rFonts w:hint="default" w:ascii="Times New Roman" w:hAnsi="Times New Roman" w:eastAsia="仿宋_GB2312" w:cs="Times New Roman"/>
          <w:bCs/>
          <w:sz w:val="32"/>
          <w:szCs w:val="32"/>
          <w:u w:val="single"/>
        </w:rPr>
        <w:t>专项资金绩效评价</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lang w:val="en-US" w:eastAsia="zh-CN"/>
        </w:rPr>
        <w:t xml:space="preserve"> </w:t>
      </w:r>
    </w:p>
    <w:p w14:paraId="60ACCDC4">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40F98467">
      <w:pPr>
        <w:keepNext w:val="0"/>
        <w:keepLines w:val="0"/>
        <w:pageBreakBefore w:val="0"/>
        <w:widowControl w:val="0"/>
        <w:kinsoku/>
        <w:wordWrap/>
        <w:overflowPunct/>
        <w:topLinePunct w:val="0"/>
        <w:autoSpaceDE/>
        <w:autoSpaceDN/>
        <w:bidi w:val="0"/>
        <w:adjustRightInd/>
        <w:snapToGrid/>
        <w:spacing w:line="600" w:lineRule="exact"/>
        <w:ind w:left="2240" w:hanging="2394"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pacing w:val="11"/>
          <w:sz w:val="32"/>
          <w:szCs w:val="32"/>
        </w:rPr>
        <w:t>评</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价</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金</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z w:val="32"/>
          <w:szCs w:val="32"/>
        </w:rPr>
        <w:t>额：</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highlight w:val="none"/>
          <w:u w:val="single"/>
        </w:rPr>
        <w:t xml:space="preserve">      </w:t>
      </w:r>
      <w:r>
        <w:rPr>
          <w:rFonts w:hint="eastAsia" w:eastAsia="仿宋_GB2312" w:cs="Times New Roman"/>
          <w:bCs/>
          <w:sz w:val="32"/>
          <w:szCs w:val="32"/>
          <w:highlight w:val="none"/>
          <w:u w:val="single"/>
          <w:lang w:val="en-US" w:eastAsia="zh-CN"/>
        </w:rPr>
        <w:t>6815.35</w:t>
      </w:r>
      <w:r>
        <w:rPr>
          <w:rFonts w:hint="default" w:ascii="Times New Roman" w:hAnsi="Times New Roman" w:eastAsia="仿宋_GB2312" w:cs="Times New Roman"/>
          <w:bCs/>
          <w:sz w:val="32"/>
          <w:szCs w:val="32"/>
          <w:highlight w:val="none"/>
          <w:u w:val="single"/>
        </w:rPr>
        <w:t xml:space="preserve">万元  </w:t>
      </w:r>
      <w:r>
        <w:rPr>
          <w:rFonts w:hint="eastAsia"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p>
    <w:p w14:paraId="6BD2F659">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黑体" w:cs="Times New Roman"/>
          <w:bCs/>
          <w:sz w:val="32"/>
          <w:szCs w:val="32"/>
        </w:rPr>
      </w:pPr>
    </w:p>
    <w:p w14:paraId="0FC73592">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z w:val="32"/>
          <w:szCs w:val="32"/>
        </w:rPr>
        <w:t>评价项目单位：</w:t>
      </w:r>
      <w:r>
        <w:rPr>
          <w:rFonts w:hint="eastAsia" w:eastAsia="仿宋_GB2312" w:cs="Times New Roman"/>
          <w:bCs/>
          <w:sz w:val="32"/>
          <w:szCs w:val="32"/>
          <w:u w:val="single"/>
          <w:lang w:val="en-US" w:eastAsia="zh-CN"/>
        </w:rPr>
        <w:t xml:space="preserve">冷水滩区城市环境卫生和园林绿化服务中心   </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 xml:space="preserve">      </w:t>
      </w:r>
    </w:p>
    <w:p w14:paraId="09433B3D">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1B86E2B7">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项目主管部门：</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u w:val="single"/>
          <w:lang w:val="en-US" w:eastAsia="zh-CN"/>
        </w:rPr>
        <w:t>永州市城市园林绿化服务中心</w:t>
      </w:r>
      <w:r>
        <w:rPr>
          <w:rFonts w:hint="default" w:ascii="Times New Roman" w:hAnsi="Times New Roman" w:eastAsia="仿宋_GB2312" w:cs="Times New Roman"/>
          <w:bCs/>
          <w:sz w:val="32"/>
          <w:szCs w:val="32"/>
          <w:u w:val="single"/>
        </w:rPr>
        <w:t xml:space="preserve"> </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p>
    <w:p w14:paraId="6AB4A8F7">
      <w:pPr>
        <w:keepNext w:val="0"/>
        <w:keepLines w:val="0"/>
        <w:pageBreakBefore w:val="0"/>
        <w:widowControl w:val="0"/>
        <w:kinsoku/>
        <w:wordWrap/>
        <w:overflowPunct/>
        <w:topLinePunct w:val="0"/>
        <w:autoSpaceDE/>
        <w:autoSpaceDN/>
        <w:bidi w:val="0"/>
        <w:adjustRightInd/>
        <w:snapToGrid/>
        <w:spacing w:line="700" w:lineRule="exact"/>
        <w:ind w:left="2240" w:hanging="2240" w:hangingChars="700"/>
        <w:textAlignment w:val="auto"/>
        <w:rPr>
          <w:rFonts w:hint="default" w:ascii="Times New Roman" w:hAnsi="Times New Roman" w:eastAsia="仿宋" w:cs="Times New Roman"/>
          <w:bCs/>
          <w:sz w:val="32"/>
          <w:szCs w:val="32"/>
        </w:rPr>
      </w:pPr>
    </w:p>
    <w:p w14:paraId="17695F6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p>
    <w:p w14:paraId="76E61604">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221345FB">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2778838B">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62088248">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报告日期：202</w:t>
      </w:r>
      <w:r>
        <w:rPr>
          <w:rFonts w:hint="eastAsia" w:eastAsia="黑体" w:cs="Times New Roman"/>
          <w:sz w:val="36"/>
          <w:szCs w:val="36"/>
          <w:lang w:val="en-US" w:eastAsia="zh-CN"/>
        </w:rPr>
        <w:t>5</w:t>
      </w:r>
      <w:r>
        <w:rPr>
          <w:rFonts w:hint="default" w:ascii="Times New Roman" w:hAnsi="Times New Roman" w:eastAsia="黑体" w:cs="Times New Roman"/>
          <w:sz w:val="36"/>
          <w:szCs w:val="36"/>
        </w:rPr>
        <w:t>年</w:t>
      </w:r>
      <w:r>
        <w:rPr>
          <w:rFonts w:hint="eastAsia" w:eastAsia="黑体" w:cs="Times New Roman"/>
          <w:sz w:val="36"/>
          <w:szCs w:val="36"/>
          <w:lang w:val="en-US" w:eastAsia="zh-CN"/>
        </w:rPr>
        <w:t>01</w:t>
      </w:r>
      <w:r>
        <w:rPr>
          <w:rFonts w:hint="default" w:ascii="Times New Roman" w:hAnsi="Times New Roman" w:eastAsia="黑体" w:cs="Times New Roman"/>
          <w:sz w:val="36"/>
          <w:szCs w:val="36"/>
        </w:rPr>
        <w:t>月</w:t>
      </w:r>
    </w:p>
    <w:p w14:paraId="3FC8B9BA">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0B2602D6">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09CD19B2">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43BB7D45">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04331541">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r>
        <w:rPr>
          <w:rFonts w:hint="default" w:ascii="Times New Roman" w:hAnsi="Times New Roman" w:eastAsia="方正小标宋简体" w:cs="Times New Roman"/>
          <w:b w:val="0"/>
          <w:bCs w:val="0"/>
          <w:color w:val="000000"/>
          <w:sz w:val="52"/>
          <w:szCs w:val="52"/>
        </w:rPr>
        <w:t>202</w:t>
      </w:r>
      <w:r>
        <w:rPr>
          <w:rFonts w:hint="eastAsia" w:eastAsia="方正小标宋简体" w:cs="Times New Roman"/>
          <w:b w:val="0"/>
          <w:bCs w:val="0"/>
          <w:color w:val="000000"/>
          <w:sz w:val="52"/>
          <w:szCs w:val="52"/>
          <w:lang w:val="en-US" w:eastAsia="zh-CN"/>
        </w:rPr>
        <w:t>3</w:t>
      </w:r>
      <w:r>
        <w:rPr>
          <w:rFonts w:hint="default" w:ascii="Times New Roman" w:hAnsi="Times New Roman" w:eastAsia="方正小标宋简体" w:cs="Times New Roman"/>
          <w:b w:val="0"/>
          <w:bCs w:val="0"/>
          <w:color w:val="000000"/>
          <w:sz w:val="52"/>
          <w:szCs w:val="52"/>
        </w:rPr>
        <w:t>年度财政项目支出绩效评价表</w:t>
      </w:r>
    </w:p>
    <w:p w14:paraId="702ECBAC">
      <w:pPr>
        <w:tabs>
          <w:tab w:val="left" w:pos="426"/>
          <w:tab w:val="left" w:pos="709"/>
          <w:tab w:val="left" w:pos="1678"/>
        </w:tabs>
        <w:spacing w:line="360" w:lineRule="auto"/>
        <w:jc w:val="right"/>
        <w:rPr>
          <w:rFonts w:hint="eastAsia" w:ascii="Times New Roman" w:hAnsi="Times New Roman" w:eastAsia="仿宋_GB2312" w:cs="Times New Roman"/>
          <w:bCs/>
          <w:sz w:val="24"/>
          <w:szCs w:val="24"/>
          <w:u w:val="none"/>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24"/>
        </w:rPr>
        <w:t xml:space="preserve">    </w:t>
      </w:r>
    </w:p>
    <w:tbl>
      <w:tblPr>
        <w:tblStyle w:val="19"/>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966"/>
        <w:gridCol w:w="1990"/>
        <w:gridCol w:w="1555"/>
        <w:gridCol w:w="1288"/>
        <w:gridCol w:w="2181"/>
      </w:tblGrid>
      <w:tr w14:paraId="55EF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4FEE2DEE">
            <w:pPr>
              <w:widowControl/>
              <w:spacing w:line="300" w:lineRule="exact"/>
              <w:ind w:left="0" w:leftChars="0" w:firstLine="0" w:firstLineChars="0"/>
              <w:jc w:val="left"/>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项目基本情况</w:t>
            </w:r>
          </w:p>
          <w:p w14:paraId="64D90A8C">
            <w:pPr>
              <w:widowControl/>
              <w:spacing w:line="300" w:lineRule="exact"/>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基</w:t>
            </w:r>
          </w:p>
          <w:p w14:paraId="6A897E19">
            <w:pPr>
              <w:widowControl/>
              <w:spacing w:line="300" w:lineRule="exact"/>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本</w:t>
            </w:r>
          </w:p>
          <w:p w14:paraId="1E019714">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r>
              <w:rPr>
                <w:rFonts w:hint="eastAsia" w:ascii="仿宋" w:hAnsi="仿宋" w:eastAsia="仿宋" w:cs="仿宋"/>
                <w:color w:val="auto"/>
                <w:kern w:val="0"/>
                <w:sz w:val="22"/>
                <w:szCs w:val="22"/>
                <w:highlight w:val="none"/>
                <w:lang w:bidi="ar"/>
              </w:rPr>
              <w:t>情</w:t>
            </w:r>
          </w:p>
        </w:tc>
        <w:tc>
          <w:tcPr>
            <w:tcW w:w="1032" w:type="pct"/>
            <w:tcBorders>
              <w:top w:val="single" w:color="auto" w:sz="4" w:space="0"/>
              <w:left w:val="single" w:color="auto" w:sz="4" w:space="0"/>
              <w:bottom w:val="single" w:color="auto" w:sz="4" w:space="0"/>
              <w:right w:val="single" w:color="auto" w:sz="4" w:space="0"/>
            </w:tcBorders>
            <w:noWrap w:val="0"/>
            <w:vAlign w:val="center"/>
          </w:tcPr>
          <w:p w14:paraId="40474D3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项目名称</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19C1FCFF">
            <w:pPr>
              <w:widowControl/>
              <w:spacing w:line="300" w:lineRule="exact"/>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2023年永州市冷水滩区</w:t>
            </w:r>
            <w:r>
              <w:rPr>
                <w:rFonts w:hint="eastAsia" w:eastAsia="仿宋_GB2312" w:cs="仿宋_GB2312"/>
                <w:color w:val="auto"/>
                <w:kern w:val="0"/>
                <w:sz w:val="22"/>
                <w:szCs w:val="22"/>
                <w:highlight w:val="none"/>
                <w:lang w:val="en-US" w:eastAsia="zh-CN" w:bidi="ar"/>
              </w:rPr>
              <w:t>园林</w:t>
            </w:r>
            <w:r>
              <w:rPr>
                <w:rFonts w:hint="eastAsia" w:ascii="Times New Roman" w:hAnsi="Times New Roman" w:eastAsia="仿宋_GB2312" w:cs="仿宋_GB2312"/>
                <w:color w:val="auto"/>
                <w:kern w:val="0"/>
                <w:sz w:val="22"/>
                <w:szCs w:val="22"/>
                <w:highlight w:val="none"/>
                <w:lang w:val="en-US" w:eastAsia="zh-CN" w:bidi="ar"/>
              </w:rPr>
              <w:t>绿化面积养护及新增面积环卫经费专项</w:t>
            </w:r>
          </w:p>
        </w:tc>
      </w:tr>
      <w:tr w14:paraId="6363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6726767">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2A98AB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项目内容</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54EF5E3">
            <w:pPr>
              <w:pStyle w:val="5"/>
              <w:keepNext/>
              <w:keepLines/>
              <w:pageBreakBefore w:val="0"/>
              <w:widowControl w:val="0"/>
              <w:shd w:val="clear"/>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Times New Roman" w:hAnsi="Times New Roman" w:eastAsia="仿宋_GB2312" w:cs="仿宋_GB2312"/>
                <w:color w:val="auto"/>
                <w:kern w:val="0"/>
                <w:sz w:val="22"/>
                <w:szCs w:val="22"/>
                <w:highlight w:val="none"/>
                <w:lang w:val="en-US" w:eastAsia="zh-CN" w:bidi="ar"/>
              </w:rPr>
            </w:pPr>
            <w:bookmarkStart w:id="10" w:name="_Toc21830"/>
            <w:bookmarkStart w:id="11" w:name="_Toc18428"/>
            <w:r>
              <w:rPr>
                <w:rFonts w:hint="eastAsia" w:ascii="Times New Roman" w:hAnsi="Times New Roman" w:eastAsia="仿宋_GB2312" w:cs="仿宋_GB2312"/>
                <w:color w:val="auto"/>
                <w:kern w:val="0"/>
                <w:sz w:val="22"/>
                <w:szCs w:val="22"/>
                <w:highlight w:val="none"/>
                <w:lang w:val="en-US" w:eastAsia="zh-CN" w:bidi="ar"/>
              </w:rPr>
              <w:t>辖区内主次街道、城中村、无物业管理小区、安置小区、背街小巷、社会广场、市直管公园及广场等公共区域的清扫保洁和绿化养护；公共设施清洗；水域保洁；辖区内公厕、垃圾中转站、果皮箱、环卫绿化相关作业车辆等的维护管理。</w:t>
            </w:r>
            <w:bookmarkEnd w:id="10"/>
            <w:bookmarkEnd w:id="11"/>
          </w:p>
        </w:tc>
      </w:tr>
      <w:tr w14:paraId="788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D6AF17D">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7ECF56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项目单位</w:t>
            </w:r>
          </w:p>
        </w:tc>
        <w:tc>
          <w:tcPr>
            <w:tcW w:w="1862" w:type="pct"/>
            <w:gridSpan w:val="2"/>
            <w:tcBorders>
              <w:top w:val="single" w:color="auto" w:sz="4" w:space="0"/>
              <w:left w:val="single" w:color="auto" w:sz="4" w:space="0"/>
              <w:bottom w:val="single" w:color="auto" w:sz="4" w:space="0"/>
              <w:right w:val="single" w:color="auto" w:sz="4" w:space="0"/>
            </w:tcBorders>
            <w:noWrap w:val="0"/>
            <w:vAlign w:val="center"/>
          </w:tcPr>
          <w:p w14:paraId="38CCBB9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永州市冷水滩区城市环境卫生和园林绿化服务中心</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42B0FD9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主管部门</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6524795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永州市城市园林绿化服务中心</w:t>
            </w:r>
            <w:r>
              <w:rPr>
                <w:rFonts w:hint="eastAsia" w:ascii="仿宋_GB2312" w:hAnsi="仿宋_GB2312" w:eastAsia="仿宋_GB2312" w:cs="仿宋_GB2312"/>
                <w:color w:val="auto"/>
                <w:kern w:val="0"/>
                <w:sz w:val="22"/>
                <w:szCs w:val="22"/>
                <w:highlight w:val="none"/>
                <w:lang w:bidi="ar"/>
              </w:rPr>
              <w:t xml:space="preserve"> </w:t>
            </w:r>
          </w:p>
        </w:tc>
      </w:tr>
      <w:tr w14:paraId="7D7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037C5F60">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5A6A54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项目属性</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3BAE7F4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 xml:space="preserve">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经常性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一次性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default"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新增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延续</w:t>
            </w:r>
          </w:p>
        </w:tc>
      </w:tr>
      <w:tr w14:paraId="0B6B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FD9032E">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F197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立项依据</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E257E2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《中华人民共和国国民经济和社会发展第十四个五年规划和2035年远景目标纲要》《国务院办公厅关于科学绿化的指导意见》（国办发〔2021〕19号）等</w:t>
            </w:r>
          </w:p>
        </w:tc>
      </w:tr>
      <w:tr w14:paraId="26BF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193DAFCF">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5E12FAC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资金总额及构成</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7E5FDA38">
            <w:pPr>
              <w:widowControl/>
              <w:spacing w:line="300" w:lineRule="exact"/>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预算金额6815.35万元，实际下达6812.32万元，包括环卫清扫专项经费6003.25万元，绿化养护费809.07万元。</w:t>
            </w:r>
          </w:p>
        </w:tc>
      </w:tr>
      <w:tr w14:paraId="0138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31E98304">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1E46B0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资金分配情况</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50349E4B">
            <w:pPr>
              <w:widowControl/>
              <w:spacing w:line="300" w:lineRule="exact"/>
              <w:ind w:left="0" w:leftChars="0" w:firstLine="0" w:firstLineChars="0"/>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冷水滩区项目资金共计6812.32万元，其中环卫清扫专项经费6003.25万元，绿化养护费809.07万元。</w:t>
            </w:r>
          </w:p>
        </w:tc>
      </w:tr>
      <w:tr w14:paraId="4A4A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6AB1148">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39CA559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项目必要性和</w:t>
            </w:r>
          </w:p>
          <w:p w14:paraId="068719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可行性论证结论</w:t>
            </w:r>
          </w:p>
        </w:tc>
        <w:tc>
          <w:tcPr>
            <w:tcW w:w="3684"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A86BC91">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bidi="ar"/>
              </w:rPr>
            </w:pPr>
            <w:r>
              <w:rPr>
                <w:rFonts w:hint="eastAsia" w:eastAsia="仿宋_GB2312" w:cs="仿宋_GB2312"/>
                <w:color w:val="auto"/>
                <w:kern w:val="0"/>
                <w:sz w:val="22"/>
                <w:szCs w:val="22"/>
                <w:highlight w:val="none"/>
                <w:lang w:val="en-US" w:eastAsia="zh-CN" w:bidi="ar"/>
              </w:rPr>
              <w:t>项目以十四五规划为纲领，以党的二十大精神为指引，旨在增加城市园林绿化率，提升空气质量，改善城乡居民人居环境，项目必要性充分。由国家政策文件为指引，省市级政府单位带动执行，财政给予资金支持，群众参与实施，项目可行性强。</w:t>
            </w:r>
          </w:p>
        </w:tc>
      </w:tr>
      <w:tr w14:paraId="207D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ED0B172">
            <w:pPr>
              <w:widowControl/>
              <w:spacing w:line="300" w:lineRule="exact"/>
              <w:jc w:val="left"/>
              <w:rPr>
                <w:rFonts w:hint="default" w:ascii="Times New Roman Regular" w:hAnsi="Times New Roman Regular" w:eastAsia="仿宋" w:cs="Times New Roman Regular"/>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29558AF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项目起止时间</w:t>
            </w:r>
          </w:p>
        </w:tc>
        <w:tc>
          <w:tcPr>
            <w:tcW w:w="3684" w:type="pct"/>
            <w:gridSpan w:val="4"/>
            <w:tcBorders>
              <w:top w:val="single" w:color="auto" w:sz="4" w:space="0"/>
              <w:left w:val="single" w:color="auto" w:sz="4" w:space="0"/>
              <w:bottom w:val="single" w:color="auto" w:sz="4" w:space="0"/>
              <w:right w:val="single" w:color="auto" w:sz="4" w:space="0"/>
            </w:tcBorders>
            <w:noWrap w:val="0"/>
            <w:vAlign w:val="center"/>
          </w:tcPr>
          <w:p w14:paraId="4C1B8A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Regular" w:hAnsi="Times New Roman Regular" w:eastAsia="仿宋" w:cs="Times New Roman Regular"/>
                <w:color w:val="auto"/>
                <w:kern w:val="0"/>
                <w:sz w:val="22"/>
                <w:szCs w:val="22"/>
                <w:highlight w:val="none"/>
                <w:lang w:bidi="ar"/>
              </w:rPr>
            </w:pPr>
            <w:r>
              <w:rPr>
                <w:rFonts w:hint="default" w:ascii="Times New Roman" w:hAnsi="Times New Roman" w:eastAsia="仿宋_GB2312" w:cs="仿宋_GB2312"/>
                <w:color w:val="auto"/>
                <w:kern w:val="0"/>
                <w:sz w:val="22"/>
                <w:szCs w:val="22"/>
                <w:highlight w:val="none"/>
                <w:lang w:val="en-US" w:eastAsia="zh-CN" w:bidi="ar"/>
              </w:rPr>
              <w:t>202</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年</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月</w:t>
            </w:r>
            <w:r>
              <w:rPr>
                <w:rFonts w:hint="eastAsia" w:eastAsia="仿宋_GB2312" w:cs="仿宋_GB2312"/>
                <w:color w:val="auto"/>
                <w:kern w:val="0"/>
                <w:sz w:val="22"/>
                <w:szCs w:val="22"/>
                <w:highlight w:val="none"/>
                <w:lang w:val="en-US" w:eastAsia="zh-CN" w:bidi="ar"/>
              </w:rPr>
              <w:t>11日</w:t>
            </w:r>
            <w:r>
              <w:rPr>
                <w:rFonts w:hint="default" w:ascii="Times New Roman" w:hAnsi="Times New Roman" w:eastAsia="仿宋_GB2312" w:cs="仿宋_GB2312"/>
                <w:color w:val="auto"/>
                <w:kern w:val="0"/>
                <w:sz w:val="22"/>
                <w:szCs w:val="22"/>
                <w:highlight w:val="none"/>
                <w:lang w:val="en-US" w:eastAsia="zh-CN" w:bidi="ar"/>
              </w:rPr>
              <w:t>起至 202</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 xml:space="preserve">年 </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月</w:t>
            </w:r>
            <w:r>
              <w:rPr>
                <w:rFonts w:hint="eastAsia" w:eastAsia="仿宋_GB2312" w:cs="仿宋_GB2312"/>
                <w:color w:val="auto"/>
                <w:kern w:val="0"/>
                <w:sz w:val="22"/>
                <w:szCs w:val="22"/>
                <w:highlight w:val="none"/>
                <w:lang w:val="en-US" w:eastAsia="zh-CN" w:bidi="ar"/>
              </w:rPr>
              <w:t>30日</w:t>
            </w:r>
            <w:r>
              <w:rPr>
                <w:rFonts w:hint="default" w:ascii="Times New Roman" w:hAnsi="Times New Roman" w:eastAsia="仿宋_GB2312" w:cs="仿宋_GB2312"/>
                <w:color w:val="auto"/>
                <w:kern w:val="0"/>
                <w:sz w:val="22"/>
                <w:szCs w:val="22"/>
                <w:highlight w:val="none"/>
                <w:lang w:val="en-US" w:eastAsia="zh-CN" w:bidi="ar"/>
              </w:rPr>
              <w:t>止</w:t>
            </w:r>
          </w:p>
        </w:tc>
      </w:tr>
      <w:tr w14:paraId="62DF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5" w:type="pct"/>
            <w:gridSpan w:val="2"/>
            <w:noWrap w:val="0"/>
            <w:vAlign w:val="center"/>
          </w:tcPr>
          <w:p w14:paraId="64B5E3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w:t>
            </w:r>
          </w:p>
        </w:tc>
        <w:tc>
          <w:tcPr>
            <w:tcW w:w="1045" w:type="pct"/>
            <w:noWrap w:val="0"/>
            <w:vAlign w:val="center"/>
          </w:tcPr>
          <w:p w14:paraId="58EEE13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预算</w:t>
            </w:r>
            <w:r>
              <w:rPr>
                <w:rFonts w:hint="eastAsia" w:ascii="仿宋_GB2312" w:hAnsi="仿宋_GB2312" w:eastAsia="仿宋_GB2312" w:cs="仿宋_GB2312"/>
                <w:color w:val="auto"/>
                <w:kern w:val="0"/>
                <w:sz w:val="22"/>
                <w:szCs w:val="22"/>
                <w:highlight w:val="none"/>
                <w:lang w:bidi="ar"/>
              </w:rPr>
              <w:t>金额（万元）</w:t>
            </w:r>
          </w:p>
        </w:tc>
        <w:tc>
          <w:tcPr>
            <w:tcW w:w="816" w:type="pct"/>
            <w:noWrap w:val="0"/>
            <w:vAlign w:val="center"/>
          </w:tcPr>
          <w:p w14:paraId="699CB62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资金权重</w:t>
            </w:r>
          </w:p>
        </w:tc>
        <w:tc>
          <w:tcPr>
            <w:tcW w:w="676" w:type="pct"/>
            <w:noWrap w:val="0"/>
            <w:vAlign w:val="center"/>
          </w:tcPr>
          <w:p w14:paraId="00902C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项目得分</w:t>
            </w:r>
          </w:p>
        </w:tc>
        <w:tc>
          <w:tcPr>
            <w:tcW w:w="1145" w:type="pct"/>
            <w:noWrap w:val="0"/>
            <w:vAlign w:val="center"/>
          </w:tcPr>
          <w:p w14:paraId="426D8E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综合得分</w:t>
            </w:r>
          </w:p>
        </w:tc>
      </w:tr>
      <w:tr w14:paraId="599A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15" w:type="pct"/>
            <w:gridSpan w:val="2"/>
            <w:noWrap w:val="0"/>
            <w:vAlign w:val="center"/>
          </w:tcPr>
          <w:p w14:paraId="616DF6D9">
            <w:pPr>
              <w:widowControl/>
              <w:spacing w:line="300" w:lineRule="exact"/>
              <w:jc w:val="left"/>
              <w:rPr>
                <w:rFonts w:hint="eastAsia" w:ascii="仿宋_GB2312" w:hAnsi="仿宋_GB2312" w:eastAsia="仿宋_GB2312" w:cs="仿宋_GB2312"/>
                <w:color w:val="auto"/>
                <w:kern w:val="0"/>
                <w:sz w:val="22"/>
                <w:szCs w:val="22"/>
                <w:highlight w:val="none"/>
                <w:lang w:val="en-US" w:eastAsia="zh-CN" w:bidi="ar"/>
              </w:rPr>
            </w:pPr>
            <w:bookmarkStart w:id="12" w:name="OLE_LINK1"/>
            <w:r>
              <w:rPr>
                <w:rFonts w:hint="eastAsia" w:ascii="Times New Roman" w:hAnsi="Times New Roman" w:eastAsia="仿宋_GB2312" w:cs="仿宋_GB2312"/>
                <w:color w:val="auto"/>
                <w:kern w:val="0"/>
                <w:sz w:val="22"/>
                <w:szCs w:val="22"/>
                <w:highlight w:val="none"/>
                <w:lang w:val="en-US" w:eastAsia="zh-CN" w:bidi="ar"/>
              </w:rPr>
              <w:t>冷水滩区新增绿化面积养护及新增面积环卫经费专项</w:t>
            </w:r>
          </w:p>
        </w:tc>
        <w:tc>
          <w:tcPr>
            <w:tcW w:w="1045" w:type="pct"/>
            <w:noWrap w:val="0"/>
            <w:vAlign w:val="center"/>
          </w:tcPr>
          <w:p w14:paraId="31CABA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仿宋_GB2312"/>
                <w:color w:val="auto"/>
                <w:kern w:val="0"/>
                <w:sz w:val="22"/>
                <w:szCs w:val="22"/>
                <w:highlight w:val="none"/>
                <w:lang w:val="en-US" w:eastAsia="zh-CN" w:bidi="ar"/>
              </w:rPr>
              <w:t>6815.35</w:t>
            </w:r>
          </w:p>
        </w:tc>
        <w:tc>
          <w:tcPr>
            <w:tcW w:w="816" w:type="pct"/>
            <w:noWrap w:val="0"/>
            <w:vAlign w:val="center"/>
          </w:tcPr>
          <w:p w14:paraId="61B65D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676" w:type="pct"/>
            <w:shd w:val="clear" w:color="auto" w:fill="auto"/>
            <w:noWrap w:val="0"/>
            <w:vAlign w:val="center"/>
          </w:tcPr>
          <w:p w14:paraId="101CE4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85.7</w:t>
            </w:r>
          </w:p>
        </w:tc>
        <w:tc>
          <w:tcPr>
            <w:tcW w:w="1145" w:type="pct"/>
            <w:shd w:val="clear" w:color="auto" w:fill="auto"/>
            <w:noWrap w:val="0"/>
            <w:vAlign w:val="center"/>
          </w:tcPr>
          <w:p w14:paraId="1312FB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85.7</w:t>
            </w:r>
          </w:p>
        </w:tc>
      </w:tr>
      <w:bookmarkEnd w:id="12"/>
      <w:tr w14:paraId="3AF2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315" w:type="pct"/>
            <w:gridSpan w:val="2"/>
            <w:noWrap w:val="0"/>
            <w:vAlign w:val="center"/>
          </w:tcPr>
          <w:p w14:paraId="0BF5141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i w:val="0"/>
                <w:iCs w:val="0"/>
                <w:color w:val="000000"/>
                <w:kern w:val="0"/>
                <w:sz w:val="21"/>
                <w:szCs w:val="24"/>
                <w:u w:val="none"/>
                <w:lang w:val="en-US" w:eastAsia="zh-CN" w:bidi="ar"/>
              </w:rPr>
            </w:pPr>
            <w:r>
              <w:rPr>
                <w:rFonts w:hint="eastAsia" w:ascii="仿宋_GB2312" w:hAnsi="仿宋_GB2312" w:eastAsia="仿宋_GB2312" w:cs="仿宋_GB2312"/>
                <w:i w:val="0"/>
                <w:iCs w:val="0"/>
                <w:color w:val="000000"/>
                <w:kern w:val="0"/>
                <w:sz w:val="21"/>
                <w:szCs w:val="24"/>
                <w:u w:val="none"/>
                <w:lang w:val="en-US" w:eastAsia="zh-CN" w:bidi="ar"/>
              </w:rPr>
              <w:t>总计</w:t>
            </w:r>
          </w:p>
        </w:tc>
        <w:tc>
          <w:tcPr>
            <w:tcW w:w="1990" w:type="dxa"/>
            <w:noWrap w:val="0"/>
            <w:vAlign w:val="center"/>
          </w:tcPr>
          <w:p w14:paraId="234CBD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仿宋_GB2312" w:cs="仿宋_GB2312"/>
                <w:color w:val="auto"/>
                <w:kern w:val="0"/>
                <w:sz w:val="22"/>
                <w:szCs w:val="22"/>
                <w:highlight w:val="none"/>
                <w:lang w:val="en-US" w:eastAsia="zh-CN" w:bidi="ar"/>
              </w:rPr>
              <w:t>6815.35</w:t>
            </w:r>
          </w:p>
        </w:tc>
        <w:tc>
          <w:tcPr>
            <w:tcW w:w="1555" w:type="dxa"/>
            <w:noWrap w:val="0"/>
            <w:vAlign w:val="center"/>
          </w:tcPr>
          <w:p w14:paraId="5AA770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1288" w:type="dxa"/>
            <w:shd w:val="clear" w:color="auto" w:fill="auto"/>
            <w:noWrap w:val="0"/>
            <w:vAlign w:val="center"/>
          </w:tcPr>
          <w:p w14:paraId="445667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85.7</w:t>
            </w:r>
          </w:p>
        </w:tc>
        <w:tc>
          <w:tcPr>
            <w:tcW w:w="2181" w:type="dxa"/>
            <w:shd w:val="clear" w:color="auto" w:fill="auto"/>
            <w:noWrap w:val="0"/>
            <w:vAlign w:val="center"/>
          </w:tcPr>
          <w:p w14:paraId="41CA3B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85.7</w:t>
            </w:r>
          </w:p>
        </w:tc>
      </w:tr>
      <w:tr w14:paraId="5976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15" w:type="pct"/>
            <w:gridSpan w:val="2"/>
            <w:noWrap w:val="0"/>
            <w:vAlign w:val="center"/>
          </w:tcPr>
          <w:p w14:paraId="4A858EF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shd w:val="clear"/>
                <w:lang w:bidi="ar"/>
              </w:rPr>
              <w:t>评价等次</w:t>
            </w:r>
          </w:p>
        </w:tc>
        <w:tc>
          <w:tcPr>
            <w:tcW w:w="3684" w:type="pct"/>
            <w:gridSpan w:val="4"/>
            <w:noWrap w:val="0"/>
            <w:vAlign w:val="center"/>
          </w:tcPr>
          <w:p w14:paraId="1B25AE3E">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 xml:space="preserve">□优（90分以上）     </w:t>
            </w:r>
            <w:r>
              <w:rPr>
                <w:rFonts w:hint="eastAsia" w:eastAsia="仿宋_GB2312" w:cs="仿宋_GB2312"/>
                <w:color w:val="auto"/>
                <w:kern w:val="0"/>
                <w:sz w:val="22"/>
                <w:szCs w:val="22"/>
                <w:highlight w:val="none"/>
                <w:lang w:val="en-US" w:eastAsia="zh-CN" w:bidi="ar"/>
              </w:rPr>
              <w:t>☑</w:t>
            </w:r>
            <w:r>
              <w:rPr>
                <w:rFonts w:hint="eastAsia" w:ascii="Times New Roman" w:hAnsi="Times New Roman" w:eastAsia="仿宋_GB2312" w:cs="仿宋_GB2312"/>
                <w:color w:val="auto"/>
                <w:kern w:val="0"/>
                <w:sz w:val="22"/>
                <w:szCs w:val="22"/>
                <w:highlight w:val="none"/>
                <w:lang w:val="en-US" w:eastAsia="zh-CN" w:bidi="ar"/>
              </w:rPr>
              <w:t>良（80分-90分）   □中（70分-80分）</w:t>
            </w:r>
          </w:p>
          <w:p w14:paraId="5BA81ED3">
            <w:pPr>
              <w:widowControl/>
              <w:spacing w:line="300" w:lineRule="exact"/>
              <w:ind w:left="0" w:leftChars="0" w:firstLine="0" w:firstLineChars="0"/>
              <w:jc w:val="left"/>
              <w:rPr>
                <w:rFonts w:hint="eastAsia" w:ascii="仿宋_GB2312" w:hAnsi="仿宋_GB2312" w:eastAsia="仿宋_GB2312" w:cs="仿宋_GB2312"/>
                <w:color w:val="auto"/>
                <w:kern w:val="0"/>
                <w:sz w:val="22"/>
                <w:szCs w:val="22"/>
                <w:highlight w:val="none"/>
                <w:lang w:bidi="ar"/>
              </w:rPr>
            </w:pPr>
            <w:r>
              <w:rPr>
                <w:rFonts w:hint="eastAsia" w:ascii="Times New Roman" w:hAnsi="Times New Roman" w:eastAsia="仿宋_GB2312" w:cs="仿宋_GB2312"/>
                <w:color w:val="auto"/>
                <w:kern w:val="0"/>
                <w:sz w:val="22"/>
                <w:szCs w:val="22"/>
                <w:highlight w:val="none"/>
                <w:lang w:val="en-US" w:eastAsia="zh-CN" w:bidi="ar"/>
              </w:rPr>
              <w:t>□低（60分-70分）    □差（60分以下）</w:t>
            </w:r>
          </w:p>
        </w:tc>
      </w:tr>
    </w:tbl>
    <w:p w14:paraId="3A00C623">
      <w:pPr>
        <w:pStyle w:val="7"/>
        <w:rPr>
          <w:rFonts w:hint="default"/>
        </w:rPr>
      </w:pPr>
    </w:p>
    <w:p w14:paraId="4A3122E2">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1AC4F4A4">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63ED05EE">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62D6B2E6">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p>
    <w:p w14:paraId="1EB4DB3D">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目  录</w:t>
      </w:r>
    </w:p>
    <w:sdt>
      <w:sdtPr>
        <w:rPr>
          <w:rFonts w:ascii="宋体" w:hAnsi="宋体" w:eastAsia="宋体"/>
          <w:kern w:val="2"/>
          <w:sz w:val="21"/>
          <w:szCs w:val="24"/>
          <w:lang w:val="en-US" w:eastAsia="zh-CN" w:bidi="ar-SA"/>
        </w:rPr>
        <w:id w:val="147460814"/>
        <w15:color w:val="DBDBDB"/>
        <w:docPartObj>
          <w:docPartGallery w:val="Table of Contents"/>
          <w:docPartUnique/>
        </w:docPartObj>
      </w:sdtPr>
      <w:sdtEndPr>
        <w:rPr>
          <w:rFonts w:ascii="宋体" w:hAnsi="宋体" w:eastAsia="宋体"/>
          <w:kern w:val="2"/>
          <w:sz w:val="21"/>
          <w:szCs w:val="24"/>
          <w:lang w:val="en-US" w:eastAsia="zh-CN" w:bidi="ar-SA"/>
        </w:rPr>
      </w:sdtEndPr>
      <w:sdtContent>
        <w:p w14:paraId="17C11619">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14:paraId="4ACCAD6E">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_Toc7944 </w:instrText>
          </w:r>
          <w:r>
            <w:rPr>
              <w:sz w:val="24"/>
              <w:szCs w:val="24"/>
            </w:rPr>
            <w:fldChar w:fldCharType="separate"/>
          </w:r>
          <w:r>
            <w:rPr>
              <w:rFonts w:hint="default" w:ascii="黑体" w:hAnsi="黑体" w:eastAsia="黑体" w:cs="黑体"/>
              <w:sz w:val="24"/>
              <w:szCs w:val="24"/>
              <w:lang w:val="en-US" w:eastAsia="zh-CN"/>
            </w:rPr>
            <w:t>一、评价情况</w:t>
          </w:r>
          <w:r>
            <w:rPr>
              <w:sz w:val="24"/>
              <w:szCs w:val="24"/>
            </w:rPr>
            <w:tab/>
          </w:r>
          <w:r>
            <w:rPr>
              <w:sz w:val="24"/>
              <w:szCs w:val="24"/>
            </w:rPr>
            <w:fldChar w:fldCharType="begin"/>
          </w:r>
          <w:r>
            <w:rPr>
              <w:sz w:val="24"/>
              <w:szCs w:val="24"/>
            </w:rPr>
            <w:instrText xml:space="preserve"> PAGEREF _Toc7944 \h </w:instrText>
          </w:r>
          <w:r>
            <w:rPr>
              <w:sz w:val="24"/>
              <w:szCs w:val="24"/>
            </w:rPr>
            <w:fldChar w:fldCharType="separate"/>
          </w:r>
          <w:r>
            <w:rPr>
              <w:sz w:val="24"/>
              <w:szCs w:val="24"/>
            </w:rPr>
            <w:t>1</w:t>
          </w:r>
          <w:r>
            <w:rPr>
              <w:sz w:val="24"/>
              <w:szCs w:val="24"/>
            </w:rPr>
            <w:fldChar w:fldCharType="end"/>
          </w:r>
          <w:r>
            <w:rPr>
              <w:sz w:val="24"/>
              <w:szCs w:val="24"/>
            </w:rPr>
            <w:fldChar w:fldCharType="end"/>
          </w:r>
        </w:p>
        <w:p w14:paraId="0670DD48">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_Toc3944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eastAsia="楷体" w:cs="Times New Roman"/>
              <w:sz w:val="24"/>
              <w:szCs w:val="24"/>
              <w:lang w:val="en-US" w:eastAsia="zh-CN"/>
            </w:rPr>
            <w:t>一</w:t>
          </w:r>
          <w:r>
            <w:rPr>
              <w:rFonts w:hint="default" w:ascii="Times New Roman" w:hAnsi="Times New Roman" w:eastAsia="楷体" w:cs="Times New Roman"/>
              <w:sz w:val="24"/>
              <w:szCs w:val="24"/>
              <w:lang w:val="en-US" w:eastAsia="zh-CN"/>
            </w:rPr>
            <w:t>）评价</w:t>
          </w:r>
          <w:r>
            <w:rPr>
              <w:rFonts w:hint="eastAsia" w:eastAsia="楷体" w:cs="Times New Roman"/>
              <w:sz w:val="24"/>
              <w:szCs w:val="24"/>
              <w:lang w:val="en-US" w:eastAsia="zh-CN"/>
            </w:rPr>
            <w:t>过程</w:t>
          </w:r>
          <w:r>
            <w:rPr>
              <w:sz w:val="24"/>
              <w:szCs w:val="24"/>
            </w:rPr>
            <w:tab/>
          </w:r>
          <w:r>
            <w:rPr>
              <w:sz w:val="24"/>
              <w:szCs w:val="24"/>
            </w:rPr>
            <w:fldChar w:fldCharType="begin"/>
          </w:r>
          <w:r>
            <w:rPr>
              <w:sz w:val="24"/>
              <w:szCs w:val="24"/>
            </w:rPr>
            <w:instrText xml:space="preserve"> PAGEREF _Toc3944 \h </w:instrText>
          </w:r>
          <w:r>
            <w:rPr>
              <w:sz w:val="24"/>
              <w:szCs w:val="24"/>
            </w:rPr>
            <w:fldChar w:fldCharType="separate"/>
          </w:r>
          <w:r>
            <w:rPr>
              <w:sz w:val="24"/>
              <w:szCs w:val="24"/>
            </w:rPr>
            <w:t>1</w:t>
          </w:r>
          <w:r>
            <w:rPr>
              <w:sz w:val="24"/>
              <w:szCs w:val="24"/>
            </w:rPr>
            <w:fldChar w:fldCharType="end"/>
          </w:r>
          <w:r>
            <w:rPr>
              <w:sz w:val="24"/>
              <w:szCs w:val="24"/>
            </w:rPr>
            <w:fldChar w:fldCharType="end"/>
          </w:r>
        </w:p>
        <w:p w14:paraId="7008B110">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_Toc947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）评价方法</w:t>
          </w:r>
          <w:r>
            <w:rPr>
              <w:sz w:val="24"/>
              <w:szCs w:val="24"/>
            </w:rPr>
            <w:tab/>
          </w:r>
          <w:r>
            <w:rPr>
              <w:sz w:val="24"/>
              <w:szCs w:val="24"/>
            </w:rPr>
            <w:fldChar w:fldCharType="begin"/>
          </w:r>
          <w:r>
            <w:rPr>
              <w:sz w:val="24"/>
              <w:szCs w:val="24"/>
            </w:rPr>
            <w:instrText xml:space="preserve"> PAGEREF _Toc947 \h </w:instrText>
          </w:r>
          <w:r>
            <w:rPr>
              <w:sz w:val="24"/>
              <w:szCs w:val="24"/>
            </w:rPr>
            <w:fldChar w:fldCharType="separate"/>
          </w:r>
          <w:r>
            <w:rPr>
              <w:sz w:val="24"/>
              <w:szCs w:val="24"/>
            </w:rPr>
            <w:t>1</w:t>
          </w:r>
          <w:r>
            <w:rPr>
              <w:sz w:val="24"/>
              <w:szCs w:val="24"/>
            </w:rPr>
            <w:fldChar w:fldCharType="end"/>
          </w:r>
          <w:r>
            <w:rPr>
              <w:sz w:val="24"/>
              <w:szCs w:val="24"/>
            </w:rPr>
            <w:fldChar w:fldCharType="end"/>
          </w:r>
        </w:p>
        <w:p w14:paraId="19DF404A">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_Toc24385 </w:instrText>
          </w:r>
          <w:r>
            <w:rPr>
              <w:sz w:val="24"/>
              <w:szCs w:val="24"/>
            </w:rPr>
            <w:fldChar w:fldCharType="separate"/>
          </w:r>
          <w:r>
            <w:rPr>
              <w:rFonts w:hint="default" w:ascii="黑体" w:hAnsi="黑体" w:eastAsia="黑体" w:cs="黑体"/>
              <w:sz w:val="24"/>
              <w:szCs w:val="24"/>
              <w:lang w:val="en-US" w:eastAsia="zh-CN"/>
            </w:rPr>
            <w:t>二、项目基本情况</w:t>
          </w:r>
          <w:r>
            <w:rPr>
              <w:sz w:val="24"/>
              <w:szCs w:val="24"/>
            </w:rPr>
            <w:tab/>
          </w:r>
          <w:r>
            <w:rPr>
              <w:sz w:val="24"/>
              <w:szCs w:val="24"/>
            </w:rPr>
            <w:fldChar w:fldCharType="begin"/>
          </w:r>
          <w:r>
            <w:rPr>
              <w:sz w:val="24"/>
              <w:szCs w:val="24"/>
            </w:rPr>
            <w:instrText xml:space="preserve"> PAGEREF _Toc24385 \h </w:instrText>
          </w:r>
          <w:r>
            <w:rPr>
              <w:sz w:val="24"/>
              <w:szCs w:val="24"/>
            </w:rPr>
            <w:fldChar w:fldCharType="separate"/>
          </w:r>
          <w:r>
            <w:rPr>
              <w:sz w:val="24"/>
              <w:szCs w:val="24"/>
            </w:rPr>
            <w:t>2</w:t>
          </w:r>
          <w:r>
            <w:rPr>
              <w:sz w:val="24"/>
              <w:szCs w:val="24"/>
            </w:rPr>
            <w:fldChar w:fldCharType="end"/>
          </w:r>
          <w:r>
            <w:rPr>
              <w:sz w:val="24"/>
              <w:szCs w:val="24"/>
            </w:rPr>
            <w:fldChar w:fldCharType="end"/>
          </w:r>
        </w:p>
        <w:p w14:paraId="7E0FC882">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_Toc18741 </w:instrText>
          </w:r>
          <w:r>
            <w:rPr>
              <w:sz w:val="24"/>
              <w:szCs w:val="24"/>
            </w:rPr>
            <w:fldChar w:fldCharType="separate"/>
          </w:r>
          <w:r>
            <w:rPr>
              <w:rFonts w:hint="default" w:ascii="Times New Roman" w:hAnsi="Times New Roman" w:eastAsia="楷体" w:cs="Times New Roman"/>
              <w:sz w:val="24"/>
              <w:szCs w:val="24"/>
              <w:lang w:val="en-US" w:eastAsia="zh-CN"/>
            </w:rPr>
            <w:t>（一）项目立项依据</w:t>
          </w:r>
          <w:r>
            <w:rPr>
              <w:sz w:val="24"/>
              <w:szCs w:val="24"/>
            </w:rPr>
            <w:tab/>
          </w:r>
          <w:r>
            <w:rPr>
              <w:sz w:val="24"/>
              <w:szCs w:val="24"/>
            </w:rPr>
            <w:fldChar w:fldCharType="begin"/>
          </w:r>
          <w:r>
            <w:rPr>
              <w:sz w:val="24"/>
              <w:szCs w:val="24"/>
            </w:rPr>
            <w:instrText xml:space="preserve"> PAGEREF _Toc18741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5C6AC57E">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_Toc25521 </w:instrText>
          </w:r>
          <w:r>
            <w:rPr>
              <w:sz w:val="24"/>
              <w:szCs w:val="24"/>
            </w:rPr>
            <w:fldChar w:fldCharType="separate"/>
          </w:r>
          <w:r>
            <w:rPr>
              <w:rFonts w:hint="default" w:ascii="Times New Roman" w:hAnsi="Times New Roman" w:eastAsia="楷体" w:cs="Times New Roman"/>
              <w:sz w:val="24"/>
              <w:szCs w:val="24"/>
              <w:lang w:val="en-US" w:eastAsia="zh-CN"/>
            </w:rPr>
            <w:t>（二）项目的主要内容</w:t>
          </w:r>
          <w:r>
            <w:rPr>
              <w:sz w:val="24"/>
              <w:szCs w:val="24"/>
            </w:rPr>
            <w:tab/>
          </w:r>
          <w:r>
            <w:rPr>
              <w:sz w:val="24"/>
              <w:szCs w:val="24"/>
            </w:rPr>
            <w:fldChar w:fldCharType="begin"/>
          </w:r>
          <w:r>
            <w:rPr>
              <w:sz w:val="24"/>
              <w:szCs w:val="24"/>
            </w:rPr>
            <w:instrText xml:space="preserve"> PAGEREF _Toc25521 \h </w:instrText>
          </w:r>
          <w:r>
            <w:rPr>
              <w:sz w:val="24"/>
              <w:szCs w:val="24"/>
            </w:rPr>
            <w:fldChar w:fldCharType="separate"/>
          </w:r>
          <w:r>
            <w:rPr>
              <w:sz w:val="24"/>
              <w:szCs w:val="24"/>
            </w:rPr>
            <w:t>2</w:t>
          </w:r>
          <w:r>
            <w:rPr>
              <w:sz w:val="24"/>
              <w:szCs w:val="24"/>
            </w:rPr>
            <w:fldChar w:fldCharType="end"/>
          </w:r>
          <w:r>
            <w:rPr>
              <w:sz w:val="24"/>
              <w:szCs w:val="24"/>
            </w:rPr>
            <w:fldChar w:fldCharType="end"/>
          </w:r>
        </w:p>
        <w:p w14:paraId="66AB2C83">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_Toc24745 </w:instrText>
          </w:r>
          <w:r>
            <w:rPr>
              <w:sz w:val="24"/>
              <w:szCs w:val="24"/>
            </w:rPr>
            <w:fldChar w:fldCharType="separate"/>
          </w:r>
          <w:r>
            <w:rPr>
              <w:rFonts w:hint="default" w:ascii="Times New Roman" w:hAnsi="Times New Roman" w:eastAsia="楷体" w:cs="Times New Roman"/>
              <w:sz w:val="24"/>
              <w:szCs w:val="24"/>
              <w:lang w:val="en-US" w:eastAsia="zh-CN"/>
            </w:rPr>
            <w:t>（三）项目的必要性和可行性论证情况</w:t>
          </w:r>
          <w:r>
            <w:rPr>
              <w:sz w:val="24"/>
              <w:szCs w:val="24"/>
            </w:rPr>
            <w:tab/>
          </w:r>
          <w:r>
            <w:rPr>
              <w:sz w:val="24"/>
              <w:szCs w:val="24"/>
            </w:rPr>
            <w:fldChar w:fldCharType="begin"/>
          </w:r>
          <w:r>
            <w:rPr>
              <w:sz w:val="24"/>
              <w:szCs w:val="24"/>
            </w:rPr>
            <w:instrText xml:space="preserve"> PAGEREF _Toc24745 \h </w:instrText>
          </w:r>
          <w:r>
            <w:rPr>
              <w:sz w:val="24"/>
              <w:szCs w:val="24"/>
            </w:rPr>
            <w:fldChar w:fldCharType="separate"/>
          </w:r>
          <w:r>
            <w:rPr>
              <w:sz w:val="24"/>
              <w:szCs w:val="24"/>
            </w:rPr>
            <w:t>3</w:t>
          </w:r>
          <w:r>
            <w:rPr>
              <w:sz w:val="24"/>
              <w:szCs w:val="24"/>
            </w:rPr>
            <w:fldChar w:fldCharType="end"/>
          </w:r>
          <w:r>
            <w:rPr>
              <w:sz w:val="24"/>
              <w:szCs w:val="24"/>
            </w:rPr>
            <w:fldChar w:fldCharType="end"/>
          </w:r>
        </w:p>
        <w:p w14:paraId="0C948EC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_Toc17452 </w:instrText>
          </w:r>
          <w:r>
            <w:rPr>
              <w:sz w:val="24"/>
              <w:szCs w:val="24"/>
            </w:rPr>
            <w:fldChar w:fldCharType="separate"/>
          </w:r>
          <w:r>
            <w:rPr>
              <w:rFonts w:hint="default" w:ascii="Times New Roman" w:hAnsi="Times New Roman" w:eastAsia="楷体" w:cs="Times New Roman"/>
              <w:sz w:val="24"/>
              <w:szCs w:val="24"/>
              <w:lang w:val="en-US" w:eastAsia="zh-CN"/>
            </w:rPr>
            <w:t>（四）项目的绩效目标</w:t>
          </w:r>
          <w:r>
            <w:rPr>
              <w:sz w:val="24"/>
              <w:szCs w:val="24"/>
            </w:rPr>
            <w:tab/>
          </w:r>
          <w:r>
            <w:rPr>
              <w:sz w:val="24"/>
              <w:szCs w:val="24"/>
            </w:rPr>
            <w:fldChar w:fldCharType="begin"/>
          </w:r>
          <w:r>
            <w:rPr>
              <w:sz w:val="24"/>
              <w:szCs w:val="24"/>
            </w:rPr>
            <w:instrText xml:space="preserve"> PAGEREF _Toc17452 \h </w:instrText>
          </w:r>
          <w:r>
            <w:rPr>
              <w:sz w:val="24"/>
              <w:szCs w:val="24"/>
            </w:rPr>
            <w:fldChar w:fldCharType="separate"/>
          </w:r>
          <w:r>
            <w:rPr>
              <w:sz w:val="24"/>
              <w:szCs w:val="24"/>
            </w:rPr>
            <w:t>3</w:t>
          </w:r>
          <w:r>
            <w:rPr>
              <w:sz w:val="24"/>
              <w:szCs w:val="24"/>
            </w:rPr>
            <w:fldChar w:fldCharType="end"/>
          </w:r>
          <w:r>
            <w:rPr>
              <w:sz w:val="24"/>
              <w:szCs w:val="24"/>
            </w:rPr>
            <w:fldChar w:fldCharType="end"/>
          </w:r>
        </w:p>
        <w:p w14:paraId="516D3600">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_Toc2897 </w:instrText>
          </w:r>
          <w:r>
            <w:rPr>
              <w:sz w:val="24"/>
              <w:szCs w:val="24"/>
            </w:rPr>
            <w:fldChar w:fldCharType="separate"/>
          </w:r>
          <w:r>
            <w:rPr>
              <w:rFonts w:hint="default" w:ascii="黑体" w:hAnsi="黑体" w:eastAsia="黑体" w:cs="黑体"/>
              <w:sz w:val="24"/>
              <w:szCs w:val="24"/>
              <w:lang w:val="en-US" w:eastAsia="zh-CN"/>
            </w:rPr>
            <w:t>三、项目资金情况</w:t>
          </w:r>
          <w:r>
            <w:rPr>
              <w:sz w:val="24"/>
              <w:szCs w:val="24"/>
            </w:rPr>
            <w:tab/>
          </w:r>
          <w:r>
            <w:rPr>
              <w:sz w:val="24"/>
              <w:szCs w:val="24"/>
            </w:rPr>
            <w:fldChar w:fldCharType="begin"/>
          </w:r>
          <w:r>
            <w:rPr>
              <w:sz w:val="24"/>
              <w:szCs w:val="24"/>
            </w:rPr>
            <w:instrText xml:space="preserve"> PAGEREF _Toc2897 \h </w:instrText>
          </w:r>
          <w:r>
            <w:rPr>
              <w:sz w:val="24"/>
              <w:szCs w:val="24"/>
            </w:rPr>
            <w:fldChar w:fldCharType="separate"/>
          </w:r>
          <w:r>
            <w:rPr>
              <w:sz w:val="24"/>
              <w:szCs w:val="24"/>
            </w:rPr>
            <w:t>4</w:t>
          </w:r>
          <w:r>
            <w:rPr>
              <w:sz w:val="24"/>
              <w:szCs w:val="24"/>
            </w:rPr>
            <w:fldChar w:fldCharType="end"/>
          </w:r>
          <w:r>
            <w:rPr>
              <w:sz w:val="24"/>
              <w:szCs w:val="24"/>
            </w:rPr>
            <w:fldChar w:fldCharType="end"/>
          </w:r>
        </w:p>
        <w:p w14:paraId="5903313C">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_Toc7687 </w:instrText>
          </w:r>
          <w:r>
            <w:rPr>
              <w:sz w:val="24"/>
              <w:szCs w:val="24"/>
            </w:rPr>
            <w:fldChar w:fldCharType="separate"/>
          </w:r>
          <w:r>
            <w:rPr>
              <w:rFonts w:hint="default" w:ascii="Times New Roman" w:hAnsi="Times New Roman" w:eastAsia="楷体" w:cs="Times New Roman"/>
              <w:sz w:val="24"/>
              <w:szCs w:val="24"/>
              <w:lang w:val="en-US" w:eastAsia="zh-CN"/>
            </w:rPr>
            <w:t>（一）资金安排</w:t>
          </w:r>
          <w:r>
            <w:rPr>
              <w:rFonts w:hint="eastAsia" w:ascii="Times New Roman" w:hAnsi="Times New Roman" w:eastAsia="楷体" w:cs="Times New Roman"/>
              <w:sz w:val="24"/>
              <w:szCs w:val="24"/>
              <w:lang w:val="en-US" w:eastAsia="zh-CN"/>
            </w:rPr>
            <w:t>与到位</w:t>
          </w:r>
          <w:r>
            <w:rPr>
              <w:rFonts w:hint="default" w:ascii="Times New Roman" w:hAnsi="Times New Roman" w:eastAsia="楷体" w:cs="Times New Roman"/>
              <w:sz w:val="24"/>
              <w:szCs w:val="24"/>
              <w:lang w:val="en-US" w:eastAsia="zh-CN"/>
            </w:rPr>
            <w:t>情况</w:t>
          </w:r>
          <w:r>
            <w:rPr>
              <w:sz w:val="24"/>
              <w:szCs w:val="24"/>
            </w:rPr>
            <w:tab/>
          </w:r>
          <w:r>
            <w:rPr>
              <w:sz w:val="24"/>
              <w:szCs w:val="24"/>
            </w:rPr>
            <w:fldChar w:fldCharType="begin"/>
          </w:r>
          <w:r>
            <w:rPr>
              <w:sz w:val="24"/>
              <w:szCs w:val="24"/>
            </w:rPr>
            <w:instrText xml:space="preserve"> PAGEREF _Toc7687 \h </w:instrText>
          </w:r>
          <w:r>
            <w:rPr>
              <w:sz w:val="24"/>
              <w:szCs w:val="24"/>
            </w:rPr>
            <w:fldChar w:fldCharType="separate"/>
          </w:r>
          <w:r>
            <w:rPr>
              <w:sz w:val="24"/>
              <w:szCs w:val="24"/>
            </w:rPr>
            <w:t>4</w:t>
          </w:r>
          <w:r>
            <w:rPr>
              <w:sz w:val="24"/>
              <w:szCs w:val="24"/>
            </w:rPr>
            <w:fldChar w:fldCharType="end"/>
          </w:r>
          <w:r>
            <w:rPr>
              <w:sz w:val="24"/>
              <w:szCs w:val="24"/>
            </w:rPr>
            <w:fldChar w:fldCharType="end"/>
          </w:r>
        </w:p>
        <w:p w14:paraId="2800579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_Toc13791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）资金使用情况</w:t>
          </w:r>
          <w:r>
            <w:rPr>
              <w:sz w:val="24"/>
              <w:szCs w:val="24"/>
            </w:rPr>
            <w:tab/>
          </w:r>
          <w:r>
            <w:rPr>
              <w:sz w:val="24"/>
              <w:szCs w:val="24"/>
            </w:rPr>
            <w:fldChar w:fldCharType="begin"/>
          </w:r>
          <w:r>
            <w:rPr>
              <w:sz w:val="24"/>
              <w:szCs w:val="24"/>
            </w:rPr>
            <w:instrText xml:space="preserve"> PAGEREF _Toc13791 \h </w:instrText>
          </w:r>
          <w:r>
            <w:rPr>
              <w:sz w:val="24"/>
              <w:szCs w:val="24"/>
            </w:rPr>
            <w:fldChar w:fldCharType="separate"/>
          </w:r>
          <w:r>
            <w:rPr>
              <w:sz w:val="24"/>
              <w:szCs w:val="24"/>
            </w:rPr>
            <w:t>4</w:t>
          </w:r>
          <w:r>
            <w:rPr>
              <w:sz w:val="24"/>
              <w:szCs w:val="24"/>
            </w:rPr>
            <w:fldChar w:fldCharType="end"/>
          </w:r>
          <w:r>
            <w:rPr>
              <w:sz w:val="24"/>
              <w:szCs w:val="24"/>
            </w:rPr>
            <w:fldChar w:fldCharType="end"/>
          </w:r>
        </w:p>
        <w:p w14:paraId="6C95E1BE">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_Toc9498 </w:instrText>
          </w:r>
          <w:r>
            <w:rPr>
              <w:sz w:val="24"/>
              <w:szCs w:val="24"/>
            </w:rPr>
            <w:fldChar w:fldCharType="separate"/>
          </w:r>
          <w:r>
            <w:rPr>
              <w:rFonts w:hint="eastAsia" w:ascii="黑体" w:hAnsi="黑体" w:eastAsia="黑体" w:cs="黑体"/>
              <w:sz w:val="24"/>
              <w:szCs w:val="24"/>
              <w:lang w:val="en-US" w:eastAsia="zh-CN"/>
            </w:rPr>
            <w:t>四、</w:t>
          </w:r>
          <w:r>
            <w:rPr>
              <w:rFonts w:hint="default" w:ascii="黑体" w:hAnsi="黑体" w:eastAsia="黑体" w:cs="黑体"/>
              <w:sz w:val="24"/>
              <w:szCs w:val="24"/>
              <w:lang w:val="en-US" w:eastAsia="zh-CN"/>
            </w:rPr>
            <w:t>项目实施</w:t>
          </w:r>
          <w:r>
            <w:rPr>
              <w:rFonts w:hint="eastAsia" w:ascii="黑体" w:hAnsi="黑体" w:eastAsia="黑体" w:cs="黑体"/>
              <w:sz w:val="24"/>
              <w:szCs w:val="24"/>
              <w:lang w:val="en-US" w:eastAsia="zh-CN"/>
            </w:rPr>
            <w:t>情况</w:t>
          </w:r>
          <w:r>
            <w:rPr>
              <w:sz w:val="24"/>
              <w:szCs w:val="24"/>
            </w:rPr>
            <w:tab/>
          </w:r>
          <w:r>
            <w:rPr>
              <w:sz w:val="24"/>
              <w:szCs w:val="24"/>
            </w:rPr>
            <w:fldChar w:fldCharType="begin"/>
          </w:r>
          <w:r>
            <w:rPr>
              <w:sz w:val="24"/>
              <w:szCs w:val="24"/>
            </w:rPr>
            <w:instrText xml:space="preserve"> PAGEREF _Toc9498 \h </w:instrText>
          </w:r>
          <w:r>
            <w:rPr>
              <w:sz w:val="24"/>
              <w:szCs w:val="24"/>
            </w:rPr>
            <w:fldChar w:fldCharType="separate"/>
          </w:r>
          <w:r>
            <w:rPr>
              <w:sz w:val="24"/>
              <w:szCs w:val="24"/>
            </w:rPr>
            <w:t>4</w:t>
          </w:r>
          <w:r>
            <w:rPr>
              <w:sz w:val="24"/>
              <w:szCs w:val="24"/>
            </w:rPr>
            <w:fldChar w:fldCharType="end"/>
          </w:r>
          <w:r>
            <w:rPr>
              <w:sz w:val="24"/>
              <w:szCs w:val="24"/>
            </w:rPr>
            <w:fldChar w:fldCharType="end"/>
          </w:r>
        </w:p>
        <w:p w14:paraId="262D3F6D">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_Toc32532 </w:instrText>
          </w:r>
          <w:r>
            <w:rPr>
              <w:sz w:val="24"/>
              <w:szCs w:val="24"/>
            </w:rPr>
            <w:fldChar w:fldCharType="separate"/>
          </w:r>
          <w:r>
            <w:rPr>
              <w:rFonts w:hint="eastAsia" w:ascii="黑体" w:hAnsi="黑体" w:eastAsia="黑体" w:cs="黑体"/>
              <w:sz w:val="24"/>
              <w:szCs w:val="24"/>
              <w:lang w:val="en-US" w:eastAsia="zh-CN"/>
            </w:rPr>
            <w:t>五、</w:t>
          </w:r>
          <w:r>
            <w:rPr>
              <w:rFonts w:hint="default" w:ascii="黑体" w:hAnsi="黑体" w:eastAsia="黑体" w:cs="黑体"/>
              <w:sz w:val="24"/>
              <w:szCs w:val="24"/>
              <w:lang w:val="en-US" w:eastAsia="zh-CN"/>
            </w:rPr>
            <w:t>制度建设和各项法律法规制度的执行情况</w:t>
          </w:r>
          <w:r>
            <w:rPr>
              <w:sz w:val="24"/>
              <w:szCs w:val="24"/>
            </w:rPr>
            <w:tab/>
          </w:r>
          <w:r>
            <w:rPr>
              <w:sz w:val="24"/>
              <w:szCs w:val="24"/>
            </w:rPr>
            <w:fldChar w:fldCharType="begin"/>
          </w:r>
          <w:r>
            <w:rPr>
              <w:sz w:val="24"/>
              <w:szCs w:val="24"/>
            </w:rPr>
            <w:instrText xml:space="preserve"> PAGEREF _Toc32532 \h </w:instrText>
          </w:r>
          <w:r>
            <w:rPr>
              <w:sz w:val="24"/>
              <w:szCs w:val="24"/>
            </w:rPr>
            <w:fldChar w:fldCharType="separate"/>
          </w:r>
          <w:r>
            <w:rPr>
              <w:sz w:val="24"/>
              <w:szCs w:val="24"/>
            </w:rPr>
            <w:t>5</w:t>
          </w:r>
          <w:r>
            <w:rPr>
              <w:sz w:val="24"/>
              <w:szCs w:val="24"/>
            </w:rPr>
            <w:fldChar w:fldCharType="end"/>
          </w:r>
          <w:r>
            <w:rPr>
              <w:sz w:val="24"/>
              <w:szCs w:val="24"/>
            </w:rPr>
            <w:fldChar w:fldCharType="end"/>
          </w:r>
        </w:p>
        <w:p w14:paraId="0ED36554">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_Toc22105 </w:instrText>
          </w:r>
          <w:r>
            <w:rPr>
              <w:sz w:val="24"/>
              <w:szCs w:val="24"/>
            </w:rPr>
            <w:fldChar w:fldCharType="separate"/>
          </w:r>
          <w:r>
            <w:rPr>
              <w:rFonts w:hint="default" w:ascii="黑体" w:hAnsi="黑体" w:eastAsia="黑体" w:cs="黑体"/>
              <w:sz w:val="24"/>
              <w:szCs w:val="24"/>
              <w:lang w:val="en-US" w:eastAsia="zh-CN"/>
            </w:rPr>
            <w:t>六、项目的产出成果及效益情况分析</w:t>
          </w:r>
          <w:r>
            <w:rPr>
              <w:sz w:val="24"/>
              <w:szCs w:val="24"/>
            </w:rPr>
            <w:tab/>
          </w:r>
          <w:r>
            <w:rPr>
              <w:sz w:val="24"/>
              <w:szCs w:val="24"/>
            </w:rPr>
            <w:fldChar w:fldCharType="begin"/>
          </w:r>
          <w:r>
            <w:rPr>
              <w:sz w:val="24"/>
              <w:szCs w:val="24"/>
            </w:rPr>
            <w:instrText xml:space="preserve"> PAGEREF _Toc22105 \h </w:instrText>
          </w:r>
          <w:r>
            <w:rPr>
              <w:sz w:val="24"/>
              <w:szCs w:val="24"/>
            </w:rPr>
            <w:fldChar w:fldCharType="separate"/>
          </w:r>
          <w:r>
            <w:rPr>
              <w:sz w:val="24"/>
              <w:szCs w:val="24"/>
            </w:rPr>
            <w:t>5</w:t>
          </w:r>
          <w:r>
            <w:rPr>
              <w:sz w:val="24"/>
              <w:szCs w:val="24"/>
            </w:rPr>
            <w:fldChar w:fldCharType="end"/>
          </w:r>
          <w:r>
            <w:rPr>
              <w:sz w:val="24"/>
              <w:szCs w:val="24"/>
            </w:rPr>
            <w:fldChar w:fldCharType="end"/>
          </w:r>
        </w:p>
        <w:p w14:paraId="4000128C">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_Toc19548 </w:instrText>
          </w:r>
          <w:r>
            <w:rPr>
              <w:sz w:val="24"/>
              <w:szCs w:val="24"/>
            </w:rPr>
            <w:fldChar w:fldCharType="separate"/>
          </w:r>
          <w:r>
            <w:rPr>
              <w:rFonts w:hint="default" w:ascii="Times New Roman" w:hAnsi="Times New Roman" w:eastAsia="楷体" w:cs="Times New Roman"/>
              <w:sz w:val="24"/>
              <w:szCs w:val="24"/>
              <w:lang w:val="en-US" w:eastAsia="zh-CN"/>
            </w:rPr>
            <w:t>（一）项目</w:t>
          </w:r>
          <w:r>
            <w:rPr>
              <w:rFonts w:hint="eastAsia" w:ascii="Times New Roman" w:hAnsi="Times New Roman" w:eastAsia="楷体" w:cs="Times New Roman"/>
              <w:sz w:val="24"/>
              <w:szCs w:val="24"/>
              <w:lang w:val="en-US" w:eastAsia="zh-CN"/>
            </w:rPr>
            <w:t>主要</w:t>
          </w:r>
          <w:r>
            <w:rPr>
              <w:rFonts w:hint="default" w:ascii="Times New Roman" w:hAnsi="Times New Roman" w:eastAsia="楷体" w:cs="Times New Roman"/>
              <w:sz w:val="24"/>
              <w:szCs w:val="24"/>
              <w:lang w:val="en-US" w:eastAsia="zh-CN"/>
            </w:rPr>
            <w:t>产出情况</w:t>
          </w:r>
          <w:r>
            <w:rPr>
              <w:sz w:val="24"/>
              <w:szCs w:val="24"/>
            </w:rPr>
            <w:tab/>
          </w:r>
          <w:r>
            <w:rPr>
              <w:sz w:val="24"/>
              <w:szCs w:val="24"/>
            </w:rPr>
            <w:fldChar w:fldCharType="begin"/>
          </w:r>
          <w:r>
            <w:rPr>
              <w:sz w:val="24"/>
              <w:szCs w:val="24"/>
            </w:rPr>
            <w:instrText xml:space="preserve"> PAGEREF _Toc19548 \h </w:instrText>
          </w:r>
          <w:r>
            <w:rPr>
              <w:sz w:val="24"/>
              <w:szCs w:val="24"/>
            </w:rPr>
            <w:fldChar w:fldCharType="separate"/>
          </w:r>
          <w:r>
            <w:rPr>
              <w:sz w:val="24"/>
              <w:szCs w:val="24"/>
            </w:rPr>
            <w:t>5</w:t>
          </w:r>
          <w:r>
            <w:rPr>
              <w:sz w:val="24"/>
              <w:szCs w:val="24"/>
            </w:rPr>
            <w:fldChar w:fldCharType="end"/>
          </w:r>
          <w:r>
            <w:rPr>
              <w:sz w:val="24"/>
              <w:szCs w:val="24"/>
            </w:rPr>
            <w:fldChar w:fldCharType="end"/>
          </w:r>
        </w:p>
        <w:p w14:paraId="2EFBB723">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_Toc13449 </w:instrText>
          </w:r>
          <w:r>
            <w:rPr>
              <w:sz w:val="24"/>
              <w:szCs w:val="24"/>
            </w:rPr>
            <w:fldChar w:fldCharType="separate"/>
          </w:r>
          <w:r>
            <w:rPr>
              <w:rFonts w:hint="default" w:ascii="Times New Roman" w:hAnsi="Times New Roman" w:eastAsia="楷体" w:cs="Times New Roman"/>
              <w:sz w:val="24"/>
              <w:szCs w:val="24"/>
              <w:lang w:val="en-US" w:eastAsia="zh-CN"/>
            </w:rPr>
            <w:t>（二）项目效益情况</w:t>
          </w:r>
          <w:r>
            <w:rPr>
              <w:sz w:val="24"/>
              <w:szCs w:val="24"/>
            </w:rPr>
            <w:tab/>
          </w:r>
          <w:r>
            <w:rPr>
              <w:sz w:val="24"/>
              <w:szCs w:val="24"/>
            </w:rPr>
            <w:fldChar w:fldCharType="begin"/>
          </w:r>
          <w:r>
            <w:rPr>
              <w:sz w:val="24"/>
              <w:szCs w:val="24"/>
            </w:rPr>
            <w:instrText xml:space="preserve"> PAGEREF _Toc13449 \h </w:instrText>
          </w:r>
          <w:r>
            <w:rPr>
              <w:sz w:val="24"/>
              <w:szCs w:val="24"/>
            </w:rPr>
            <w:fldChar w:fldCharType="separate"/>
          </w:r>
          <w:r>
            <w:rPr>
              <w:sz w:val="24"/>
              <w:szCs w:val="24"/>
            </w:rPr>
            <w:t>6</w:t>
          </w:r>
          <w:r>
            <w:rPr>
              <w:sz w:val="24"/>
              <w:szCs w:val="24"/>
            </w:rPr>
            <w:fldChar w:fldCharType="end"/>
          </w:r>
          <w:r>
            <w:rPr>
              <w:sz w:val="24"/>
              <w:szCs w:val="24"/>
            </w:rPr>
            <w:fldChar w:fldCharType="end"/>
          </w:r>
        </w:p>
        <w:p w14:paraId="21D99CDC">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_Toc9299 </w:instrText>
          </w:r>
          <w:r>
            <w:rPr>
              <w:sz w:val="24"/>
              <w:szCs w:val="24"/>
            </w:rPr>
            <w:fldChar w:fldCharType="separate"/>
          </w:r>
          <w:r>
            <w:rPr>
              <w:rFonts w:hint="default" w:ascii="黑体" w:hAnsi="黑体" w:eastAsia="黑体" w:cs="黑体"/>
              <w:sz w:val="24"/>
              <w:szCs w:val="24"/>
              <w:lang w:val="en-US" w:eastAsia="zh-CN"/>
            </w:rPr>
            <w:t>七、存在的问题</w:t>
          </w:r>
          <w:r>
            <w:rPr>
              <w:sz w:val="24"/>
              <w:szCs w:val="24"/>
            </w:rPr>
            <w:tab/>
          </w:r>
          <w:r>
            <w:rPr>
              <w:sz w:val="24"/>
              <w:szCs w:val="24"/>
            </w:rPr>
            <w:fldChar w:fldCharType="begin"/>
          </w:r>
          <w:r>
            <w:rPr>
              <w:sz w:val="24"/>
              <w:szCs w:val="24"/>
            </w:rPr>
            <w:instrText xml:space="preserve"> PAGEREF _Toc9299 \h </w:instrText>
          </w:r>
          <w:r>
            <w:rPr>
              <w:sz w:val="24"/>
              <w:szCs w:val="24"/>
            </w:rPr>
            <w:fldChar w:fldCharType="separate"/>
          </w:r>
          <w:r>
            <w:rPr>
              <w:sz w:val="24"/>
              <w:szCs w:val="24"/>
            </w:rPr>
            <w:t>7</w:t>
          </w:r>
          <w:r>
            <w:rPr>
              <w:sz w:val="24"/>
              <w:szCs w:val="24"/>
            </w:rPr>
            <w:fldChar w:fldCharType="end"/>
          </w:r>
          <w:r>
            <w:rPr>
              <w:sz w:val="24"/>
              <w:szCs w:val="24"/>
            </w:rPr>
            <w:fldChar w:fldCharType="end"/>
          </w:r>
        </w:p>
        <w:p w14:paraId="13918F1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_Toc1841 </w:instrText>
          </w:r>
          <w:r>
            <w:rPr>
              <w:sz w:val="24"/>
              <w:szCs w:val="24"/>
            </w:rPr>
            <w:fldChar w:fldCharType="separate"/>
          </w:r>
          <w:r>
            <w:rPr>
              <w:rFonts w:hint="default" w:ascii="Times New Roman" w:hAnsi="Times New Roman" w:eastAsia="楷体" w:cs="Times New Roman"/>
              <w:sz w:val="24"/>
              <w:szCs w:val="24"/>
              <w:lang w:val="en-US" w:eastAsia="zh-CN"/>
            </w:rPr>
            <w:t>（一）</w:t>
          </w:r>
          <w:r>
            <w:rPr>
              <w:rFonts w:hint="eastAsia" w:ascii="Times New Roman" w:hAnsi="Times New Roman" w:eastAsia="楷体" w:cs="Times New Roman"/>
              <w:sz w:val="24"/>
              <w:szCs w:val="24"/>
              <w:lang w:val="en-US" w:eastAsia="zh-CN"/>
            </w:rPr>
            <w:t>预算意识薄弱，绩效管理水平有待提高</w:t>
          </w:r>
          <w:r>
            <w:rPr>
              <w:sz w:val="24"/>
              <w:szCs w:val="24"/>
            </w:rPr>
            <w:tab/>
          </w:r>
          <w:r>
            <w:rPr>
              <w:sz w:val="24"/>
              <w:szCs w:val="24"/>
            </w:rPr>
            <w:fldChar w:fldCharType="begin"/>
          </w:r>
          <w:r>
            <w:rPr>
              <w:sz w:val="24"/>
              <w:szCs w:val="24"/>
            </w:rPr>
            <w:instrText xml:space="preserve"> PAGEREF _Toc1841 \h </w:instrText>
          </w:r>
          <w:r>
            <w:rPr>
              <w:sz w:val="24"/>
              <w:szCs w:val="24"/>
            </w:rPr>
            <w:fldChar w:fldCharType="separate"/>
          </w:r>
          <w:r>
            <w:rPr>
              <w:sz w:val="24"/>
              <w:szCs w:val="24"/>
            </w:rPr>
            <w:t>7</w:t>
          </w:r>
          <w:r>
            <w:rPr>
              <w:sz w:val="24"/>
              <w:szCs w:val="24"/>
            </w:rPr>
            <w:fldChar w:fldCharType="end"/>
          </w:r>
          <w:r>
            <w:rPr>
              <w:sz w:val="24"/>
              <w:szCs w:val="24"/>
            </w:rPr>
            <w:fldChar w:fldCharType="end"/>
          </w:r>
        </w:p>
        <w:p w14:paraId="7C06E6D3">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_Toc1617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二</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管理制度不健全，薪酬管理存在漏洞</w:t>
          </w:r>
          <w:r>
            <w:rPr>
              <w:sz w:val="24"/>
              <w:szCs w:val="24"/>
            </w:rPr>
            <w:tab/>
          </w:r>
          <w:r>
            <w:rPr>
              <w:sz w:val="24"/>
              <w:szCs w:val="24"/>
            </w:rPr>
            <w:fldChar w:fldCharType="begin"/>
          </w:r>
          <w:r>
            <w:rPr>
              <w:sz w:val="24"/>
              <w:szCs w:val="24"/>
            </w:rPr>
            <w:instrText xml:space="preserve"> PAGEREF _Toc1617 \h </w:instrText>
          </w:r>
          <w:r>
            <w:rPr>
              <w:sz w:val="24"/>
              <w:szCs w:val="24"/>
            </w:rPr>
            <w:fldChar w:fldCharType="separate"/>
          </w:r>
          <w:r>
            <w:rPr>
              <w:sz w:val="24"/>
              <w:szCs w:val="24"/>
            </w:rPr>
            <w:t>7</w:t>
          </w:r>
          <w:r>
            <w:rPr>
              <w:sz w:val="24"/>
              <w:szCs w:val="24"/>
            </w:rPr>
            <w:fldChar w:fldCharType="end"/>
          </w:r>
          <w:r>
            <w:rPr>
              <w:sz w:val="24"/>
              <w:szCs w:val="24"/>
            </w:rPr>
            <w:fldChar w:fldCharType="end"/>
          </w:r>
        </w:p>
        <w:p w14:paraId="4ACC2F67">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_Toc5750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三</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项目资金相互混用</w:t>
          </w:r>
          <w:r>
            <w:rPr>
              <w:rFonts w:hint="default"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lang w:val="en-US" w:eastAsia="zh-CN"/>
            </w:rPr>
            <w:t>不利于项目过程管理</w:t>
          </w:r>
          <w:r>
            <w:rPr>
              <w:sz w:val="24"/>
              <w:szCs w:val="24"/>
            </w:rPr>
            <w:tab/>
          </w:r>
          <w:r>
            <w:rPr>
              <w:sz w:val="24"/>
              <w:szCs w:val="24"/>
            </w:rPr>
            <w:fldChar w:fldCharType="begin"/>
          </w:r>
          <w:r>
            <w:rPr>
              <w:sz w:val="24"/>
              <w:szCs w:val="24"/>
            </w:rPr>
            <w:instrText xml:space="preserve"> PAGEREF _Toc5750 \h </w:instrText>
          </w:r>
          <w:r>
            <w:rPr>
              <w:sz w:val="24"/>
              <w:szCs w:val="24"/>
            </w:rPr>
            <w:fldChar w:fldCharType="separate"/>
          </w:r>
          <w:r>
            <w:rPr>
              <w:sz w:val="24"/>
              <w:szCs w:val="24"/>
            </w:rPr>
            <w:t>7</w:t>
          </w:r>
          <w:r>
            <w:rPr>
              <w:sz w:val="24"/>
              <w:szCs w:val="24"/>
            </w:rPr>
            <w:fldChar w:fldCharType="end"/>
          </w:r>
          <w:r>
            <w:rPr>
              <w:sz w:val="24"/>
              <w:szCs w:val="24"/>
            </w:rPr>
            <w:fldChar w:fldCharType="end"/>
          </w:r>
        </w:p>
        <w:p w14:paraId="2E43792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_Toc28525 </w:instrText>
          </w:r>
          <w:r>
            <w:rPr>
              <w:sz w:val="24"/>
              <w:szCs w:val="24"/>
            </w:rPr>
            <w:fldChar w:fldCharType="separate"/>
          </w:r>
          <w:r>
            <w:rPr>
              <w:rFonts w:hint="eastAsia" w:eastAsia="楷体" w:cs="Times New Roman"/>
              <w:sz w:val="24"/>
              <w:szCs w:val="24"/>
              <w:lang w:val="en-US" w:eastAsia="zh-CN"/>
            </w:rPr>
            <w:t>（四）两区</w:t>
          </w:r>
          <w:r>
            <w:rPr>
              <w:rFonts w:hint="eastAsia" w:ascii="Times New Roman" w:hAnsi="Times New Roman" w:eastAsia="楷体" w:cs="Times New Roman"/>
              <w:sz w:val="24"/>
              <w:szCs w:val="24"/>
              <w:lang w:val="en-US" w:eastAsia="zh-CN"/>
            </w:rPr>
            <w:t>项目效益</w:t>
          </w:r>
          <w:r>
            <w:rPr>
              <w:rFonts w:hint="eastAsia" w:eastAsia="楷体" w:cs="Times New Roman"/>
              <w:sz w:val="24"/>
              <w:szCs w:val="24"/>
              <w:lang w:val="en-US" w:eastAsia="zh-CN"/>
            </w:rPr>
            <w:t>差异较明显</w:t>
          </w:r>
          <w:r>
            <w:rPr>
              <w:sz w:val="24"/>
              <w:szCs w:val="24"/>
            </w:rPr>
            <w:tab/>
          </w:r>
          <w:r>
            <w:rPr>
              <w:sz w:val="24"/>
              <w:szCs w:val="24"/>
            </w:rPr>
            <w:fldChar w:fldCharType="begin"/>
          </w:r>
          <w:r>
            <w:rPr>
              <w:sz w:val="24"/>
              <w:szCs w:val="24"/>
            </w:rPr>
            <w:instrText xml:space="preserve"> PAGEREF _Toc28525 \h </w:instrText>
          </w:r>
          <w:r>
            <w:rPr>
              <w:sz w:val="24"/>
              <w:szCs w:val="24"/>
            </w:rPr>
            <w:fldChar w:fldCharType="separate"/>
          </w:r>
          <w:r>
            <w:rPr>
              <w:sz w:val="24"/>
              <w:szCs w:val="24"/>
            </w:rPr>
            <w:t>8</w:t>
          </w:r>
          <w:r>
            <w:rPr>
              <w:sz w:val="24"/>
              <w:szCs w:val="24"/>
            </w:rPr>
            <w:fldChar w:fldCharType="end"/>
          </w:r>
          <w:r>
            <w:rPr>
              <w:sz w:val="24"/>
              <w:szCs w:val="24"/>
            </w:rPr>
            <w:fldChar w:fldCharType="end"/>
          </w:r>
        </w:p>
        <w:p w14:paraId="0DD6141B">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_Toc29321 </w:instrText>
          </w:r>
          <w:r>
            <w:rPr>
              <w:sz w:val="24"/>
              <w:szCs w:val="24"/>
            </w:rPr>
            <w:fldChar w:fldCharType="separate"/>
          </w:r>
          <w:r>
            <w:rPr>
              <w:rFonts w:hint="default" w:ascii="黑体" w:hAnsi="黑体" w:eastAsia="黑体" w:cs="黑体"/>
              <w:sz w:val="24"/>
              <w:szCs w:val="24"/>
              <w:lang w:val="en-US" w:eastAsia="zh-CN"/>
            </w:rPr>
            <w:t>八、相关建议</w:t>
          </w:r>
          <w:r>
            <w:rPr>
              <w:sz w:val="24"/>
              <w:szCs w:val="24"/>
            </w:rPr>
            <w:tab/>
          </w:r>
          <w:r>
            <w:rPr>
              <w:sz w:val="24"/>
              <w:szCs w:val="24"/>
            </w:rPr>
            <w:fldChar w:fldCharType="begin"/>
          </w:r>
          <w:r>
            <w:rPr>
              <w:sz w:val="24"/>
              <w:szCs w:val="24"/>
            </w:rPr>
            <w:instrText xml:space="preserve"> PAGEREF _Toc29321 \h </w:instrText>
          </w:r>
          <w:r>
            <w:rPr>
              <w:sz w:val="24"/>
              <w:szCs w:val="24"/>
            </w:rPr>
            <w:fldChar w:fldCharType="separate"/>
          </w:r>
          <w:r>
            <w:rPr>
              <w:sz w:val="24"/>
              <w:szCs w:val="24"/>
            </w:rPr>
            <w:t>9</w:t>
          </w:r>
          <w:r>
            <w:rPr>
              <w:sz w:val="24"/>
              <w:szCs w:val="24"/>
            </w:rPr>
            <w:fldChar w:fldCharType="end"/>
          </w:r>
          <w:r>
            <w:rPr>
              <w:sz w:val="24"/>
              <w:szCs w:val="24"/>
            </w:rPr>
            <w:fldChar w:fldCharType="end"/>
          </w:r>
        </w:p>
        <w:p w14:paraId="7159BBBE">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_Toc158 </w:instrText>
          </w:r>
          <w:r>
            <w:rPr>
              <w:sz w:val="24"/>
              <w:szCs w:val="24"/>
            </w:rPr>
            <w:fldChar w:fldCharType="separate"/>
          </w:r>
          <w:r>
            <w:rPr>
              <w:rFonts w:hint="default" w:eastAsia="楷体" w:cs="Times New Roman"/>
              <w:sz w:val="24"/>
              <w:szCs w:val="24"/>
              <w:lang w:val="en-US" w:eastAsia="zh-CN"/>
            </w:rPr>
            <w:t>（一）</w:t>
          </w:r>
          <w:r>
            <w:rPr>
              <w:rFonts w:hint="eastAsia" w:eastAsia="楷体" w:cs="Times New Roman"/>
              <w:sz w:val="24"/>
              <w:szCs w:val="24"/>
              <w:lang w:val="en-US" w:eastAsia="zh-CN"/>
            </w:rPr>
            <w:t>强化预算相关学习，提高绩效管理水平</w:t>
          </w:r>
          <w:r>
            <w:rPr>
              <w:sz w:val="24"/>
              <w:szCs w:val="24"/>
            </w:rPr>
            <w:tab/>
          </w:r>
          <w:r>
            <w:rPr>
              <w:sz w:val="24"/>
              <w:szCs w:val="24"/>
            </w:rPr>
            <w:fldChar w:fldCharType="begin"/>
          </w:r>
          <w:r>
            <w:rPr>
              <w:sz w:val="24"/>
              <w:szCs w:val="24"/>
            </w:rPr>
            <w:instrText xml:space="preserve"> PAGEREF _Toc158 \h </w:instrText>
          </w:r>
          <w:r>
            <w:rPr>
              <w:sz w:val="24"/>
              <w:szCs w:val="24"/>
            </w:rPr>
            <w:fldChar w:fldCharType="separate"/>
          </w:r>
          <w:r>
            <w:rPr>
              <w:sz w:val="24"/>
              <w:szCs w:val="24"/>
            </w:rPr>
            <w:t>9</w:t>
          </w:r>
          <w:r>
            <w:rPr>
              <w:sz w:val="24"/>
              <w:szCs w:val="24"/>
            </w:rPr>
            <w:fldChar w:fldCharType="end"/>
          </w:r>
          <w:r>
            <w:rPr>
              <w:sz w:val="24"/>
              <w:szCs w:val="24"/>
            </w:rPr>
            <w:fldChar w:fldCharType="end"/>
          </w:r>
        </w:p>
        <w:p w14:paraId="3608539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_Toc3021 </w:instrText>
          </w:r>
          <w:r>
            <w:rPr>
              <w:sz w:val="24"/>
              <w:szCs w:val="24"/>
            </w:rPr>
            <w:fldChar w:fldCharType="separate"/>
          </w:r>
          <w:r>
            <w:rPr>
              <w:rFonts w:hint="eastAsia" w:eastAsia="楷体" w:cs="Times New Roman"/>
              <w:sz w:val="24"/>
              <w:szCs w:val="24"/>
              <w:lang w:val="en-US" w:eastAsia="zh-CN"/>
            </w:rPr>
            <w:t>（二）制定专项资金管理制度，优化绩效考核方式</w:t>
          </w:r>
          <w:r>
            <w:rPr>
              <w:sz w:val="24"/>
              <w:szCs w:val="24"/>
            </w:rPr>
            <w:tab/>
          </w:r>
          <w:r>
            <w:rPr>
              <w:sz w:val="24"/>
              <w:szCs w:val="24"/>
            </w:rPr>
            <w:fldChar w:fldCharType="begin"/>
          </w:r>
          <w:r>
            <w:rPr>
              <w:sz w:val="24"/>
              <w:szCs w:val="24"/>
            </w:rPr>
            <w:instrText xml:space="preserve"> PAGEREF _Toc3021 \h </w:instrText>
          </w:r>
          <w:r>
            <w:rPr>
              <w:sz w:val="24"/>
              <w:szCs w:val="24"/>
            </w:rPr>
            <w:fldChar w:fldCharType="separate"/>
          </w:r>
          <w:r>
            <w:rPr>
              <w:sz w:val="24"/>
              <w:szCs w:val="24"/>
            </w:rPr>
            <w:t>9</w:t>
          </w:r>
          <w:r>
            <w:rPr>
              <w:sz w:val="24"/>
              <w:szCs w:val="24"/>
            </w:rPr>
            <w:fldChar w:fldCharType="end"/>
          </w:r>
          <w:r>
            <w:rPr>
              <w:sz w:val="24"/>
              <w:szCs w:val="24"/>
            </w:rPr>
            <w:fldChar w:fldCharType="end"/>
          </w:r>
        </w:p>
        <w:p w14:paraId="4271DB0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_Toc5861 </w:instrText>
          </w:r>
          <w:r>
            <w:rPr>
              <w:sz w:val="24"/>
              <w:szCs w:val="24"/>
            </w:rPr>
            <w:fldChar w:fldCharType="separate"/>
          </w:r>
          <w:r>
            <w:rPr>
              <w:rFonts w:hint="default" w:eastAsia="楷体" w:cs="Times New Roman"/>
              <w:sz w:val="24"/>
              <w:szCs w:val="24"/>
              <w:lang w:val="en-US" w:eastAsia="zh-CN"/>
            </w:rPr>
            <w:t>（</w:t>
          </w:r>
          <w:r>
            <w:rPr>
              <w:rFonts w:hint="eastAsia" w:eastAsia="楷体" w:cs="Times New Roman"/>
              <w:sz w:val="24"/>
              <w:szCs w:val="24"/>
              <w:lang w:val="en-US" w:eastAsia="zh-CN"/>
            </w:rPr>
            <w:t>三</w:t>
          </w:r>
          <w:r>
            <w:rPr>
              <w:rFonts w:hint="default" w:eastAsia="楷体" w:cs="Times New Roman"/>
              <w:sz w:val="24"/>
              <w:szCs w:val="24"/>
              <w:lang w:val="en-US" w:eastAsia="zh-CN"/>
            </w:rPr>
            <w:t>）</w:t>
          </w:r>
          <w:r>
            <w:rPr>
              <w:rFonts w:hint="eastAsia" w:eastAsia="楷体" w:cs="Times New Roman"/>
              <w:sz w:val="24"/>
              <w:szCs w:val="24"/>
              <w:lang w:val="en-US" w:eastAsia="zh-CN"/>
            </w:rPr>
            <w:t>规范项目资金使用，增强绩效考核粘性</w:t>
          </w:r>
          <w:r>
            <w:rPr>
              <w:sz w:val="24"/>
              <w:szCs w:val="24"/>
            </w:rPr>
            <w:tab/>
          </w:r>
          <w:r>
            <w:rPr>
              <w:sz w:val="24"/>
              <w:szCs w:val="24"/>
            </w:rPr>
            <w:fldChar w:fldCharType="begin"/>
          </w:r>
          <w:r>
            <w:rPr>
              <w:sz w:val="24"/>
              <w:szCs w:val="24"/>
            </w:rPr>
            <w:instrText xml:space="preserve"> PAGEREF _Toc5861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EC5403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_Toc18656 </w:instrText>
          </w:r>
          <w:r>
            <w:rPr>
              <w:sz w:val="24"/>
              <w:szCs w:val="24"/>
            </w:rPr>
            <w:fldChar w:fldCharType="separate"/>
          </w:r>
          <w:r>
            <w:rPr>
              <w:rFonts w:hint="eastAsia" w:eastAsia="楷体" w:cs="Times New Roman"/>
              <w:sz w:val="24"/>
              <w:szCs w:val="24"/>
              <w:lang w:val="en-US" w:eastAsia="zh-CN"/>
            </w:rPr>
            <w:t>（四）注重项目成本控制，提升资金使用效率</w:t>
          </w:r>
          <w:r>
            <w:rPr>
              <w:sz w:val="24"/>
              <w:szCs w:val="24"/>
            </w:rPr>
            <w:tab/>
          </w:r>
          <w:r>
            <w:rPr>
              <w:sz w:val="24"/>
              <w:szCs w:val="24"/>
            </w:rPr>
            <w:fldChar w:fldCharType="begin"/>
          </w:r>
          <w:r>
            <w:rPr>
              <w:sz w:val="24"/>
              <w:szCs w:val="24"/>
            </w:rPr>
            <w:instrText xml:space="preserve"> PAGEREF _Toc18656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C571542">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_Toc28056 </w:instrText>
          </w:r>
          <w:r>
            <w:rPr>
              <w:sz w:val="24"/>
              <w:szCs w:val="24"/>
            </w:rPr>
            <w:fldChar w:fldCharType="separate"/>
          </w:r>
          <w:r>
            <w:rPr>
              <w:rFonts w:hint="eastAsia" w:ascii="黑体" w:hAnsi="黑体" w:eastAsia="黑体" w:cs="黑体"/>
              <w:sz w:val="24"/>
              <w:szCs w:val="24"/>
              <w:lang w:val="en-US" w:eastAsia="zh-CN"/>
            </w:rPr>
            <w:t>九、综合评价情况及评价结论</w:t>
          </w:r>
          <w:r>
            <w:rPr>
              <w:sz w:val="24"/>
              <w:szCs w:val="24"/>
            </w:rPr>
            <w:tab/>
          </w:r>
          <w:r>
            <w:rPr>
              <w:sz w:val="24"/>
              <w:szCs w:val="24"/>
            </w:rPr>
            <w:fldChar w:fldCharType="begin"/>
          </w:r>
          <w:r>
            <w:rPr>
              <w:sz w:val="24"/>
              <w:szCs w:val="24"/>
            </w:rPr>
            <w:instrText xml:space="preserve"> PAGEREF _Toc28056 \h </w:instrText>
          </w:r>
          <w:r>
            <w:rPr>
              <w:sz w:val="24"/>
              <w:szCs w:val="24"/>
            </w:rPr>
            <w:fldChar w:fldCharType="separate"/>
          </w:r>
          <w:r>
            <w:rPr>
              <w:sz w:val="24"/>
              <w:szCs w:val="24"/>
            </w:rPr>
            <w:t>11</w:t>
          </w:r>
          <w:r>
            <w:rPr>
              <w:sz w:val="24"/>
              <w:szCs w:val="24"/>
            </w:rPr>
            <w:fldChar w:fldCharType="end"/>
          </w:r>
          <w:r>
            <w:rPr>
              <w:sz w:val="24"/>
              <w:szCs w:val="24"/>
            </w:rPr>
            <w:fldChar w:fldCharType="end"/>
          </w:r>
        </w:p>
        <w:p w14:paraId="18C75A89">
          <w:r>
            <w:fldChar w:fldCharType="end"/>
          </w:r>
        </w:p>
      </w:sdtContent>
    </w:sdt>
    <w:p w14:paraId="16345C24">
      <w:pPr>
        <w:rPr>
          <w:rFonts w:hint="default" w:ascii="Times New Roman" w:hAnsi="Times New Roman" w:eastAsia="黑体" w:cs="Times New Roman"/>
          <w:sz w:val="32"/>
          <w:szCs w:val="32"/>
        </w:rPr>
      </w:pPr>
    </w:p>
    <w:p w14:paraId="4B33E239">
      <w:pPr>
        <w:rPr>
          <w:rFonts w:hint="default" w:ascii="Times New Roman" w:hAnsi="Times New Roman" w:eastAsia="黑体" w:cs="Times New Roman"/>
          <w:sz w:val="32"/>
          <w:szCs w:val="32"/>
        </w:rPr>
      </w:pPr>
    </w:p>
    <w:p w14:paraId="0816702D">
      <w:pPr>
        <w:keepNext w:val="0"/>
        <w:keepLines w:val="0"/>
        <w:pageBreakBefore w:val="0"/>
        <w:widowControl w:val="0"/>
        <w:kinsoku/>
        <w:wordWrap/>
        <w:overflowPunct/>
        <w:topLinePunct w:val="0"/>
        <w:autoSpaceDE/>
        <w:autoSpaceDN/>
        <w:bidi w:val="0"/>
        <w:adjustRightInd/>
        <w:spacing w:before="0" w:after="0" w:line="560" w:lineRule="exact"/>
        <w:jc w:val="both"/>
        <w:textAlignment w:val="auto"/>
        <w:outlineLvl w:val="9"/>
        <w:rPr>
          <w:rFonts w:hint="default" w:ascii="Times New Roman" w:hAnsi="Times New Roman" w:eastAsia="方正小标宋简体" w:cs="Times New Roman"/>
          <w:bCs/>
          <w:color w:val="auto"/>
          <w:sz w:val="44"/>
          <w:szCs w:val="44"/>
          <w:lang w:eastAsia="zh-Hans"/>
        </w:rPr>
        <w:sectPr>
          <w:footerReference r:id="rId3"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42CF849">
      <w:pPr>
        <w:keepNext w:val="0"/>
        <w:keepLines w:val="0"/>
        <w:pageBreakBefore w:val="0"/>
        <w:widowControl w:val="0"/>
        <w:kinsoku/>
        <w:wordWrap/>
        <w:overflowPunct/>
        <w:topLinePunct w:val="0"/>
        <w:autoSpaceDE/>
        <w:autoSpaceDN/>
        <w:bidi w:val="0"/>
        <w:adjustRightInd/>
        <w:snapToGrid w:val="0"/>
        <w:spacing w:before="0" w:after="0" w:line="560" w:lineRule="exact"/>
        <w:ind w:firstLine="880" w:firstLineChars="200"/>
        <w:jc w:val="center"/>
        <w:textAlignment w:val="auto"/>
        <w:rPr>
          <w:rFonts w:hint="default" w:ascii="Times New Roman" w:hAnsi="Times New Roman" w:eastAsia="方正小标宋简体" w:cs="Times New Roman"/>
          <w:bCs/>
          <w:color w:val="auto"/>
          <w:sz w:val="44"/>
          <w:szCs w:val="44"/>
          <w:lang w:eastAsia="zh-Hans"/>
        </w:rPr>
      </w:pPr>
      <w:r>
        <w:rPr>
          <w:rFonts w:hint="default" w:ascii="Times New Roman" w:hAnsi="Times New Roman" w:eastAsia="方正小标宋简体" w:cs="Times New Roman"/>
          <w:bCs/>
          <w:color w:val="auto"/>
          <w:sz w:val="44"/>
          <w:szCs w:val="44"/>
          <w:lang w:eastAsia="zh-Hans"/>
        </w:rPr>
        <w:t>2023年永州市冷水滩区</w:t>
      </w:r>
      <w:r>
        <w:rPr>
          <w:rFonts w:hint="eastAsia" w:eastAsia="方正小标宋简体" w:cs="Times New Roman"/>
          <w:bCs/>
          <w:color w:val="auto"/>
          <w:sz w:val="44"/>
          <w:szCs w:val="44"/>
          <w:lang w:val="en-US" w:eastAsia="zh-CN"/>
        </w:rPr>
        <w:t>园林绿</w:t>
      </w:r>
      <w:r>
        <w:rPr>
          <w:rFonts w:hint="default" w:ascii="Times New Roman" w:hAnsi="Times New Roman" w:eastAsia="方正小标宋简体" w:cs="Times New Roman"/>
          <w:bCs/>
          <w:color w:val="auto"/>
          <w:sz w:val="44"/>
          <w:szCs w:val="44"/>
          <w:lang w:eastAsia="zh-Hans"/>
        </w:rPr>
        <w:t>化面积</w:t>
      </w:r>
    </w:p>
    <w:p w14:paraId="6E298E3B">
      <w:pPr>
        <w:keepNext w:val="0"/>
        <w:keepLines w:val="0"/>
        <w:pageBreakBefore w:val="0"/>
        <w:widowControl w:val="0"/>
        <w:kinsoku/>
        <w:wordWrap/>
        <w:overflowPunct/>
        <w:topLinePunct w:val="0"/>
        <w:autoSpaceDE/>
        <w:autoSpaceDN/>
        <w:bidi w:val="0"/>
        <w:adjustRightInd/>
        <w:snapToGrid w:val="0"/>
        <w:spacing w:before="0" w:after="0" w:line="560" w:lineRule="exact"/>
        <w:ind w:firstLine="880" w:firstLineChars="200"/>
        <w:jc w:val="center"/>
        <w:textAlignment w:val="auto"/>
        <w:rPr>
          <w:rFonts w:hint="default" w:ascii="Times New Roman" w:hAnsi="Times New Roman" w:eastAsia="方正小标宋简体" w:cs="Times New Roman"/>
          <w:bCs/>
          <w:color w:val="auto"/>
          <w:sz w:val="44"/>
          <w:szCs w:val="44"/>
          <w:lang w:eastAsia="zh-Hans"/>
        </w:rPr>
      </w:pPr>
      <w:r>
        <w:rPr>
          <w:rFonts w:hint="default" w:ascii="Times New Roman" w:hAnsi="Times New Roman" w:eastAsia="方正小标宋简体" w:cs="Times New Roman"/>
          <w:bCs/>
          <w:color w:val="auto"/>
          <w:sz w:val="44"/>
          <w:szCs w:val="44"/>
          <w:lang w:eastAsia="zh-Hans"/>
        </w:rPr>
        <w:t>养护及新增面积环卫经费</w:t>
      </w:r>
    </w:p>
    <w:p w14:paraId="76533272">
      <w:pPr>
        <w:keepNext w:val="0"/>
        <w:keepLines w:val="0"/>
        <w:pageBreakBefore w:val="0"/>
        <w:widowControl w:val="0"/>
        <w:kinsoku/>
        <w:wordWrap/>
        <w:overflowPunct/>
        <w:topLinePunct w:val="0"/>
        <w:autoSpaceDE/>
        <w:autoSpaceDN/>
        <w:bidi w:val="0"/>
        <w:adjustRightInd/>
        <w:snapToGrid w:val="0"/>
        <w:spacing w:before="0" w:after="0" w:line="560" w:lineRule="exact"/>
        <w:ind w:firstLine="88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bCs/>
          <w:color w:val="auto"/>
          <w:sz w:val="44"/>
          <w:szCs w:val="44"/>
          <w:lang w:eastAsia="zh-Hans"/>
        </w:rPr>
        <w:t>专项资金绩效评价</w:t>
      </w:r>
    </w:p>
    <w:p w14:paraId="1555ACB9">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为全面实施预算绩效管理，</w:t>
      </w:r>
      <w:r>
        <w:rPr>
          <w:rFonts w:hint="default" w:ascii="Times New Roman" w:hAnsi="Times New Roman" w:eastAsia="仿宋_GB2312" w:cs="Times New Roman"/>
          <w:sz w:val="32"/>
          <w:szCs w:val="32"/>
        </w:rPr>
        <w:t>进一步加强财政支出管理，强化部门支出责任，切实提高财政资金使用效益和管理水平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根据《中华人民共和国预算法》</w:t>
      </w:r>
      <w:r>
        <w:rPr>
          <w:rFonts w:hint="default" w:ascii="Times New Roman" w:hAnsi="Times New Roman" w:eastAsia="仿宋_GB2312" w:cs="Times New Roman"/>
          <w:sz w:val="32"/>
          <w:szCs w:val="32"/>
          <w:lang w:eastAsia="zh-CN"/>
        </w:rPr>
        <w:t>《中华人民共和国预算法实施条例》</w:t>
      </w:r>
      <w:r>
        <w:rPr>
          <w:rFonts w:hint="default" w:ascii="Times New Roman" w:hAnsi="Times New Roman" w:eastAsia="仿宋_GB2312" w:cs="Times New Roman"/>
          <w:sz w:val="32"/>
          <w:szCs w:val="32"/>
        </w:rPr>
        <w:t>《中共中央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国务院关于全面实施预算绩效管理的意见》（中发〔2018〕34号）</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《中共湖南省委办公厅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湖南省人民政府办公厅关于全面实施预算绩效管理的实施意见》（湘办发〔2019〕10号）</w:t>
      </w:r>
      <w:r>
        <w:rPr>
          <w:rFonts w:hint="default" w:ascii="Times New Roman" w:hAnsi="Times New Roman" w:eastAsia="仿宋_GB2312" w:cs="Times New Roman"/>
          <w:sz w:val="32"/>
          <w:szCs w:val="32"/>
          <w:highlight w:val="none"/>
        </w:rPr>
        <w:t>等文件精神</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lang w:val="en-US" w:eastAsia="zh-CN"/>
        </w:rPr>
        <w:t>永州</w:t>
      </w:r>
      <w:r>
        <w:rPr>
          <w:rFonts w:hint="default" w:ascii="Times New Roman" w:hAnsi="Times New Roman" w:eastAsia="仿宋_GB2312" w:cs="Times New Roman"/>
          <w:sz w:val="32"/>
          <w:szCs w:val="32"/>
        </w:rPr>
        <w:t>市财政局</w:t>
      </w:r>
      <w:r>
        <w:rPr>
          <w:rFonts w:hint="eastAsia" w:eastAsia="仿宋_GB2312" w:cs="Times New Roman"/>
          <w:sz w:val="32"/>
          <w:szCs w:val="32"/>
          <w:lang w:val="en-US" w:eastAsia="zh-CN"/>
        </w:rPr>
        <w:t>委托湖南九澧咨询服务有限公司</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月对202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eastAsia" w:eastAsia="仿宋_GB2312" w:cs="Times New Roman"/>
          <w:sz w:val="32"/>
          <w:szCs w:val="32"/>
          <w:lang w:val="en-US" w:eastAsia="zh-CN"/>
        </w:rPr>
        <w:t>永州市冷水滩区新增绿化面积养护及新增面积环卫经费</w:t>
      </w:r>
      <w:r>
        <w:rPr>
          <w:rFonts w:hint="default" w:ascii="Times New Roman" w:hAnsi="Times New Roman" w:eastAsia="仿宋_GB2312" w:cs="Times New Roman"/>
          <w:sz w:val="32"/>
          <w:szCs w:val="32"/>
          <w:lang w:val="en-US" w:eastAsia="zh-CN"/>
        </w:rPr>
        <w:t>实施了绩效评价，现将项目绩效评价情况报告如下：</w:t>
      </w:r>
    </w:p>
    <w:p w14:paraId="45491C64">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楷体_GB2312" w:cs="Times New Roman"/>
          <w:b/>
          <w:sz w:val="32"/>
          <w:szCs w:val="32"/>
        </w:rPr>
      </w:pPr>
      <w:bookmarkStart w:id="13" w:name="_Toc31376"/>
      <w:bookmarkStart w:id="14" w:name="_Toc26516"/>
      <w:bookmarkStart w:id="15" w:name="_Toc1418"/>
      <w:bookmarkStart w:id="16" w:name="_Toc5629"/>
      <w:bookmarkStart w:id="17" w:name="_Toc15008"/>
      <w:bookmarkStart w:id="18" w:name="_Toc12064"/>
      <w:bookmarkStart w:id="19" w:name="_Toc7944"/>
      <w:bookmarkStart w:id="20" w:name="_Toc15217"/>
      <w:bookmarkStart w:id="21" w:name="_Toc28846"/>
      <w:bookmarkStart w:id="22" w:name="_Toc13807"/>
      <w:bookmarkStart w:id="23" w:name="_Toc19311"/>
      <w:bookmarkStart w:id="24" w:name="_Toc4719"/>
      <w:bookmarkStart w:id="25" w:name="_Toc26377"/>
      <w:bookmarkStart w:id="26" w:name="_Toc28285"/>
      <w:bookmarkStart w:id="27" w:name="_Toc8407"/>
      <w:bookmarkStart w:id="28" w:name="_Toc11534"/>
      <w:bookmarkStart w:id="29" w:name="_Toc5583"/>
      <w:bookmarkStart w:id="30" w:name="_Toc13541"/>
      <w:bookmarkStart w:id="31" w:name="_Toc26388"/>
      <w:bookmarkStart w:id="32" w:name="_Toc4725"/>
      <w:bookmarkStart w:id="33" w:name="_Toc8868"/>
      <w:r>
        <w:rPr>
          <w:rFonts w:hint="default" w:ascii="Times New Roman" w:hAnsi="Times New Roman" w:cs="Times New Roman"/>
          <w:sz w:val="32"/>
          <w:szCs w:val="32"/>
          <w:lang w:val="en-US" w:eastAsia="zh-CN"/>
        </w:rPr>
        <w:t>一、评价情况</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66AA573">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4" w:name="_Toc28484"/>
      <w:bookmarkStart w:id="35" w:name="_Toc19596"/>
      <w:bookmarkStart w:id="36" w:name="_Toc28430"/>
      <w:bookmarkStart w:id="37" w:name="_Toc17810"/>
      <w:bookmarkStart w:id="38" w:name="_Toc1309"/>
      <w:bookmarkStart w:id="39" w:name="_Toc27562"/>
      <w:bookmarkStart w:id="40" w:name="_Toc8388"/>
      <w:bookmarkStart w:id="41" w:name="_Toc22709"/>
      <w:bookmarkStart w:id="42" w:name="_Toc11024"/>
      <w:bookmarkStart w:id="43" w:name="_Toc23521"/>
      <w:bookmarkStart w:id="44" w:name="_Toc16157"/>
      <w:bookmarkStart w:id="45" w:name="_Toc24516"/>
      <w:bookmarkStart w:id="46" w:name="_Toc11736"/>
      <w:bookmarkStart w:id="47" w:name="_Toc2855"/>
      <w:bookmarkStart w:id="48" w:name="_Toc5094"/>
      <w:bookmarkStart w:id="49" w:name="_Toc8861"/>
      <w:bookmarkStart w:id="50" w:name="_Toc32499"/>
      <w:bookmarkStart w:id="51" w:name="_Toc16563"/>
      <w:bookmarkStart w:id="52" w:name="_Toc3636"/>
      <w:bookmarkStart w:id="53" w:name="_Toc3944"/>
      <w:r>
        <w:rPr>
          <w:rFonts w:hint="default" w:ascii="Times New Roman" w:hAnsi="Times New Roman" w:eastAsia="楷体" w:cs="Times New Roman"/>
          <w:sz w:val="32"/>
          <w:lang w:val="en-US" w:eastAsia="zh-CN"/>
        </w:rPr>
        <w:t>（</w:t>
      </w:r>
      <w:r>
        <w:rPr>
          <w:rFonts w:hint="eastAsia" w:eastAsia="楷体" w:cs="Times New Roman"/>
          <w:sz w:val="32"/>
          <w:lang w:val="en-US" w:eastAsia="zh-CN"/>
        </w:rPr>
        <w:t>一</w:t>
      </w:r>
      <w:r>
        <w:rPr>
          <w:rFonts w:hint="default" w:ascii="Times New Roman" w:hAnsi="Times New Roman" w:eastAsia="楷体" w:cs="Times New Roman"/>
          <w:sz w:val="32"/>
          <w:lang w:val="en-US" w:eastAsia="zh-CN"/>
        </w:rPr>
        <w:t>）评价</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eastAsia="楷体" w:cs="Times New Roman"/>
          <w:sz w:val="32"/>
          <w:lang w:val="en-US" w:eastAsia="zh-CN"/>
        </w:rPr>
        <w:t>过程</w:t>
      </w:r>
      <w:bookmarkEnd w:id="53"/>
    </w:p>
    <w:p w14:paraId="0C93D0C2">
      <w:pPr>
        <w:pStyle w:val="2"/>
        <w:pageBreakBefore w:val="0"/>
        <w:kinsoku/>
        <w:wordWrap/>
        <w:overflowPunct/>
        <w:topLinePunct w:val="0"/>
        <w:autoSpaceDE/>
        <w:autoSpaceDN/>
        <w:bidi w:val="0"/>
        <w:spacing w:line="560" w:lineRule="exact"/>
        <w:ind w:right="-92" w:rightChars="-44"/>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本</w:t>
      </w:r>
      <w:r>
        <w:rPr>
          <w:rFonts w:hint="eastAsia" w:eastAsia="仿宋_GB2312" w:cs="Times New Roman"/>
          <w:kern w:val="2"/>
          <w:sz w:val="32"/>
          <w:szCs w:val="32"/>
          <w:highlight w:val="none"/>
          <w:lang w:val="en-US" w:eastAsia="zh-CN" w:bidi="ar-SA"/>
        </w:rPr>
        <w:t>评价</w:t>
      </w:r>
      <w:r>
        <w:rPr>
          <w:rFonts w:hint="default" w:ascii="Times New Roman" w:hAnsi="Times New Roman" w:eastAsia="仿宋_GB2312" w:cs="Times New Roman"/>
          <w:kern w:val="2"/>
          <w:sz w:val="32"/>
          <w:szCs w:val="32"/>
          <w:highlight w:val="none"/>
          <w:lang w:val="en-US" w:eastAsia="zh-CN" w:bidi="ar-SA"/>
        </w:rPr>
        <w:t>项目实施时间为202</w:t>
      </w:r>
      <w:r>
        <w:rPr>
          <w:rFonts w:hint="eastAsia"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年</w:t>
      </w:r>
      <w:r>
        <w:rPr>
          <w:rFonts w:hint="eastAsia"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月</w:t>
      </w:r>
      <w:r>
        <w:rPr>
          <w:rFonts w:hint="eastAsia" w:eastAsia="仿宋_GB2312" w:cs="Times New Roman"/>
          <w:kern w:val="2"/>
          <w:sz w:val="32"/>
          <w:szCs w:val="32"/>
          <w:highlight w:val="none"/>
          <w:lang w:val="en-US" w:eastAsia="zh-CN" w:bidi="ar-SA"/>
        </w:rPr>
        <w:t>11日至2024年4月30日。</w:t>
      </w:r>
      <w:r>
        <w:rPr>
          <w:rFonts w:hint="default" w:ascii="Times New Roman" w:hAnsi="Times New Roman" w:eastAsia="仿宋_GB2312" w:cs="Times New Roman"/>
          <w:kern w:val="2"/>
          <w:sz w:val="32"/>
          <w:szCs w:val="32"/>
          <w:highlight w:val="none"/>
          <w:lang w:val="en-US" w:eastAsia="zh-CN" w:bidi="ar-SA"/>
        </w:rPr>
        <w:t>在评价过程中</w:t>
      </w:r>
      <w:r>
        <w:rPr>
          <w:rFonts w:hint="eastAsia" w:ascii="Times New Roman" w:hAnsi="Times New Roman" w:eastAsia="仿宋_GB2312" w:cs="Times New Roman"/>
          <w:kern w:val="2"/>
          <w:sz w:val="32"/>
          <w:szCs w:val="32"/>
          <w:highlight w:val="none"/>
          <w:lang w:val="en-US" w:eastAsia="zh-CN" w:bidi="ar-SA"/>
        </w:rPr>
        <w:t>，工作组</w:t>
      </w:r>
      <w:r>
        <w:rPr>
          <w:rFonts w:hint="default" w:ascii="Times New Roman" w:hAnsi="Times New Roman" w:eastAsia="仿宋_GB2312" w:cs="Times New Roman"/>
          <w:kern w:val="2"/>
          <w:sz w:val="32"/>
          <w:szCs w:val="32"/>
          <w:highlight w:val="none"/>
          <w:lang w:val="en-US" w:eastAsia="zh-CN" w:bidi="ar-SA"/>
        </w:rPr>
        <w:t>查阅</w:t>
      </w:r>
      <w:r>
        <w:rPr>
          <w:rFonts w:hint="eastAsia" w:ascii="Times New Roman" w:hAnsi="Times New Roman" w:eastAsia="仿宋_GB2312" w:cs="Times New Roman"/>
          <w:kern w:val="2"/>
          <w:sz w:val="32"/>
          <w:szCs w:val="32"/>
          <w:highlight w:val="none"/>
          <w:lang w:val="en-US" w:eastAsia="zh-CN" w:bidi="ar-SA"/>
        </w:rPr>
        <w:t>了相关</w:t>
      </w:r>
      <w:r>
        <w:rPr>
          <w:rFonts w:hint="default" w:ascii="Times New Roman" w:hAnsi="Times New Roman" w:eastAsia="仿宋_GB2312" w:cs="Times New Roman"/>
          <w:kern w:val="2"/>
          <w:sz w:val="32"/>
          <w:szCs w:val="32"/>
          <w:lang w:val="en-US" w:eastAsia="zh-CN" w:bidi="ar-SA"/>
        </w:rPr>
        <w:t>制度和会计档案</w:t>
      </w:r>
      <w:r>
        <w:rPr>
          <w:rFonts w:hint="eastAsia" w:ascii="Times New Roman" w:hAnsi="Times New Roman" w:eastAsia="仿宋_GB2312" w:cs="Times New Roman"/>
          <w:kern w:val="2"/>
          <w:sz w:val="32"/>
          <w:szCs w:val="32"/>
          <w:lang w:val="en-US" w:eastAsia="zh-CN" w:bidi="ar-SA"/>
        </w:rPr>
        <w:t>，核对了</w:t>
      </w:r>
      <w:r>
        <w:rPr>
          <w:rFonts w:hint="default" w:ascii="Times New Roman" w:hAnsi="Times New Roman" w:eastAsia="仿宋_GB2312" w:cs="Times New Roman"/>
          <w:kern w:val="2"/>
          <w:sz w:val="32"/>
          <w:szCs w:val="32"/>
          <w:highlight w:val="none"/>
          <w:lang w:val="en-US" w:eastAsia="zh-CN" w:bidi="ar-SA"/>
        </w:rPr>
        <w:t>会计凭证、收付依</w:t>
      </w:r>
      <w:r>
        <w:rPr>
          <w:rFonts w:hint="default" w:ascii="Times New Roman" w:hAnsi="Times New Roman" w:eastAsia="仿宋_GB2312" w:cs="Times New Roman"/>
          <w:kern w:val="2"/>
          <w:sz w:val="32"/>
          <w:szCs w:val="32"/>
          <w:lang w:val="en-US" w:eastAsia="zh-CN" w:bidi="ar-SA"/>
        </w:rPr>
        <w:t>据</w:t>
      </w:r>
      <w:r>
        <w:rPr>
          <w:rFonts w:hint="eastAsia" w:ascii="Times New Roman" w:hAnsi="Times New Roman" w:eastAsia="仿宋_GB2312" w:cs="Times New Roman"/>
          <w:kern w:val="2"/>
          <w:sz w:val="32"/>
          <w:szCs w:val="32"/>
          <w:shd w:val="clear"/>
          <w:lang w:val="en-US" w:eastAsia="zh-CN" w:bidi="ar-SA"/>
        </w:rPr>
        <w:t>，</w:t>
      </w:r>
      <w:r>
        <w:rPr>
          <w:rFonts w:hint="default" w:ascii="Times New Roman" w:hAnsi="Times New Roman" w:eastAsia="仿宋_GB2312" w:cs="Times New Roman"/>
          <w:kern w:val="2"/>
          <w:sz w:val="32"/>
          <w:szCs w:val="32"/>
          <w:shd w:val="clear"/>
          <w:lang w:val="en-US" w:eastAsia="zh-CN" w:bidi="ar-SA"/>
        </w:rPr>
        <w:t>现场</w:t>
      </w:r>
      <w:r>
        <w:rPr>
          <w:rFonts w:hint="eastAsia" w:ascii="Times New Roman" w:hAnsi="Times New Roman" w:eastAsia="仿宋_GB2312" w:cs="Times New Roman"/>
          <w:kern w:val="2"/>
          <w:sz w:val="32"/>
          <w:szCs w:val="32"/>
          <w:shd w:val="clear"/>
          <w:lang w:val="en-US" w:eastAsia="zh-CN" w:bidi="ar-SA"/>
        </w:rPr>
        <w:t>走访了</w:t>
      </w:r>
      <w:r>
        <w:rPr>
          <w:rFonts w:hint="eastAsia" w:ascii="Times New Roman" w:hAnsi="Times New Roman" w:eastAsia="仿宋_GB2312" w:cs="Times New Roman"/>
          <w:kern w:val="2"/>
          <w:sz w:val="32"/>
          <w:szCs w:val="32"/>
          <w:highlight w:val="none"/>
          <w:lang w:val="en-US" w:eastAsia="zh-CN" w:bidi="ar-SA"/>
        </w:rPr>
        <w:t>永州市冷水滩区城市环境卫生和园林绿化服务中心，对永州市冷水滩区新增绿化面积养护及新增面积环卫经费项目进行了现场评价。</w:t>
      </w:r>
    </w:p>
    <w:p w14:paraId="70B1239C">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54" w:name="_Toc26495"/>
      <w:bookmarkStart w:id="55" w:name="_Toc1396"/>
      <w:bookmarkStart w:id="56" w:name="_Toc4193"/>
      <w:bookmarkStart w:id="57" w:name="_Toc30244"/>
      <w:bookmarkStart w:id="58" w:name="_Toc31296"/>
      <w:bookmarkStart w:id="59" w:name="_Toc2938"/>
      <w:bookmarkStart w:id="60" w:name="_Toc28058"/>
      <w:bookmarkStart w:id="61" w:name="_Toc18353"/>
      <w:bookmarkStart w:id="62" w:name="_Toc21509"/>
      <w:bookmarkStart w:id="63" w:name="_Toc947"/>
      <w:bookmarkStart w:id="64" w:name="_Toc14435"/>
      <w:bookmarkStart w:id="65" w:name="_Toc5777"/>
      <w:bookmarkStart w:id="66" w:name="_Toc8543"/>
      <w:bookmarkStart w:id="67" w:name="_Toc14575"/>
      <w:bookmarkStart w:id="68" w:name="_Toc1564"/>
      <w:bookmarkStart w:id="69" w:name="_Toc22716"/>
      <w:bookmarkStart w:id="70" w:name="_Toc21681"/>
      <w:bookmarkStart w:id="71" w:name="_Toc1401"/>
      <w:bookmarkStart w:id="72" w:name="_Toc9808"/>
      <w:bookmarkStart w:id="73" w:name="_Toc24838"/>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）评价方法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9ADD4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highlight w:val="none"/>
          <w:lang w:val="en-US" w:eastAsia="zh-CN" w:bidi="ar-SA"/>
        </w:rPr>
        <w:t>本次</w:t>
      </w:r>
      <w:r>
        <w:rPr>
          <w:rFonts w:hint="default" w:ascii="Times New Roman" w:hAnsi="Times New Roman" w:eastAsia="仿宋_GB2312" w:cs="Times New Roman"/>
          <w:kern w:val="2"/>
          <w:sz w:val="32"/>
          <w:szCs w:val="32"/>
          <w:highlight w:val="none"/>
          <w:lang w:val="en-US" w:eastAsia="zh-CN" w:bidi="ar-SA"/>
        </w:rPr>
        <w:t>评价过程中</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Hans" w:bidi="ar-SA"/>
        </w:rPr>
        <w:t>根据</w:t>
      </w:r>
      <w:r>
        <w:rPr>
          <w:rFonts w:hint="eastAsia" w:ascii="Times New Roman" w:hAnsi="Times New Roman" w:eastAsia="仿宋_GB2312" w:cs="Times New Roman"/>
          <w:kern w:val="2"/>
          <w:sz w:val="32"/>
          <w:szCs w:val="32"/>
          <w:highlight w:val="none"/>
          <w:lang w:val="en-US" w:eastAsia="zh-CN" w:bidi="ar-SA"/>
        </w:rPr>
        <w:t>评价</w:t>
      </w:r>
      <w:r>
        <w:rPr>
          <w:rFonts w:hint="eastAsia" w:ascii="Times New Roman" w:hAnsi="Times New Roman" w:eastAsia="仿宋_GB2312" w:cs="Times New Roman"/>
          <w:kern w:val="2"/>
          <w:sz w:val="32"/>
          <w:szCs w:val="32"/>
          <w:highlight w:val="none"/>
          <w:lang w:val="en-US" w:eastAsia="zh-Hans" w:bidi="ar-SA"/>
        </w:rPr>
        <w:t>对象的具体情况</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采取</w:t>
      </w:r>
      <w:r>
        <w:rPr>
          <w:rFonts w:hint="eastAsia" w:ascii="Times New Roman" w:hAnsi="Times New Roman" w:eastAsia="仿宋_GB2312" w:cs="Times New Roman"/>
          <w:kern w:val="2"/>
          <w:sz w:val="32"/>
          <w:szCs w:val="32"/>
          <w:highlight w:val="none"/>
          <w:lang w:val="en-US" w:eastAsia="zh-CN" w:bidi="ar-SA"/>
        </w:rPr>
        <w:t>比较法、因素分析法、成本分析法、公众评判法等</w:t>
      </w:r>
      <w:r>
        <w:rPr>
          <w:rFonts w:hint="eastAsia" w:ascii="Times New Roman" w:hAnsi="Times New Roman" w:eastAsia="仿宋_GB2312" w:cs="Times New Roman"/>
          <w:kern w:val="2"/>
          <w:sz w:val="32"/>
          <w:szCs w:val="32"/>
          <w:highlight w:val="none"/>
          <w:lang w:val="en-US" w:eastAsia="zh-Hans" w:bidi="ar-SA"/>
        </w:rPr>
        <w:t>多种方法相结合</w:t>
      </w:r>
      <w:r>
        <w:rPr>
          <w:rFonts w:hint="eastAsia" w:ascii="Times New Roman" w:hAnsi="Times New Roman" w:eastAsia="仿宋_GB2312" w:cs="Times New Roman"/>
          <w:kern w:val="2"/>
          <w:sz w:val="32"/>
          <w:szCs w:val="32"/>
          <w:highlight w:val="none"/>
          <w:lang w:val="en-US" w:eastAsia="zh-CN" w:bidi="ar-SA"/>
        </w:rPr>
        <w:t>的方式开展评价。</w:t>
      </w:r>
      <w:r>
        <w:rPr>
          <w:rFonts w:hint="default" w:ascii="Times New Roman" w:hAnsi="Times New Roman" w:eastAsia="仿宋_GB2312" w:cs="Times New Roman"/>
          <w:kern w:val="2"/>
          <w:sz w:val="32"/>
          <w:szCs w:val="32"/>
          <w:highlight w:val="none"/>
          <w:lang w:val="en-US" w:eastAsia="zh-CN" w:bidi="ar-SA"/>
        </w:rPr>
        <w:t>绩效评价指标体系按照逻辑分析法设计，包括项目决策、项目过程、项目产出、项目效益四类指标。主要围绕资金使用、项目管理方面，客观分析项目的产出和效果，进而</w:t>
      </w:r>
      <w:r>
        <w:rPr>
          <w:rFonts w:hint="eastAsia" w:ascii="Times New Roman" w:hAnsi="Times New Roman" w:eastAsia="仿宋_GB2312" w:cs="Times New Roman"/>
          <w:kern w:val="2"/>
          <w:sz w:val="32"/>
          <w:szCs w:val="32"/>
          <w:highlight w:val="none"/>
          <w:lang w:val="en-US" w:eastAsia="zh-CN" w:bidi="ar-SA"/>
        </w:rPr>
        <w:t>形成</w:t>
      </w:r>
      <w:r>
        <w:rPr>
          <w:rFonts w:hint="default" w:ascii="Times New Roman" w:hAnsi="Times New Roman" w:eastAsia="仿宋_GB2312" w:cs="Times New Roman"/>
          <w:kern w:val="2"/>
          <w:sz w:val="32"/>
          <w:szCs w:val="32"/>
          <w:highlight w:val="none"/>
          <w:lang w:val="en-US" w:eastAsia="zh-CN" w:bidi="ar-SA"/>
        </w:rPr>
        <w:t>评价意见。为完成绩效指标的分析评价工作，绩效评价工作小组依据</w:t>
      </w:r>
      <w:r>
        <w:rPr>
          <w:rFonts w:hint="eastAsia" w:ascii="Times New Roman" w:hAnsi="Times New Roman" w:eastAsia="仿宋_GB2312" w:cs="Times New Roman"/>
          <w:kern w:val="2"/>
          <w:sz w:val="32"/>
          <w:szCs w:val="32"/>
          <w:highlight w:val="none"/>
          <w:lang w:val="en-US" w:eastAsia="zh-CN" w:bidi="ar-SA"/>
        </w:rPr>
        <w:t>绩效评价</w:t>
      </w:r>
      <w:r>
        <w:rPr>
          <w:rFonts w:hint="default" w:ascii="Times New Roman" w:hAnsi="Times New Roman" w:eastAsia="仿宋_GB2312" w:cs="Times New Roman"/>
          <w:kern w:val="2"/>
          <w:sz w:val="32"/>
          <w:szCs w:val="32"/>
          <w:highlight w:val="none"/>
          <w:lang w:val="en-US" w:eastAsia="zh-CN" w:bidi="ar-SA"/>
        </w:rPr>
        <w:t>指标体系设计了</w:t>
      </w:r>
      <w:r>
        <w:rPr>
          <w:rFonts w:hint="eastAsia" w:ascii="Times New Roman" w:hAnsi="Times New Roman" w:eastAsia="仿宋_GB2312" w:cs="Times New Roman"/>
          <w:kern w:val="2"/>
          <w:sz w:val="32"/>
          <w:szCs w:val="32"/>
          <w:highlight w:val="none"/>
          <w:lang w:val="en-US" w:eastAsia="zh-CN" w:bidi="ar-SA"/>
        </w:rPr>
        <w:t>项目资金支出明细表</w:t>
      </w:r>
      <w:r>
        <w:rPr>
          <w:rFonts w:hint="default" w:ascii="Times New Roman" w:hAnsi="Times New Roman" w:eastAsia="仿宋_GB2312" w:cs="Times New Roman"/>
          <w:kern w:val="2"/>
          <w:sz w:val="32"/>
          <w:szCs w:val="32"/>
          <w:highlight w:val="none"/>
          <w:lang w:val="en-US" w:eastAsia="zh-CN" w:bidi="ar-SA"/>
        </w:rPr>
        <w:t>、调查问卷</w:t>
      </w:r>
      <w:r>
        <w:rPr>
          <w:rFonts w:hint="eastAsia" w:ascii="Times New Roman" w:hAnsi="Times New Roman" w:eastAsia="仿宋_GB2312" w:cs="Times New Roman"/>
          <w:kern w:val="2"/>
          <w:sz w:val="32"/>
          <w:szCs w:val="32"/>
          <w:highlight w:val="none"/>
          <w:lang w:val="en-US" w:eastAsia="zh-CN" w:bidi="ar-SA"/>
        </w:rPr>
        <w:t>，并对</w:t>
      </w:r>
      <w:r>
        <w:rPr>
          <w:rFonts w:hint="default" w:ascii="Times New Roman" w:hAnsi="Times New Roman" w:eastAsia="仿宋_GB2312" w:cs="Times New Roman"/>
          <w:kern w:val="2"/>
          <w:sz w:val="32"/>
          <w:szCs w:val="32"/>
          <w:highlight w:val="none"/>
          <w:lang w:val="en-US" w:eastAsia="zh-CN" w:bidi="ar-SA"/>
        </w:rPr>
        <w:t>现场调查</w:t>
      </w:r>
      <w:r>
        <w:rPr>
          <w:rFonts w:hint="eastAsia" w:ascii="Times New Roman" w:hAnsi="Times New Roman" w:eastAsia="仿宋_GB2312" w:cs="Times New Roman"/>
          <w:kern w:val="2"/>
          <w:sz w:val="32"/>
          <w:szCs w:val="32"/>
          <w:highlight w:val="none"/>
          <w:lang w:val="en-US" w:eastAsia="zh-CN" w:bidi="ar-SA"/>
        </w:rPr>
        <w:t>情况进行了</w:t>
      </w:r>
      <w:r>
        <w:rPr>
          <w:rFonts w:hint="default" w:ascii="Times New Roman" w:hAnsi="Times New Roman" w:eastAsia="仿宋_GB2312" w:cs="Times New Roman"/>
          <w:kern w:val="2"/>
          <w:sz w:val="32"/>
          <w:szCs w:val="32"/>
          <w:highlight w:val="none"/>
          <w:lang w:val="en-US" w:eastAsia="zh-CN" w:bidi="ar-SA"/>
        </w:rPr>
        <w:t>记录</w:t>
      </w:r>
      <w:r>
        <w:rPr>
          <w:rFonts w:hint="eastAsia" w:ascii="Times New Roman" w:hAnsi="Times New Roman" w:eastAsia="仿宋_GB2312" w:cs="Times New Roman"/>
          <w:kern w:val="2"/>
          <w:sz w:val="32"/>
          <w:szCs w:val="32"/>
          <w:highlight w:val="none"/>
          <w:lang w:val="en-US" w:eastAsia="zh-CN" w:bidi="ar-SA"/>
        </w:rPr>
        <w:t>和整理</w:t>
      </w:r>
      <w:r>
        <w:rPr>
          <w:rFonts w:hint="default" w:ascii="Times New Roman" w:hAnsi="Times New Roman" w:eastAsia="仿宋_GB2312" w:cs="Times New Roman"/>
          <w:kern w:val="2"/>
          <w:sz w:val="32"/>
          <w:szCs w:val="32"/>
          <w:highlight w:val="none"/>
          <w:lang w:val="en-US" w:eastAsia="zh-CN" w:bidi="ar-SA"/>
        </w:rPr>
        <w:t>。项目单位对</w:t>
      </w:r>
      <w:r>
        <w:rPr>
          <w:rFonts w:hint="eastAsia" w:ascii="Times New Roman" w:hAnsi="Times New Roman" w:eastAsia="仿宋_GB2312" w:cs="Times New Roman"/>
          <w:kern w:val="2"/>
          <w:sz w:val="32"/>
          <w:szCs w:val="32"/>
          <w:highlight w:val="none"/>
          <w:lang w:val="en-US" w:eastAsia="zh-CN" w:bidi="ar-SA"/>
        </w:rPr>
        <w:t>所提供的</w:t>
      </w:r>
      <w:r>
        <w:rPr>
          <w:rFonts w:hint="default" w:ascii="Times New Roman" w:hAnsi="Times New Roman" w:eastAsia="仿宋_GB2312" w:cs="Times New Roman"/>
          <w:kern w:val="2"/>
          <w:sz w:val="32"/>
          <w:szCs w:val="32"/>
          <w:highlight w:val="none"/>
          <w:lang w:val="en-US" w:eastAsia="zh-CN" w:bidi="ar-SA"/>
        </w:rPr>
        <w:t>数据真实性负责</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绩效评价工作小组</w:t>
      </w:r>
      <w:r>
        <w:rPr>
          <w:rFonts w:hint="eastAsia" w:ascii="Times New Roman" w:hAnsi="Times New Roman" w:eastAsia="仿宋_GB2312" w:cs="Times New Roman"/>
          <w:kern w:val="2"/>
          <w:sz w:val="32"/>
          <w:szCs w:val="32"/>
          <w:highlight w:val="none"/>
          <w:lang w:val="en-US" w:eastAsia="zh-CN" w:bidi="ar-SA"/>
        </w:rPr>
        <w:t>最终</w:t>
      </w:r>
      <w:r>
        <w:rPr>
          <w:rFonts w:hint="default" w:ascii="Times New Roman" w:hAnsi="Times New Roman" w:eastAsia="仿宋_GB2312" w:cs="Times New Roman"/>
          <w:kern w:val="2"/>
          <w:sz w:val="32"/>
          <w:szCs w:val="32"/>
          <w:highlight w:val="none"/>
          <w:lang w:val="en-US" w:eastAsia="zh-CN" w:bidi="ar-SA"/>
        </w:rPr>
        <w:t>对数据进行核实确认和汇总分析。</w:t>
      </w:r>
    </w:p>
    <w:p w14:paraId="7A823247">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74" w:name="_Toc5796"/>
      <w:bookmarkStart w:id="75" w:name="_Toc9533"/>
      <w:bookmarkStart w:id="76" w:name="_Toc13290"/>
      <w:bookmarkStart w:id="77" w:name="_Toc4658"/>
      <w:bookmarkStart w:id="78" w:name="_Toc1391"/>
      <w:bookmarkStart w:id="79" w:name="_Toc6648"/>
      <w:bookmarkStart w:id="80" w:name="_Toc1616"/>
      <w:bookmarkStart w:id="81" w:name="_Toc25162"/>
      <w:bookmarkStart w:id="82" w:name="_Toc1992"/>
      <w:bookmarkStart w:id="83" w:name="_Toc19656"/>
      <w:bookmarkStart w:id="84" w:name="_Toc22360"/>
      <w:bookmarkStart w:id="85" w:name="_Toc28986"/>
      <w:bookmarkStart w:id="86" w:name="_Toc26760"/>
      <w:bookmarkStart w:id="87" w:name="_Toc15834"/>
      <w:bookmarkStart w:id="88" w:name="_Toc2347"/>
      <w:bookmarkStart w:id="89" w:name="_Toc22411"/>
      <w:bookmarkStart w:id="90" w:name="_Toc7246"/>
      <w:bookmarkStart w:id="91" w:name="_Toc24385"/>
      <w:bookmarkStart w:id="92" w:name="_Toc7588"/>
      <w:r>
        <w:rPr>
          <w:rFonts w:hint="default" w:ascii="Times New Roman" w:hAnsi="Times New Roman" w:cs="Times New Roman"/>
          <w:sz w:val="32"/>
          <w:szCs w:val="32"/>
          <w:lang w:val="en-US" w:eastAsia="zh-CN"/>
        </w:rPr>
        <w:t>二、项目基本情况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795E6FD">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93" w:name="_Toc871"/>
      <w:bookmarkStart w:id="94" w:name="_Toc27899"/>
      <w:bookmarkStart w:id="95" w:name="_Toc6246"/>
      <w:bookmarkStart w:id="96" w:name="_Toc4787"/>
      <w:bookmarkStart w:id="97" w:name="_Toc786"/>
      <w:bookmarkStart w:id="98" w:name="_Toc26303"/>
      <w:bookmarkStart w:id="99" w:name="_Toc10933"/>
      <w:bookmarkStart w:id="100" w:name="_Toc12224"/>
      <w:bookmarkStart w:id="101" w:name="_Toc1777"/>
      <w:bookmarkStart w:id="102" w:name="_Toc20148"/>
      <w:bookmarkStart w:id="103" w:name="_Toc21859"/>
      <w:bookmarkStart w:id="104" w:name="_Toc2632"/>
      <w:bookmarkStart w:id="105" w:name="_Toc8618"/>
      <w:bookmarkStart w:id="106" w:name="_Toc13771"/>
      <w:bookmarkStart w:id="107" w:name="_Toc7312"/>
      <w:bookmarkStart w:id="108" w:name="_Toc107"/>
      <w:bookmarkStart w:id="109" w:name="_Toc30322"/>
      <w:bookmarkStart w:id="110" w:name="_Toc2190"/>
      <w:bookmarkStart w:id="111" w:name="_Toc18741"/>
      <w:bookmarkStart w:id="112" w:name="_Toc27011"/>
      <w:r>
        <w:rPr>
          <w:rFonts w:hint="default" w:ascii="Times New Roman" w:hAnsi="Times New Roman" w:eastAsia="楷体" w:cs="Times New Roman"/>
          <w:sz w:val="32"/>
          <w:lang w:val="en-US" w:eastAsia="zh-CN"/>
        </w:rPr>
        <w:t>（一）项目立项依据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9FF757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default" w:ascii="Times New Roman" w:hAnsi="Times New Roman" w:eastAsia="仿宋_GB2312" w:cs="Times New Roman"/>
          <w:kern w:val="2"/>
          <w:sz w:val="32"/>
          <w:szCs w:val="32"/>
          <w:highlight w:val="none"/>
          <w:lang w:val="en-US" w:eastAsia="zh-CN" w:bidi="ar-SA"/>
        </w:rPr>
      </w:pPr>
      <w:bookmarkStart w:id="113" w:name="_Toc11311"/>
      <w:bookmarkStart w:id="114" w:name="_Toc3738"/>
      <w:bookmarkStart w:id="115" w:name="_Toc30611"/>
      <w:bookmarkStart w:id="116" w:name="_Toc3598"/>
      <w:bookmarkStart w:id="117" w:name="_Toc5708"/>
      <w:bookmarkStart w:id="118" w:name="_Toc28568"/>
      <w:bookmarkStart w:id="119" w:name="_Toc12200"/>
      <w:bookmarkStart w:id="120" w:name="_Toc22147"/>
      <w:bookmarkStart w:id="121" w:name="_Toc13293"/>
      <w:bookmarkStart w:id="122" w:name="_Toc8644"/>
      <w:bookmarkStart w:id="123" w:name="_Toc24721"/>
      <w:bookmarkStart w:id="124" w:name="_Toc25177"/>
      <w:bookmarkStart w:id="125" w:name="_Toc20609"/>
      <w:bookmarkStart w:id="126" w:name="_Toc4370"/>
      <w:bookmarkStart w:id="127" w:name="_Toc17354"/>
      <w:bookmarkStart w:id="128" w:name="_Toc32513"/>
      <w:bookmarkStart w:id="129" w:name="_Toc18762"/>
      <w:bookmarkStart w:id="130" w:name="_Toc22152"/>
      <w:bookmarkStart w:id="131" w:name="_Toc30304"/>
      <w:r>
        <w:rPr>
          <w:rFonts w:hint="eastAsia" w:ascii="Times New Roman" w:hAnsi="Times New Roman" w:eastAsia="仿宋_GB2312" w:cs="Times New Roman"/>
          <w:kern w:val="2"/>
          <w:sz w:val="32"/>
          <w:szCs w:val="32"/>
          <w:highlight w:val="none"/>
          <w:lang w:val="en-US" w:eastAsia="zh-CN" w:bidi="ar-SA"/>
        </w:rPr>
        <w:t>根据《中华人民共和国国民经济和社会发展第十四个五年规划和2035年远景目标纲要》《国务院办公厅关于科学绿化的指导意见</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国办发</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21</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19</w:t>
      </w:r>
      <w:r>
        <w:rPr>
          <w:rFonts w:hint="default" w:ascii="Times New Roman" w:hAnsi="Times New Roman" w:eastAsia="仿宋_GB2312" w:cs="Times New Roman"/>
          <w:kern w:val="2"/>
          <w:sz w:val="32"/>
          <w:szCs w:val="32"/>
          <w:highlight w:val="none"/>
          <w:lang w:val="en-US" w:eastAsia="zh-CN" w:bidi="ar-SA"/>
        </w:rPr>
        <w:t>号）</w:t>
      </w:r>
      <w:r>
        <w:rPr>
          <w:rFonts w:hint="eastAsia" w:ascii="Times New Roman" w:hAnsi="Times New Roman" w:eastAsia="仿宋_GB2312" w:cs="Times New Roman"/>
          <w:kern w:val="2"/>
          <w:sz w:val="32"/>
          <w:szCs w:val="32"/>
          <w:highlight w:val="none"/>
          <w:lang w:val="en-US" w:eastAsia="zh-CN" w:bidi="ar-SA"/>
        </w:rPr>
        <w:t>《永州市中心城区园林绿化管理办法》以及党的二十大报告等文件精神立项。</w:t>
      </w:r>
    </w:p>
    <w:p w14:paraId="7CB398E2">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ascii="Times New Roman" w:hAnsi="Times New Roman" w:eastAsia="仿宋_GB2312" w:cs="Times New Roman"/>
          <w:kern w:val="2"/>
          <w:sz w:val="32"/>
          <w:szCs w:val="32"/>
          <w:highlight w:val="none"/>
          <w:lang w:val="en-US" w:eastAsia="zh-CN" w:bidi="ar-SA"/>
        </w:rPr>
      </w:pPr>
      <w:bookmarkStart w:id="132" w:name="_Toc25521"/>
      <w:r>
        <w:rPr>
          <w:rFonts w:hint="default" w:ascii="Times New Roman" w:hAnsi="Times New Roman" w:eastAsia="楷体" w:cs="Times New Roman"/>
          <w:sz w:val="32"/>
          <w:lang w:val="en-US" w:eastAsia="zh-CN"/>
        </w:rPr>
        <w:t>（二）项目的主要内容</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17951"/>
      <w:bookmarkStart w:id="134" w:name="_Toc9732"/>
      <w:bookmarkStart w:id="135" w:name="_Toc30842"/>
      <w:bookmarkStart w:id="136" w:name="_Toc23545"/>
      <w:bookmarkStart w:id="137" w:name="_Toc13385"/>
      <w:bookmarkStart w:id="138" w:name="_Toc25449"/>
      <w:bookmarkStart w:id="139" w:name="_Toc2957"/>
      <w:bookmarkStart w:id="140" w:name="_Toc11499"/>
      <w:bookmarkStart w:id="141" w:name="_Toc12058"/>
      <w:bookmarkStart w:id="142" w:name="_Toc19529"/>
      <w:bookmarkStart w:id="143" w:name="_Toc32020"/>
      <w:bookmarkStart w:id="144" w:name="_Toc16250"/>
      <w:bookmarkStart w:id="145" w:name="_Toc10435"/>
      <w:bookmarkStart w:id="146" w:name="_Toc9660"/>
      <w:bookmarkStart w:id="147" w:name="_Toc8886"/>
      <w:bookmarkStart w:id="148" w:name="_Toc30077"/>
      <w:bookmarkStart w:id="149" w:name="_Toc410"/>
      <w:bookmarkStart w:id="150" w:name="_Toc22273"/>
      <w:bookmarkStart w:id="151" w:name="_Toc21412"/>
    </w:p>
    <w:p w14:paraId="2125DD5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负责永州市冷水滩区城区环境卫生和园林绿化管理工作。主要包括辖区内主次街道、城中村、无物业管理小区、安置小区、背街小巷、社会广场、市直管公园及广场、铁路沿线等公共区域的清扫保洁和绿化养护；城区道路护栏、公交车站点、广告等公共设施的清洗工作；剂江河道等水域保洁；辖区内公厕、垃圾中转站、果皮箱、环卫绿化相关作业车辆等环卫设施和园林绿化公共设施的维护管理。</w:t>
      </w:r>
    </w:p>
    <w:p w14:paraId="22B5E59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outlineLvl w:val="9"/>
        <w:rPr>
          <w:rFonts w:hint="eastAsia"/>
          <w:lang w:val="en-US" w:eastAsia="zh-CN"/>
        </w:rPr>
      </w:pPr>
      <w:r>
        <w:rPr>
          <w:rFonts w:hint="eastAsia" w:ascii="Times New Roman" w:hAnsi="Times New Roman" w:eastAsia="仿宋_GB2312" w:cs="Times New Roman"/>
          <w:kern w:val="2"/>
          <w:sz w:val="32"/>
          <w:szCs w:val="32"/>
          <w:highlight w:val="none"/>
          <w:lang w:val="en-US" w:eastAsia="zh-CN" w:bidi="ar-SA"/>
        </w:rPr>
        <w:t>负责管辖范围内公共绿地、防护绿地和风景林地的绿化建设、维护和管理工作。主要包括按权限参与对城区占用城市绿地的审批工作；参与城区古树名木保护和具体承办古树名木迁移、买卖或转让审批工作；参与城区范围内砍伐城市树木、迁移古树名木及占用绿地审批的事前、事中、事后管理；参与毁绿、破绿、占绿案件的调查取证等。</w:t>
      </w:r>
    </w:p>
    <w:p w14:paraId="3C79324B">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52" w:name="_Toc24745"/>
      <w:r>
        <w:rPr>
          <w:rFonts w:hint="default" w:ascii="Times New Roman" w:hAnsi="Times New Roman" w:eastAsia="楷体" w:cs="Times New Roman"/>
          <w:sz w:val="32"/>
          <w:lang w:val="en-US" w:eastAsia="zh-CN"/>
        </w:rPr>
        <w:t>（三）项目的必要性和可行性论证情况</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9C20B28">
      <w:pPr>
        <w:keepNext/>
        <w:keepLines/>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bookmarkStart w:id="153" w:name="_Toc29593"/>
      <w:bookmarkStart w:id="154" w:name="_Toc4158"/>
      <w:bookmarkStart w:id="155" w:name="_Toc14846"/>
      <w:bookmarkStart w:id="156" w:name="_Toc4003"/>
      <w:r>
        <w:rPr>
          <w:rFonts w:hint="eastAsia" w:eastAsia="仿宋_GB2312" w:cs="Times New Roman"/>
          <w:kern w:val="2"/>
          <w:sz w:val="32"/>
          <w:szCs w:val="32"/>
          <w:highlight w:val="none"/>
          <w:lang w:val="en-US" w:eastAsia="zh-CN" w:bidi="ar-SA"/>
        </w:rPr>
        <w:t>园林绿化面积养护及新增面积环卫经费</w:t>
      </w:r>
      <w:r>
        <w:rPr>
          <w:rFonts w:hint="eastAsia" w:ascii="Times New Roman" w:hAnsi="Times New Roman" w:eastAsia="仿宋_GB2312" w:cs="Times New Roman"/>
          <w:kern w:val="2"/>
          <w:sz w:val="32"/>
          <w:szCs w:val="32"/>
          <w:highlight w:val="none"/>
          <w:lang w:val="en-US" w:eastAsia="zh-CN" w:bidi="ar-SA"/>
        </w:rPr>
        <w:t>专项以</w:t>
      </w:r>
      <w:r>
        <w:rPr>
          <w:rFonts w:hint="eastAsia" w:eastAsia="仿宋_GB2312" w:cs="Times New Roman"/>
          <w:kern w:val="2"/>
          <w:sz w:val="32"/>
          <w:szCs w:val="32"/>
          <w:highlight w:val="none"/>
          <w:lang w:val="en-US" w:eastAsia="zh-CN" w:bidi="ar-SA"/>
        </w:rPr>
        <w:t>国家</w:t>
      </w:r>
      <w:r>
        <w:rPr>
          <w:rFonts w:hint="eastAsia" w:ascii="Times New Roman" w:hAnsi="Times New Roman" w:eastAsia="仿宋_GB2312" w:cs="Times New Roman"/>
          <w:kern w:val="2"/>
          <w:sz w:val="32"/>
          <w:szCs w:val="32"/>
          <w:highlight w:val="none"/>
          <w:lang w:val="en-US" w:eastAsia="zh-CN" w:bidi="ar-SA"/>
        </w:rPr>
        <w:t>十四五规划为纲领，以党的二十大</w:t>
      </w:r>
      <w:bookmarkStart w:id="529" w:name="_GoBack"/>
      <w:bookmarkEnd w:id="529"/>
      <w:r>
        <w:rPr>
          <w:rFonts w:hint="eastAsia" w:ascii="Times New Roman" w:hAnsi="Times New Roman" w:eastAsia="仿宋_GB2312" w:cs="Times New Roman"/>
          <w:kern w:val="2"/>
          <w:sz w:val="32"/>
          <w:szCs w:val="32"/>
          <w:highlight w:val="none"/>
          <w:lang w:val="en-US" w:eastAsia="zh-CN" w:bidi="ar-SA"/>
        </w:rPr>
        <w:t>精神为指引，旨在增加城市园林绿化率，提升空气质量，改善城乡居民</w:t>
      </w:r>
      <w:r>
        <w:rPr>
          <w:rFonts w:hint="eastAsia" w:eastAsia="仿宋_GB2312" w:cs="Times New Roman"/>
          <w:kern w:val="2"/>
          <w:sz w:val="32"/>
          <w:szCs w:val="32"/>
          <w:highlight w:val="none"/>
          <w:lang w:val="en-US" w:eastAsia="zh-CN" w:bidi="ar-SA"/>
        </w:rPr>
        <w:t>生存</w:t>
      </w:r>
      <w:r>
        <w:rPr>
          <w:rFonts w:hint="eastAsia" w:ascii="Times New Roman" w:hAnsi="Times New Roman" w:eastAsia="仿宋_GB2312" w:cs="Times New Roman"/>
          <w:kern w:val="2"/>
          <w:sz w:val="32"/>
          <w:szCs w:val="32"/>
          <w:highlight w:val="none"/>
          <w:lang w:val="en-US" w:eastAsia="zh-CN" w:bidi="ar-SA"/>
        </w:rPr>
        <w:t>环境，项目必要性充分。</w:t>
      </w:r>
      <w:bookmarkEnd w:id="153"/>
      <w:bookmarkEnd w:id="154"/>
      <w:bookmarkEnd w:id="155"/>
      <w:r>
        <w:rPr>
          <w:rFonts w:hint="eastAsia" w:eastAsia="仿宋_GB2312" w:cs="Times New Roman"/>
          <w:kern w:val="2"/>
          <w:sz w:val="32"/>
          <w:szCs w:val="32"/>
          <w:highlight w:val="none"/>
          <w:lang w:val="en-US" w:eastAsia="zh-CN" w:bidi="ar-SA"/>
        </w:rPr>
        <w:t>该项目以</w:t>
      </w:r>
      <w:r>
        <w:rPr>
          <w:rFonts w:hint="eastAsia" w:ascii="Times New Roman" w:hAnsi="Times New Roman" w:eastAsia="仿宋_GB2312" w:cs="Times New Roman"/>
          <w:kern w:val="2"/>
          <w:sz w:val="32"/>
          <w:szCs w:val="32"/>
          <w:highlight w:val="none"/>
          <w:lang w:val="en-US" w:eastAsia="zh-CN" w:bidi="ar-SA"/>
        </w:rPr>
        <w:t>国家政策文件为指引，</w:t>
      </w:r>
      <w:r>
        <w:rPr>
          <w:rFonts w:hint="eastAsia" w:eastAsia="仿宋_GB2312" w:cs="Times New Roman"/>
          <w:kern w:val="2"/>
          <w:sz w:val="32"/>
          <w:szCs w:val="32"/>
          <w:highlight w:val="none"/>
          <w:lang w:val="en-US" w:eastAsia="zh-CN" w:bidi="ar-SA"/>
        </w:rPr>
        <w:t>各级</w:t>
      </w:r>
      <w:r>
        <w:rPr>
          <w:rFonts w:hint="eastAsia" w:ascii="Times New Roman" w:hAnsi="Times New Roman" w:eastAsia="仿宋_GB2312" w:cs="Times New Roman"/>
          <w:kern w:val="2"/>
          <w:sz w:val="32"/>
          <w:szCs w:val="32"/>
          <w:highlight w:val="none"/>
          <w:lang w:val="en-US" w:eastAsia="zh-CN" w:bidi="ar-SA"/>
        </w:rPr>
        <w:t>政府</w:t>
      </w:r>
      <w:r>
        <w:rPr>
          <w:rFonts w:hint="eastAsia" w:eastAsia="仿宋_GB2312" w:cs="Times New Roman"/>
          <w:kern w:val="2"/>
          <w:sz w:val="32"/>
          <w:szCs w:val="32"/>
          <w:highlight w:val="none"/>
          <w:lang w:val="en-US" w:eastAsia="zh-CN" w:bidi="ar-SA"/>
        </w:rPr>
        <w:t>机构</w:t>
      </w:r>
      <w:r>
        <w:rPr>
          <w:rFonts w:hint="eastAsia" w:ascii="Times New Roman" w:hAnsi="Times New Roman" w:eastAsia="仿宋_GB2312" w:cs="Times New Roman"/>
          <w:kern w:val="2"/>
          <w:sz w:val="32"/>
          <w:szCs w:val="32"/>
          <w:highlight w:val="none"/>
          <w:lang w:val="en-US" w:eastAsia="zh-CN" w:bidi="ar-SA"/>
        </w:rPr>
        <w:t>带动执行，财政</w:t>
      </w:r>
      <w:r>
        <w:rPr>
          <w:rFonts w:hint="eastAsia" w:eastAsia="仿宋_GB2312" w:cs="Times New Roman"/>
          <w:kern w:val="2"/>
          <w:sz w:val="32"/>
          <w:szCs w:val="32"/>
          <w:highlight w:val="none"/>
          <w:lang w:val="en-US" w:eastAsia="zh-CN" w:bidi="ar-SA"/>
        </w:rPr>
        <w:t>资金</w:t>
      </w:r>
      <w:r>
        <w:rPr>
          <w:rFonts w:hint="eastAsia" w:ascii="Times New Roman" w:hAnsi="Times New Roman" w:eastAsia="仿宋_GB2312" w:cs="Times New Roman"/>
          <w:kern w:val="2"/>
          <w:sz w:val="32"/>
          <w:szCs w:val="32"/>
          <w:highlight w:val="none"/>
          <w:lang w:val="en-US" w:eastAsia="zh-CN" w:bidi="ar-SA"/>
        </w:rPr>
        <w:t>给予</w:t>
      </w:r>
      <w:r>
        <w:rPr>
          <w:rFonts w:hint="eastAsia" w:eastAsia="仿宋_GB2312" w:cs="Times New Roman"/>
          <w:kern w:val="2"/>
          <w:sz w:val="32"/>
          <w:szCs w:val="32"/>
          <w:highlight w:val="none"/>
          <w:lang w:val="en-US" w:eastAsia="zh-CN" w:bidi="ar-SA"/>
        </w:rPr>
        <w:t>保障</w:t>
      </w:r>
      <w:r>
        <w:rPr>
          <w:rFonts w:hint="eastAsia" w:ascii="Times New Roman" w:hAnsi="Times New Roman" w:eastAsia="仿宋_GB2312" w:cs="Times New Roman"/>
          <w:kern w:val="2"/>
          <w:sz w:val="32"/>
          <w:szCs w:val="32"/>
          <w:highlight w:val="none"/>
          <w:lang w:val="en-US" w:eastAsia="zh-CN" w:bidi="ar-SA"/>
        </w:rPr>
        <w:t>，群众参与实施，项目可行性强。</w:t>
      </w:r>
    </w:p>
    <w:p w14:paraId="5FF47933">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57" w:name="_Toc19187"/>
      <w:bookmarkStart w:id="158" w:name="_Toc22445"/>
      <w:bookmarkStart w:id="159" w:name="_Toc1036"/>
      <w:bookmarkStart w:id="160" w:name="_Toc29248"/>
      <w:bookmarkStart w:id="161" w:name="_Toc14674"/>
      <w:bookmarkStart w:id="162" w:name="_Toc25610"/>
      <w:bookmarkStart w:id="163" w:name="_Toc16803"/>
      <w:bookmarkStart w:id="164" w:name="_Toc23142"/>
      <w:bookmarkStart w:id="165" w:name="_Toc3773"/>
      <w:bookmarkStart w:id="166" w:name="_Toc2754"/>
      <w:bookmarkStart w:id="167" w:name="_Toc14634"/>
      <w:bookmarkStart w:id="168" w:name="_Toc3720"/>
      <w:bookmarkStart w:id="169" w:name="_Toc743"/>
      <w:bookmarkStart w:id="170" w:name="_Toc17452"/>
      <w:bookmarkStart w:id="171" w:name="_Toc15370"/>
      <w:bookmarkStart w:id="172" w:name="_Toc26530"/>
      <w:bookmarkStart w:id="173" w:name="_Toc3579"/>
      <w:bookmarkStart w:id="174" w:name="_Toc19518"/>
      <w:bookmarkStart w:id="175" w:name="_Toc14480"/>
      <w:r>
        <w:rPr>
          <w:rFonts w:hint="default" w:ascii="Times New Roman" w:hAnsi="Times New Roman" w:eastAsia="楷体" w:cs="Times New Roman"/>
          <w:sz w:val="32"/>
          <w:lang w:val="en-US" w:eastAsia="zh-CN"/>
        </w:rPr>
        <w:t>（四）项目的绩效目标</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6A6470D">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1.项目总目标</w:t>
      </w:r>
    </w:p>
    <w:p w14:paraId="5469DB72">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保证辖区公共环境干净整洁、垃圾日产日清，打好三大攻坚战。保障部门正常运转和干部职工等福利发放。</w:t>
      </w:r>
    </w:p>
    <w:p w14:paraId="5C8C7AD2">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2.项</w:t>
      </w:r>
      <w:r>
        <w:rPr>
          <w:rFonts w:hint="eastAsia" w:ascii="Times New Roman" w:hAnsi="Times New Roman" w:eastAsia="仿宋_GB2312" w:cs="Times New Roman"/>
          <w:b/>
          <w:bCs/>
          <w:kern w:val="2"/>
          <w:sz w:val="32"/>
          <w:szCs w:val="32"/>
          <w:highlight w:val="none"/>
          <w:lang w:val="en-US" w:eastAsia="zh-CN" w:bidi="ar-SA"/>
        </w:rPr>
        <w:t>目</w:t>
      </w:r>
      <w:r>
        <w:rPr>
          <w:rFonts w:hint="default" w:ascii="Times New Roman" w:hAnsi="Times New Roman" w:eastAsia="仿宋_GB2312" w:cs="Times New Roman"/>
          <w:b/>
          <w:bCs/>
          <w:kern w:val="2"/>
          <w:sz w:val="32"/>
          <w:szCs w:val="32"/>
          <w:highlight w:val="none"/>
          <w:lang w:val="en-US" w:eastAsia="zh-CN" w:bidi="ar-SA"/>
        </w:rPr>
        <w:t>具体目标</w:t>
      </w:r>
    </w:p>
    <w:p w14:paraId="68A18987">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陆地清扫面积≥1126.28 万㎡。</w:t>
      </w:r>
    </w:p>
    <w:p w14:paraId="50D33E44">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（2）河道清扫面积≥53.59万㎡。</w:t>
      </w:r>
    </w:p>
    <w:p w14:paraId="7E183E28">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（3）绿化养护面积≥171.57万㎡。</w:t>
      </w:r>
    </w:p>
    <w:p w14:paraId="42EE6F3A">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（4）生产作业车辆维护数量≥108辆。</w:t>
      </w:r>
    </w:p>
    <w:p w14:paraId="3E3C2908">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（5）环卫项目维护：中转站</w:t>
      </w:r>
      <w:r>
        <w:rPr>
          <w:rFonts w:hint="eastAsia" w:eastAsia="仿宋_GB2312" w:cs="Times New Roman"/>
          <w:kern w:val="2"/>
          <w:sz w:val="32"/>
          <w:szCs w:val="32"/>
          <w:highlight w:val="none"/>
          <w:lang w:val="en-US" w:eastAsia="zh-CN" w:bidi="ar-SA"/>
        </w:rPr>
        <w:t>39</w:t>
      </w:r>
      <w:r>
        <w:rPr>
          <w:rFonts w:hint="eastAsia" w:ascii="Times New Roman" w:hAnsi="Times New Roman" w:eastAsia="仿宋_GB2312" w:cs="Times New Roman"/>
          <w:kern w:val="2"/>
          <w:sz w:val="32"/>
          <w:szCs w:val="32"/>
          <w:highlight w:val="none"/>
          <w:lang w:val="en-US" w:eastAsia="zh-CN" w:bidi="ar-SA"/>
        </w:rPr>
        <w:t>个；普通公厕63个；环卫公厕21个。</w:t>
      </w:r>
    </w:p>
    <w:p w14:paraId="0A2ECF10">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6</w:t>
      </w:r>
      <w:r>
        <w:rPr>
          <w:rFonts w:hint="eastAsia" w:ascii="Times New Roman" w:hAnsi="Times New Roman" w:eastAsia="仿宋_GB2312" w:cs="Times New Roman"/>
          <w:kern w:val="2"/>
          <w:sz w:val="32"/>
          <w:szCs w:val="32"/>
          <w:highlight w:val="none"/>
          <w:lang w:val="en-US" w:eastAsia="zh-CN" w:bidi="ar-SA"/>
        </w:rPr>
        <w:t>）项目时效：及时完成日常保洁、城区绿化及养护工作；按照项目采购要求及项目合同内容，在规定时间内完成项目进度；及时拨付</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资金。</w:t>
      </w:r>
    </w:p>
    <w:p w14:paraId="53736D69">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）成本控制：有合理的成本测算依据；项目实际成本与计划成本相匹配。</w:t>
      </w:r>
    </w:p>
    <w:p w14:paraId="2E378AD0">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8</w:t>
      </w:r>
      <w:r>
        <w:rPr>
          <w:rFonts w:hint="eastAsia" w:ascii="Times New Roman" w:hAnsi="Times New Roman" w:eastAsia="仿宋_GB2312" w:cs="Times New Roman"/>
          <w:kern w:val="2"/>
          <w:sz w:val="32"/>
          <w:szCs w:val="32"/>
          <w:highlight w:val="none"/>
          <w:lang w:val="en-US" w:eastAsia="zh-CN" w:bidi="ar-SA"/>
        </w:rPr>
        <w:t>）项目效益：提高城区空气质量优良率和人均公园绿地面积、公园服务半径覆盖率，改善人居环境，提升市容市貌，促进园林城市建设，增强人民福祉。</w:t>
      </w:r>
    </w:p>
    <w:p w14:paraId="473FBA80">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176" w:name="_Toc10154"/>
      <w:bookmarkStart w:id="177" w:name="_Toc8834"/>
      <w:bookmarkStart w:id="178" w:name="_Toc25531"/>
      <w:bookmarkStart w:id="179" w:name="_Toc17755"/>
      <w:bookmarkStart w:id="180" w:name="_Toc16247"/>
      <w:bookmarkStart w:id="181" w:name="_Toc791"/>
      <w:bookmarkStart w:id="182" w:name="_Toc7030"/>
      <w:bookmarkStart w:id="183" w:name="_Toc14363"/>
      <w:bookmarkStart w:id="184" w:name="_Toc9244"/>
      <w:bookmarkStart w:id="185" w:name="_Toc12807"/>
      <w:bookmarkStart w:id="186" w:name="_Toc20171"/>
      <w:bookmarkStart w:id="187" w:name="_Toc24586"/>
      <w:bookmarkStart w:id="188" w:name="_Toc30915"/>
      <w:bookmarkStart w:id="189" w:name="_Toc9177"/>
      <w:bookmarkStart w:id="190" w:name="_Toc16103"/>
      <w:bookmarkStart w:id="191" w:name="_Toc3732"/>
      <w:bookmarkStart w:id="192" w:name="_Toc2897"/>
      <w:bookmarkStart w:id="193" w:name="_Toc25381"/>
      <w:bookmarkStart w:id="194" w:name="_Toc5453"/>
      <w:r>
        <w:rPr>
          <w:rFonts w:hint="default" w:ascii="Times New Roman" w:hAnsi="Times New Roman" w:cs="Times New Roman"/>
          <w:sz w:val="32"/>
          <w:szCs w:val="32"/>
          <w:lang w:val="en-US" w:eastAsia="zh-CN"/>
        </w:rPr>
        <w:t>三、项目资金情况</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44FFC9B">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95" w:name="_Toc24934"/>
      <w:bookmarkStart w:id="196" w:name="_Toc7687"/>
      <w:bookmarkStart w:id="197" w:name="_Toc32510"/>
      <w:bookmarkStart w:id="198" w:name="_Toc18386"/>
      <w:bookmarkStart w:id="199" w:name="_Toc9779"/>
      <w:bookmarkStart w:id="200" w:name="_Toc12517"/>
      <w:bookmarkStart w:id="201" w:name="_Toc24337"/>
      <w:bookmarkStart w:id="202" w:name="_Toc26867"/>
      <w:bookmarkStart w:id="203" w:name="_Toc4068"/>
      <w:bookmarkStart w:id="204" w:name="_Toc30999"/>
      <w:bookmarkStart w:id="205" w:name="_Toc15986"/>
      <w:bookmarkStart w:id="206" w:name="_Toc23041"/>
      <w:bookmarkStart w:id="207" w:name="_Toc29828"/>
      <w:bookmarkStart w:id="208" w:name="_Toc26038"/>
      <w:bookmarkStart w:id="209" w:name="_Toc8291"/>
      <w:bookmarkStart w:id="210" w:name="_Toc1509"/>
      <w:bookmarkStart w:id="211" w:name="_Toc8134"/>
      <w:bookmarkStart w:id="212" w:name="_Toc13799"/>
      <w:bookmarkStart w:id="213" w:name="_Toc18880"/>
      <w:bookmarkStart w:id="214" w:name="_Toc9408"/>
      <w:r>
        <w:rPr>
          <w:rFonts w:hint="default" w:ascii="Times New Roman" w:hAnsi="Times New Roman" w:eastAsia="楷体" w:cs="Times New Roman"/>
          <w:sz w:val="32"/>
          <w:lang w:val="en-US" w:eastAsia="zh-CN"/>
        </w:rPr>
        <w:t>（一）资金安排</w:t>
      </w:r>
      <w:r>
        <w:rPr>
          <w:rFonts w:hint="eastAsia" w:ascii="Times New Roman" w:hAnsi="Times New Roman" w:eastAsia="楷体" w:cs="Times New Roman"/>
          <w:sz w:val="32"/>
          <w:lang w:val="en-US" w:eastAsia="zh-CN"/>
        </w:rPr>
        <w:t>与到位</w:t>
      </w:r>
      <w:r>
        <w:rPr>
          <w:rFonts w:hint="default" w:ascii="Times New Roman" w:hAnsi="Times New Roman" w:eastAsia="楷体" w:cs="Times New Roman"/>
          <w:sz w:val="32"/>
          <w:lang w:val="en-US" w:eastAsia="zh-CN"/>
        </w:rPr>
        <w:t>情况</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BB7F6E">
      <w:pPr>
        <w:pStyle w:val="24"/>
        <w:pageBreakBefore w:val="0"/>
        <w:numPr>
          <w:ilvl w:val="0"/>
          <w:numId w:val="0"/>
        </w:numPr>
        <w:shd w:val="clear"/>
        <w:kinsoku/>
        <w:wordWrap/>
        <w:overflowPunct/>
        <w:topLinePunct w:val="0"/>
        <w:autoSpaceDE/>
        <w:autoSpaceDN/>
        <w:bidi w:val="0"/>
        <w:spacing w:line="56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永州市冷水滩区新增绿化面积养护及新增面积环卫经费项目2023年预算金额</w:t>
      </w:r>
      <w:r>
        <w:rPr>
          <w:rFonts w:hint="eastAsia" w:eastAsia="仿宋_GB2312" w:cs="Times New Roman"/>
          <w:kern w:val="2"/>
          <w:sz w:val="32"/>
          <w:szCs w:val="32"/>
          <w:highlight w:val="none"/>
          <w:lang w:val="en-US" w:eastAsia="zh-CN" w:bidi="ar-SA"/>
        </w:rPr>
        <w:t>6815.35</w:t>
      </w:r>
      <w:r>
        <w:rPr>
          <w:rFonts w:hint="default"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，实际到位</w:t>
      </w:r>
      <w:r>
        <w:rPr>
          <w:rFonts w:hint="eastAsia" w:eastAsia="仿宋_GB2312" w:cs="Times New Roman"/>
          <w:kern w:val="2"/>
          <w:sz w:val="32"/>
          <w:szCs w:val="32"/>
          <w:highlight w:val="none"/>
          <w:lang w:val="en-US" w:eastAsia="zh-CN" w:bidi="ar-SA"/>
        </w:rPr>
        <w:t>6812.32</w:t>
      </w:r>
      <w:r>
        <w:rPr>
          <w:rFonts w:hint="eastAsia" w:ascii="Times New Roman" w:hAnsi="Times New Roman" w:eastAsia="仿宋_GB2312" w:cs="Times New Roman"/>
          <w:kern w:val="2"/>
          <w:sz w:val="32"/>
          <w:szCs w:val="32"/>
          <w:highlight w:val="none"/>
          <w:lang w:val="en-US" w:eastAsia="zh-CN" w:bidi="ar-SA"/>
        </w:rPr>
        <w:t>万元</w:t>
      </w:r>
      <w:r>
        <w:rPr>
          <w:rFonts w:hint="default" w:ascii="Times New Roman" w:hAnsi="Times New Roman" w:eastAsia="仿宋_GB2312" w:cs="Times New Roman"/>
          <w:kern w:val="2"/>
          <w:sz w:val="32"/>
          <w:szCs w:val="32"/>
          <w:highlight w:val="none"/>
          <w:lang w:val="en-US" w:eastAsia="zh-CN" w:bidi="ar-SA"/>
        </w:rPr>
        <w:t>。</w:t>
      </w:r>
    </w:p>
    <w:p w14:paraId="709AA086">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215" w:name="_Toc13791"/>
      <w:bookmarkStart w:id="216" w:name="_Toc16233"/>
      <w:bookmarkStart w:id="217" w:name="_Toc25578"/>
      <w:bookmarkStart w:id="218" w:name="_Toc21692"/>
      <w:bookmarkStart w:id="219" w:name="_Toc4033"/>
      <w:bookmarkStart w:id="220" w:name="_Toc21695"/>
      <w:bookmarkStart w:id="221" w:name="_Toc14171"/>
      <w:bookmarkStart w:id="222" w:name="_Toc30281"/>
      <w:bookmarkStart w:id="223" w:name="_Toc10065"/>
      <w:bookmarkStart w:id="224" w:name="_Toc19800"/>
      <w:bookmarkStart w:id="225" w:name="_Toc31785"/>
      <w:bookmarkStart w:id="226" w:name="_Toc30013"/>
      <w:bookmarkStart w:id="227" w:name="_Toc14093"/>
      <w:bookmarkStart w:id="228" w:name="_Toc7463"/>
      <w:bookmarkStart w:id="229" w:name="_Toc17335"/>
      <w:bookmarkStart w:id="230" w:name="_Toc15062"/>
      <w:bookmarkStart w:id="231" w:name="_Toc30727"/>
      <w:bookmarkStart w:id="232" w:name="_Toc16379"/>
      <w:bookmarkStart w:id="233" w:name="_Toc29573"/>
      <w:bookmarkStart w:id="234" w:name="_Toc7956"/>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）资金使用情况</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2AF1618">
      <w:pPr>
        <w:pStyle w:val="24"/>
        <w:pageBreakBefore w:val="0"/>
        <w:shd w:val="clear"/>
        <w:kinsoku/>
        <w:wordWrap/>
        <w:overflowPunct/>
        <w:topLinePunct w:val="0"/>
        <w:autoSpaceDE/>
        <w:autoSpaceDN/>
        <w:bidi w:val="0"/>
        <w:spacing w:line="560" w:lineRule="exac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永州市冷水滩区新增绿化面积养护及新增面积环卫经费项目2023年资金使用</w:t>
      </w:r>
      <w:r>
        <w:rPr>
          <w:rFonts w:hint="eastAsia" w:eastAsia="仿宋_GB2312" w:cs="Times New Roman"/>
          <w:kern w:val="2"/>
          <w:sz w:val="32"/>
          <w:szCs w:val="32"/>
          <w:highlight w:val="none"/>
          <w:lang w:val="en-US" w:eastAsia="zh-CN" w:bidi="ar-SA"/>
        </w:rPr>
        <w:t>6812.32</w:t>
      </w:r>
      <w:r>
        <w:rPr>
          <w:rFonts w:hint="default" w:ascii="Times New Roman" w:hAnsi="Times New Roman" w:eastAsia="仿宋_GB2312" w:cs="Times New Roman"/>
          <w:kern w:val="2"/>
          <w:sz w:val="32"/>
          <w:szCs w:val="32"/>
          <w:highlight w:val="none"/>
          <w:lang w:val="en-US" w:eastAsia="zh-CN" w:bidi="ar-SA"/>
        </w:rPr>
        <w:t>万元</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资金结余0万元。</w:t>
      </w:r>
      <w:r>
        <w:rPr>
          <w:rFonts w:hint="default" w:ascii="Times New Roman" w:hAnsi="Times New Roman" w:eastAsia="仿宋_GB2312" w:cs="Times New Roman"/>
          <w:kern w:val="2"/>
          <w:sz w:val="32"/>
          <w:szCs w:val="32"/>
          <w:highlight w:val="none"/>
          <w:lang w:val="en-US" w:eastAsia="zh-CN" w:bidi="ar-SA"/>
        </w:rPr>
        <w:t>具体支出情况如下：</w:t>
      </w:r>
    </w:p>
    <w:p w14:paraId="3DFB21C1">
      <w:pPr>
        <w:pStyle w:val="24"/>
        <w:pageBreakBefore w:val="0"/>
        <w:shd w:val="clear"/>
        <w:kinsoku/>
        <w:wordWrap/>
        <w:overflowPunct/>
        <w:topLinePunct w:val="0"/>
        <w:autoSpaceDE/>
        <w:autoSpaceDN/>
        <w:bidi w:val="0"/>
        <w:spacing w:line="560" w:lineRule="exact"/>
        <w:ind w:left="0" w:leftChars="0" w:firstLine="0" w:firstLineChars="0"/>
        <w:jc w:val="righ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金额：万元</w:t>
      </w:r>
    </w:p>
    <w:tbl>
      <w:tblPr>
        <w:tblStyle w:val="2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6"/>
        <w:gridCol w:w="1627"/>
        <w:gridCol w:w="1337"/>
        <w:gridCol w:w="1352"/>
        <w:gridCol w:w="1293"/>
        <w:gridCol w:w="1493"/>
      </w:tblGrid>
      <w:tr w14:paraId="26E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1656" w:type="dxa"/>
            <w:shd w:val="clear" w:color="auto" w:fill="auto"/>
            <w:noWrap w:val="0"/>
            <w:vAlign w:val="center"/>
          </w:tcPr>
          <w:p w14:paraId="1AB0DC8B">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项目</w:t>
            </w:r>
          </w:p>
        </w:tc>
        <w:tc>
          <w:tcPr>
            <w:tcW w:w="1627" w:type="dxa"/>
            <w:shd w:val="clear" w:color="auto" w:fill="auto"/>
            <w:noWrap w:val="0"/>
            <w:vAlign w:val="center"/>
          </w:tcPr>
          <w:p w14:paraId="341011BB">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预算金额</w:t>
            </w:r>
          </w:p>
        </w:tc>
        <w:tc>
          <w:tcPr>
            <w:tcW w:w="1337" w:type="dxa"/>
            <w:shd w:val="clear" w:color="auto" w:fill="auto"/>
            <w:noWrap w:val="0"/>
            <w:vAlign w:val="center"/>
          </w:tcPr>
          <w:p w14:paraId="2E2D9385">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到位资金</w:t>
            </w:r>
          </w:p>
        </w:tc>
        <w:tc>
          <w:tcPr>
            <w:tcW w:w="1352" w:type="dxa"/>
            <w:shd w:val="clear" w:color="auto" w:fill="auto"/>
            <w:noWrap w:val="0"/>
            <w:vAlign w:val="center"/>
          </w:tcPr>
          <w:p w14:paraId="1717DECD">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支出金额</w:t>
            </w:r>
          </w:p>
        </w:tc>
        <w:tc>
          <w:tcPr>
            <w:tcW w:w="1293" w:type="dxa"/>
            <w:shd w:val="clear" w:color="auto" w:fill="auto"/>
            <w:noWrap w:val="0"/>
            <w:vAlign w:val="center"/>
          </w:tcPr>
          <w:p w14:paraId="2D4AD1E7">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eastAsia="仿宋_GB2312" w:cs="Times New Roman"/>
                <w:i w:val="0"/>
                <w:iCs w:val="0"/>
                <w:color w:val="000000"/>
                <w:kern w:val="0"/>
                <w:sz w:val="24"/>
                <w:szCs w:val="21"/>
                <w:u w:val="none"/>
                <w:lang w:val="en-US" w:eastAsia="zh-CN" w:bidi="ar"/>
              </w:rPr>
              <w:t>资金结余</w:t>
            </w:r>
          </w:p>
        </w:tc>
        <w:tc>
          <w:tcPr>
            <w:tcW w:w="1493" w:type="dxa"/>
            <w:shd w:val="clear" w:color="auto" w:fill="auto"/>
            <w:noWrap w:val="0"/>
            <w:vAlign w:val="center"/>
          </w:tcPr>
          <w:p w14:paraId="012244C8">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预算执行率</w:t>
            </w:r>
          </w:p>
        </w:tc>
      </w:tr>
      <w:tr w14:paraId="3890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3EA4CBFA">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环卫经费</w:t>
            </w:r>
          </w:p>
        </w:tc>
        <w:tc>
          <w:tcPr>
            <w:tcW w:w="1627" w:type="dxa"/>
            <w:vMerge w:val="restart"/>
            <w:shd w:val="clear" w:color="auto" w:fill="auto"/>
            <w:noWrap w:val="0"/>
            <w:vAlign w:val="center"/>
          </w:tcPr>
          <w:p w14:paraId="39CE1180">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eastAsia="仿宋_GB2312" w:cs="Times New Roman"/>
                <w:i w:val="0"/>
                <w:iCs w:val="0"/>
                <w:color w:val="000000"/>
                <w:kern w:val="0"/>
                <w:sz w:val="24"/>
                <w:szCs w:val="21"/>
                <w:u w:val="none"/>
                <w:lang w:val="en-US" w:eastAsia="zh-CN" w:bidi="ar"/>
              </w:rPr>
              <w:t>6815.35</w:t>
            </w:r>
          </w:p>
        </w:tc>
        <w:tc>
          <w:tcPr>
            <w:tcW w:w="1337" w:type="dxa"/>
            <w:shd w:val="clear" w:color="auto" w:fill="auto"/>
            <w:noWrap w:val="0"/>
            <w:vAlign w:val="center"/>
          </w:tcPr>
          <w:p w14:paraId="598DD6D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6003.25</w:t>
            </w:r>
          </w:p>
        </w:tc>
        <w:tc>
          <w:tcPr>
            <w:tcW w:w="1352" w:type="dxa"/>
            <w:shd w:val="clear" w:color="auto" w:fill="auto"/>
            <w:noWrap w:val="0"/>
            <w:vAlign w:val="center"/>
          </w:tcPr>
          <w:p w14:paraId="2F708FFA">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6003.25</w:t>
            </w:r>
          </w:p>
        </w:tc>
        <w:tc>
          <w:tcPr>
            <w:tcW w:w="1293" w:type="dxa"/>
            <w:shd w:val="clear" w:color="auto" w:fill="auto"/>
            <w:noWrap w:val="0"/>
            <w:vAlign w:val="center"/>
          </w:tcPr>
          <w:p w14:paraId="5C13DD60">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493" w:type="dxa"/>
            <w:shd w:val="clear" w:color="auto" w:fill="auto"/>
            <w:noWrap w:val="0"/>
            <w:vAlign w:val="center"/>
          </w:tcPr>
          <w:p w14:paraId="7CD7689F">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default" w:ascii="Times New Roman" w:hAnsi="Times New Roman" w:eastAsia="仿宋_GB2312" w:cs="Times New Roman"/>
                <w:i w:val="0"/>
                <w:iCs w:val="0"/>
                <w:color w:val="000000"/>
                <w:kern w:val="0"/>
                <w:sz w:val="24"/>
                <w:szCs w:val="21"/>
                <w:u w:val="none"/>
                <w:lang w:val="en-US" w:eastAsia="zh-CN" w:bidi="ar"/>
              </w:rPr>
              <w:t>100%</w:t>
            </w:r>
          </w:p>
        </w:tc>
      </w:tr>
      <w:tr w14:paraId="4EB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5B53445E">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绿化养护经费</w:t>
            </w:r>
          </w:p>
        </w:tc>
        <w:tc>
          <w:tcPr>
            <w:tcW w:w="1627" w:type="dxa"/>
            <w:vMerge w:val="continue"/>
            <w:shd w:val="clear" w:color="auto" w:fill="auto"/>
            <w:noWrap w:val="0"/>
            <w:vAlign w:val="center"/>
          </w:tcPr>
          <w:p w14:paraId="297757BF">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p>
        </w:tc>
        <w:tc>
          <w:tcPr>
            <w:tcW w:w="1337" w:type="dxa"/>
            <w:shd w:val="clear" w:color="auto" w:fill="auto"/>
            <w:noWrap w:val="0"/>
            <w:vAlign w:val="center"/>
          </w:tcPr>
          <w:p w14:paraId="4610903D">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809.07</w:t>
            </w:r>
          </w:p>
        </w:tc>
        <w:tc>
          <w:tcPr>
            <w:tcW w:w="1352" w:type="dxa"/>
            <w:shd w:val="clear" w:color="auto" w:fill="auto"/>
            <w:noWrap w:val="0"/>
            <w:vAlign w:val="center"/>
          </w:tcPr>
          <w:p w14:paraId="5737174A">
            <w:pPr>
              <w:keepNext w:val="0"/>
              <w:keepLines w:val="0"/>
              <w:widowControl/>
              <w:suppressLineNumbers w:val="0"/>
              <w:shd w:val="clear"/>
              <w:jc w:val="center"/>
              <w:textAlignment w:val="center"/>
              <w:rPr>
                <w:rFonts w:hint="default" w:ascii="Times New Roman" w:hAnsi="Times New Roman" w:eastAsia="仿宋_GB2312" w:cs="Times New Roman"/>
                <w:b w:val="0"/>
                <w:bCs w:val="0"/>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809.07</w:t>
            </w:r>
          </w:p>
        </w:tc>
        <w:tc>
          <w:tcPr>
            <w:tcW w:w="1293" w:type="dxa"/>
            <w:shd w:val="clear" w:color="auto" w:fill="auto"/>
            <w:noWrap w:val="0"/>
            <w:vAlign w:val="center"/>
          </w:tcPr>
          <w:p w14:paraId="6B2831A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1"/>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0</w:t>
            </w:r>
          </w:p>
        </w:tc>
        <w:tc>
          <w:tcPr>
            <w:tcW w:w="1493" w:type="dxa"/>
            <w:shd w:val="clear" w:color="auto" w:fill="auto"/>
            <w:noWrap w:val="0"/>
            <w:vAlign w:val="center"/>
          </w:tcPr>
          <w:p w14:paraId="2A9B4FF2">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default" w:ascii="Times New Roman" w:hAnsi="Times New Roman" w:eastAsia="仿宋_GB2312" w:cs="Times New Roman"/>
                <w:i w:val="0"/>
                <w:iCs w:val="0"/>
                <w:color w:val="000000"/>
                <w:kern w:val="0"/>
                <w:sz w:val="24"/>
                <w:szCs w:val="21"/>
                <w:u w:val="none"/>
                <w:lang w:val="en-US" w:eastAsia="zh-CN" w:bidi="ar"/>
              </w:rPr>
              <w:t>100%</w:t>
            </w:r>
          </w:p>
        </w:tc>
      </w:tr>
      <w:tr w14:paraId="0BF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6" w:type="dxa"/>
            <w:shd w:val="clear" w:color="auto" w:fill="auto"/>
            <w:noWrap w:val="0"/>
            <w:vAlign w:val="center"/>
          </w:tcPr>
          <w:p w14:paraId="74623070">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bookmarkStart w:id="235" w:name="_Toc23176"/>
            <w:bookmarkStart w:id="236" w:name="_Toc11617"/>
            <w:r>
              <w:rPr>
                <w:rFonts w:hint="eastAsia" w:ascii="Times New Roman" w:hAnsi="Times New Roman" w:eastAsia="仿宋_GB2312" w:cs="Times New Roman"/>
                <w:i w:val="0"/>
                <w:iCs w:val="0"/>
                <w:color w:val="000000"/>
                <w:kern w:val="0"/>
                <w:sz w:val="24"/>
                <w:szCs w:val="21"/>
                <w:u w:val="none"/>
                <w:lang w:val="en-US" w:eastAsia="zh-CN" w:bidi="ar"/>
              </w:rPr>
              <w:t>合计</w:t>
            </w:r>
          </w:p>
        </w:tc>
        <w:tc>
          <w:tcPr>
            <w:tcW w:w="1627" w:type="dxa"/>
            <w:shd w:val="clear" w:color="auto" w:fill="auto"/>
            <w:noWrap w:val="0"/>
            <w:vAlign w:val="center"/>
          </w:tcPr>
          <w:p w14:paraId="2B4E2D44">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6815.35</w:t>
            </w:r>
          </w:p>
        </w:tc>
        <w:tc>
          <w:tcPr>
            <w:tcW w:w="1337" w:type="dxa"/>
            <w:shd w:val="clear" w:color="auto" w:fill="auto"/>
            <w:noWrap w:val="0"/>
            <w:vAlign w:val="center"/>
          </w:tcPr>
          <w:p w14:paraId="789B2DA1">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6812.32</w:t>
            </w:r>
          </w:p>
        </w:tc>
        <w:tc>
          <w:tcPr>
            <w:tcW w:w="1352" w:type="dxa"/>
            <w:shd w:val="clear" w:color="auto" w:fill="auto"/>
            <w:noWrap w:val="0"/>
            <w:vAlign w:val="center"/>
          </w:tcPr>
          <w:p w14:paraId="7F4B616E">
            <w:pPr>
              <w:keepNext w:val="0"/>
              <w:keepLines w:val="0"/>
              <w:widowControl/>
              <w:suppressLineNumbers w:val="0"/>
              <w:shd w:val="clear"/>
              <w:jc w:val="center"/>
              <w:textAlignment w:val="center"/>
              <w:rPr>
                <w:rFonts w:hint="default" w:ascii="Times New Roman" w:hAnsi="Times New Roman" w:eastAsia="仿宋_GB2312" w:cs="Times New Roman"/>
                <w:b w:val="0"/>
                <w:bCs w:val="0"/>
                <w:i w:val="0"/>
                <w:iCs w:val="0"/>
                <w:color w:val="000000"/>
                <w:kern w:val="0"/>
                <w:sz w:val="24"/>
                <w:szCs w:val="21"/>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6812.32</w:t>
            </w:r>
          </w:p>
        </w:tc>
        <w:tc>
          <w:tcPr>
            <w:tcW w:w="1293" w:type="dxa"/>
            <w:shd w:val="clear" w:color="auto" w:fill="auto"/>
            <w:noWrap w:val="0"/>
            <w:vAlign w:val="center"/>
          </w:tcPr>
          <w:p w14:paraId="143B2B7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1"/>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0</w:t>
            </w:r>
          </w:p>
        </w:tc>
        <w:tc>
          <w:tcPr>
            <w:tcW w:w="1493" w:type="dxa"/>
            <w:shd w:val="clear" w:color="auto" w:fill="auto"/>
            <w:noWrap w:val="0"/>
            <w:vAlign w:val="center"/>
          </w:tcPr>
          <w:p w14:paraId="33AC54FF">
            <w:pPr>
              <w:keepNext w:val="0"/>
              <w:keepLines w:val="0"/>
              <w:pageBreakBefore w:val="0"/>
              <w:widowControl/>
              <w:suppressLineNumbers w:val="0"/>
              <w:shd w:val="clear"/>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default" w:ascii="Times New Roman" w:hAnsi="Times New Roman" w:eastAsia="仿宋_GB2312" w:cs="Times New Roman"/>
                <w:i w:val="0"/>
                <w:iCs w:val="0"/>
                <w:color w:val="000000"/>
                <w:kern w:val="0"/>
                <w:sz w:val="24"/>
                <w:szCs w:val="21"/>
                <w:u w:val="none"/>
                <w:lang w:val="en-US" w:eastAsia="zh-CN" w:bidi="ar"/>
              </w:rPr>
              <w:t>100%</w:t>
            </w:r>
          </w:p>
        </w:tc>
      </w:tr>
    </w:tbl>
    <w:p w14:paraId="0EBFE71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支出明细</w:t>
      </w:r>
      <w:r>
        <w:rPr>
          <w:rFonts w:hint="default" w:ascii="Times New Roman" w:hAnsi="Times New Roman" w:eastAsia="仿宋_GB2312" w:cs="Times New Roman"/>
          <w:kern w:val="2"/>
          <w:sz w:val="32"/>
          <w:szCs w:val="32"/>
          <w:highlight w:val="none"/>
          <w:lang w:val="en-US" w:eastAsia="zh-CN" w:bidi="ar-SA"/>
        </w:rPr>
        <w:t>详见附件</w:t>
      </w:r>
      <w:r>
        <w:rPr>
          <w:rFonts w:hint="eastAsia" w:ascii="Times New Roman" w:hAnsi="Times New Roman" w:eastAsia="仿宋_GB2312" w:cs="Times New Roman"/>
          <w:kern w:val="2"/>
          <w:sz w:val="32"/>
          <w:szCs w:val="32"/>
          <w:highlight w:val="none"/>
          <w:lang w:val="en-US" w:eastAsia="zh-CN" w:bidi="ar-SA"/>
        </w:rPr>
        <w:t>2：永州市冷水滩区</w:t>
      </w:r>
      <w:r>
        <w:rPr>
          <w:rFonts w:hint="eastAsia" w:eastAsia="仿宋_GB2312" w:cs="Times New Roman"/>
          <w:kern w:val="2"/>
          <w:sz w:val="32"/>
          <w:szCs w:val="32"/>
          <w:highlight w:val="none"/>
          <w:lang w:val="en-US" w:eastAsia="zh-CN" w:bidi="ar-SA"/>
        </w:rPr>
        <w:t>园林</w:t>
      </w:r>
      <w:r>
        <w:rPr>
          <w:rFonts w:hint="eastAsia" w:ascii="Times New Roman" w:hAnsi="Times New Roman" w:eastAsia="仿宋_GB2312" w:cs="Times New Roman"/>
          <w:kern w:val="2"/>
          <w:sz w:val="32"/>
          <w:szCs w:val="32"/>
          <w:highlight w:val="none"/>
          <w:lang w:val="en-US" w:eastAsia="zh-CN" w:bidi="ar-SA"/>
        </w:rPr>
        <w:t>绿化面积养护及新增面积环卫经费项目</w:t>
      </w:r>
      <w:r>
        <w:rPr>
          <w:rFonts w:hint="default" w:ascii="Times New Roman" w:hAnsi="Times New Roman" w:eastAsia="仿宋_GB2312" w:cs="Times New Roman"/>
          <w:kern w:val="2"/>
          <w:sz w:val="32"/>
          <w:szCs w:val="32"/>
          <w:highlight w:val="none"/>
          <w:lang w:val="en-US" w:eastAsia="zh-CN" w:bidi="ar-SA"/>
        </w:rPr>
        <w:t>资金使用明细表</w:t>
      </w:r>
      <w:bookmarkEnd w:id="235"/>
      <w:bookmarkEnd w:id="236"/>
      <w:bookmarkStart w:id="237" w:name="_Toc28683"/>
      <w:r>
        <w:rPr>
          <w:rFonts w:hint="eastAsia" w:ascii="Times New Roman" w:hAnsi="Times New Roman" w:eastAsia="仿宋_GB2312" w:cs="Times New Roman"/>
          <w:kern w:val="2"/>
          <w:sz w:val="32"/>
          <w:szCs w:val="32"/>
          <w:highlight w:val="none"/>
          <w:lang w:val="en-US" w:eastAsia="zh-CN" w:bidi="ar-SA"/>
        </w:rPr>
        <w:t>。</w:t>
      </w:r>
    </w:p>
    <w:p w14:paraId="38BAFADA">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lang w:val="en-US" w:eastAsia="zh-CN"/>
        </w:rPr>
      </w:pPr>
      <w:bookmarkStart w:id="238" w:name="_Toc5841"/>
      <w:bookmarkStart w:id="239" w:name="_Toc31948"/>
      <w:bookmarkStart w:id="240" w:name="_Toc22687"/>
      <w:bookmarkStart w:id="241" w:name="_Toc24072"/>
      <w:bookmarkStart w:id="242" w:name="_Toc18226"/>
      <w:bookmarkStart w:id="243" w:name="_Toc14025"/>
      <w:bookmarkStart w:id="244" w:name="_Toc179"/>
      <w:bookmarkStart w:id="245" w:name="_Toc10365"/>
      <w:bookmarkStart w:id="246" w:name="_Toc29540"/>
      <w:bookmarkStart w:id="247" w:name="_Toc16817"/>
      <w:bookmarkStart w:id="248" w:name="_Toc29494"/>
      <w:bookmarkStart w:id="249" w:name="_Toc30006"/>
      <w:bookmarkStart w:id="250" w:name="_Toc7541"/>
      <w:bookmarkStart w:id="251" w:name="_Toc845"/>
      <w:bookmarkStart w:id="252" w:name="_Toc10407"/>
      <w:bookmarkStart w:id="253" w:name="_Toc8784"/>
      <w:bookmarkStart w:id="254" w:name="_Toc12046"/>
      <w:bookmarkStart w:id="255" w:name="_Toc9498"/>
      <w:r>
        <w:rPr>
          <w:rFonts w:hint="eastAsia" w:cs="Times New Roman"/>
          <w:sz w:val="32"/>
          <w:szCs w:val="32"/>
          <w:lang w:val="en-US" w:eastAsia="zh-CN"/>
        </w:rPr>
        <w:t>四、</w:t>
      </w:r>
      <w:r>
        <w:rPr>
          <w:rFonts w:hint="default" w:ascii="Times New Roman" w:hAnsi="Times New Roman" w:cs="Times New Roman"/>
          <w:sz w:val="32"/>
          <w:szCs w:val="32"/>
          <w:lang w:val="en-US" w:eastAsia="zh-CN"/>
        </w:rPr>
        <w:t>项目实施</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Times New Roman" w:hAnsi="Times New Roman" w:cs="Times New Roman"/>
          <w:sz w:val="32"/>
          <w:szCs w:val="32"/>
          <w:lang w:val="en-US" w:eastAsia="zh-CN"/>
        </w:rPr>
        <w:t>情况</w:t>
      </w:r>
      <w:bookmarkEnd w:id="255"/>
    </w:p>
    <w:p w14:paraId="55FBD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256" w:name="_Toc31818"/>
      <w:bookmarkStart w:id="257" w:name="_Toc23792"/>
      <w:bookmarkStart w:id="258" w:name="_Toc26946"/>
      <w:bookmarkStart w:id="259" w:name="_Toc3560"/>
      <w:bookmarkStart w:id="260" w:name="_Toc4638"/>
      <w:bookmarkStart w:id="261" w:name="_Toc11539"/>
      <w:bookmarkStart w:id="262" w:name="_Toc32523"/>
      <w:bookmarkStart w:id="263" w:name="_Toc25811"/>
      <w:bookmarkStart w:id="264" w:name="_Toc25624"/>
      <w:bookmarkStart w:id="265" w:name="_Toc16919"/>
      <w:bookmarkStart w:id="266" w:name="_Toc26134"/>
      <w:bookmarkStart w:id="267" w:name="_Toc14686"/>
      <w:bookmarkStart w:id="268" w:name="_Toc10619"/>
      <w:bookmarkStart w:id="269" w:name="_Toc25216"/>
      <w:bookmarkStart w:id="270" w:name="_Toc13184"/>
      <w:bookmarkStart w:id="271" w:name="_Toc14876"/>
      <w:bookmarkStart w:id="272" w:name="_Toc2396"/>
      <w:bookmarkStart w:id="273" w:name="_Toc22003"/>
      <w:r>
        <w:rPr>
          <w:rFonts w:hint="eastAsia" w:ascii="Times New Roman" w:hAnsi="Times New Roman" w:eastAsia="仿宋_GB2312" w:cs="Times New Roman"/>
          <w:kern w:val="2"/>
          <w:sz w:val="32"/>
          <w:szCs w:val="32"/>
          <w:highlight w:val="none"/>
          <w:lang w:val="en-US" w:eastAsia="zh-CN" w:bidi="ar-SA"/>
        </w:rPr>
        <w:t>项目主管单位冷水滩区城市环境卫生和园林绿化服务中心，负责</w:t>
      </w:r>
      <w:r>
        <w:rPr>
          <w:rFonts w:hint="eastAsia" w:eastAsia="仿宋_GB2312" w:cs="Times New Roman"/>
          <w:kern w:val="2"/>
          <w:sz w:val="32"/>
          <w:szCs w:val="32"/>
          <w:highlight w:val="none"/>
          <w:lang w:val="en-US" w:eastAsia="zh-CN" w:bidi="ar-SA"/>
        </w:rPr>
        <w:t>冷水滩区园林绿化面积养护及新增面积环卫经费</w:t>
      </w:r>
      <w:r>
        <w:rPr>
          <w:rFonts w:hint="eastAsia" w:ascii="Times New Roman" w:hAnsi="Times New Roman" w:eastAsia="仿宋_GB2312" w:cs="Times New Roman"/>
          <w:kern w:val="2"/>
          <w:sz w:val="32"/>
          <w:szCs w:val="32"/>
          <w:highlight w:val="none"/>
          <w:lang w:val="en-US" w:eastAsia="zh-CN" w:bidi="ar-SA"/>
        </w:rPr>
        <w:t>项目工作的组织领导和工作协调。园林绿化及清扫保洁项目通过政府采购方式实施。具体实施流程如下：</w:t>
      </w:r>
    </w:p>
    <w:p w14:paraId="13443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相关部门召开工作会议，然后由业务部门申请项目，经</w:t>
      </w:r>
      <w:r>
        <w:rPr>
          <w:rFonts w:hint="eastAsia" w:eastAsia="仿宋_GB2312" w:cs="Times New Roman"/>
          <w:kern w:val="2"/>
          <w:sz w:val="32"/>
          <w:szCs w:val="32"/>
          <w:highlight w:val="none"/>
          <w:lang w:val="en-US" w:eastAsia="zh-CN" w:bidi="ar-SA"/>
        </w:rPr>
        <w:t>项目</w:t>
      </w:r>
      <w:r>
        <w:rPr>
          <w:rFonts w:hint="eastAsia" w:ascii="Times New Roman" w:hAnsi="Times New Roman" w:eastAsia="仿宋_GB2312" w:cs="Times New Roman"/>
          <w:kern w:val="2"/>
          <w:sz w:val="32"/>
          <w:szCs w:val="32"/>
          <w:highlight w:val="none"/>
          <w:lang w:val="en-US" w:eastAsia="zh-CN" w:bidi="ar-SA"/>
        </w:rPr>
        <w:t>主管部门审批后进行公开招标或采购网采购，签订政府采购合同，项目实施单位</w:t>
      </w:r>
      <w:r>
        <w:rPr>
          <w:rFonts w:hint="eastAsia" w:eastAsia="仿宋_GB2312" w:cs="Times New Roman"/>
          <w:kern w:val="2"/>
          <w:sz w:val="32"/>
          <w:szCs w:val="32"/>
          <w:highlight w:val="none"/>
          <w:lang w:val="en-US" w:eastAsia="zh-CN" w:bidi="ar-SA"/>
        </w:rPr>
        <w:t>进行</w:t>
      </w:r>
      <w:r>
        <w:rPr>
          <w:rFonts w:hint="eastAsia" w:ascii="Times New Roman" w:hAnsi="Times New Roman" w:eastAsia="仿宋_GB2312" w:cs="Times New Roman"/>
          <w:kern w:val="2"/>
          <w:sz w:val="32"/>
          <w:szCs w:val="32"/>
          <w:highlight w:val="none"/>
          <w:lang w:val="en-US" w:eastAsia="zh-CN" w:bidi="ar-SA"/>
        </w:rPr>
        <w:t>项目实施，完工后由项目主管单位验收，验收合格后经财政局财政评审审定最终项目资金。</w:t>
      </w:r>
    </w:p>
    <w:p w14:paraId="698BF5AA">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274" w:name="_Toc32532"/>
      <w:r>
        <w:rPr>
          <w:rFonts w:hint="eastAsia" w:cs="Times New Roman"/>
          <w:sz w:val="32"/>
          <w:szCs w:val="32"/>
          <w:lang w:val="en-US" w:eastAsia="zh-CN"/>
        </w:rPr>
        <w:t>五、</w:t>
      </w:r>
      <w:r>
        <w:rPr>
          <w:rFonts w:hint="default" w:cs="Times New Roman"/>
          <w:sz w:val="32"/>
          <w:szCs w:val="32"/>
          <w:lang w:val="en-US" w:eastAsia="zh-CN"/>
        </w:rPr>
        <w:t>制度建设和各项法律法规制度的执行情况</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B03F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bookmarkStart w:id="275" w:name="_Toc30247"/>
      <w:bookmarkStart w:id="276" w:name="_Toc7854"/>
      <w:bookmarkStart w:id="277" w:name="_Toc14151"/>
      <w:bookmarkStart w:id="278" w:name="_Toc26697"/>
      <w:bookmarkStart w:id="279" w:name="_Toc6406"/>
      <w:bookmarkStart w:id="280" w:name="_Toc8604"/>
      <w:bookmarkStart w:id="281" w:name="_Toc15462"/>
      <w:bookmarkStart w:id="282" w:name="_Toc21260"/>
      <w:bookmarkStart w:id="283" w:name="_Toc15603"/>
      <w:bookmarkStart w:id="284" w:name="_Toc19793"/>
      <w:bookmarkStart w:id="285" w:name="_Toc7302"/>
      <w:bookmarkStart w:id="286" w:name="_Toc24613"/>
      <w:bookmarkStart w:id="287" w:name="_Toc6302"/>
      <w:bookmarkStart w:id="288" w:name="_Toc19199"/>
      <w:bookmarkStart w:id="289" w:name="_Toc6686"/>
      <w:bookmarkStart w:id="290" w:name="_Toc24493"/>
      <w:bookmarkStart w:id="291" w:name="_Toc15427"/>
      <w:bookmarkStart w:id="292" w:name="_Toc24004"/>
      <w:r>
        <w:rPr>
          <w:rFonts w:hint="eastAsia" w:ascii="Times New Roman" w:hAnsi="Times New Roman" w:eastAsia="仿宋_GB2312" w:cs="Times New Roman"/>
          <w:kern w:val="2"/>
          <w:sz w:val="32"/>
          <w:szCs w:val="32"/>
          <w:highlight w:val="none"/>
          <w:lang w:val="en-US" w:eastAsia="zh-CN" w:bidi="ar-SA"/>
        </w:rPr>
        <w:t>冷水滩</w:t>
      </w:r>
      <w:r>
        <w:rPr>
          <w:rFonts w:hint="eastAsia" w:eastAsia="仿宋_GB2312" w:cs="Times New Roman"/>
          <w:kern w:val="2"/>
          <w:sz w:val="32"/>
          <w:szCs w:val="32"/>
          <w:highlight w:val="none"/>
          <w:lang w:val="en-US" w:eastAsia="zh-CN" w:bidi="ar-SA"/>
        </w:rPr>
        <w:t>区城市环境卫生和园林绿化服务中心</w:t>
      </w:r>
      <w:r>
        <w:rPr>
          <w:rFonts w:hint="eastAsia" w:ascii="Times New Roman" w:hAnsi="Times New Roman" w:eastAsia="仿宋_GB2312" w:cs="Times New Roman"/>
          <w:kern w:val="2"/>
          <w:sz w:val="32"/>
          <w:szCs w:val="32"/>
          <w:highlight w:val="none"/>
          <w:lang w:val="en-US" w:eastAsia="zh-CN" w:bidi="ar-SA"/>
        </w:rPr>
        <w:t>遵照《永州市园林绿化管理办法》和《湖南省园林绿化综合质量评价标准》</w:t>
      </w:r>
      <w:r>
        <w:rPr>
          <w:rFonts w:hint="eastAsia" w:eastAsia="仿宋_GB2312" w:cs="Times New Roman"/>
          <w:kern w:val="2"/>
          <w:sz w:val="32"/>
          <w:szCs w:val="32"/>
          <w:highlight w:val="none"/>
          <w:lang w:val="en-US" w:eastAsia="zh-CN" w:bidi="ar-SA"/>
        </w:rPr>
        <w:t>实施</w:t>
      </w:r>
      <w:r>
        <w:rPr>
          <w:rFonts w:hint="eastAsia" w:ascii="Times New Roman" w:hAnsi="Times New Roman" w:eastAsia="仿宋_GB2312" w:cs="Times New Roman"/>
          <w:kern w:val="2"/>
          <w:sz w:val="32"/>
          <w:szCs w:val="32"/>
          <w:highlight w:val="none"/>
          <w:lang w:val="en-US" w:eastAsia="zh-CN" w:bidi="ar-SA"/>
        </w:rPr>
        <w:t>项目，</w:t>
      </w:r>
      <w:r>
        <w:rPr>
          <w:rFonts w:hint="eastAsia" w:eastAsia="仿宋_GB2312" w:cs="Times New Roman"/>
          <w:kern w:val="2"/>
          <w:sz w:val="32"/>
          <w:szCs w:val="32"/>
          <w:highlight w:val="none"/>
          <w:lang w:val="en-US" w:eastAsia="zh-CN" w:bidi="ar-SA"/>
        </w:rPr>
        <w:t>并</w:t>
      </w:r>
      <w:r>
        <w:rPr>
          <w:rFonts w:hint="eastAsia" w:ascii="Times New Roman" w:hAnsi="Times New Roman" w:eastAsia="仿宋_GB2312" w:cs="Times New Roman"/>
          <w:kern w:val="2"/>
          <w:sz w:val="32"/>
          <w:szCs w:val="32"/>
          <w:highlight w:val="none"/>
          <w:lang w:val="en-US" w:eastAsia="zh-CN" w:bidi="ar-SA"/>
        </w:rPr>
        <w:t>制定了</w:t>
      </w:r>
      <w:r>
        <w:rPr>
          <w:rFonts w:hint="eastAsia" w:eastAsia="仿宋_GB2312" w:cs="Times New Roman"/>
          <w:kern w:val="2"/>
          <w:sz w:val="32"/>
          <w:szCs w:val="32"/>
          <w:highlight w:val="none"/>
          <w:lang w:val="en-US" w:eastAsia="zh-CN" w:bidi="ar-SA"/>
        </w:rPr>
        <w:t>单位</w:t>
      </w:r>
      <w:r>
        <w:rPr>
          <w:rFonts w:hint="eastAsia" w:ascii="Times New Roman" w:hAnsi="Times New Roman" w:eastAsia="仿宋_GB2312" w:cs="Times New Roman"/>
          <w:kern w:val="2"/>
          <w:sz w:val="32"/>
          <w:szCs w:val="32"/>
          <w:highlight w:val="none"/>
          <w:lang w:val="en-US" w:eastAsia="zh-CN" w:bidi="ar-SA"/>
        </w:rPr>
        <w:t>《财务管理制度》</w:t>
      </w:r>
      <w:r>
        <w:rPr>
          <w:rFonts w:hint="eastAsia" w:eastAsia="仿宋_GB2312" w:cs="Times New Roman"/>
          <w:kern w:val="2"/>
          <w:sz w:val="32"/>
          <w:szCs w:val="32"/>
          <w:highlight w:val="none"/>
          <w:lang w:val="en-US" w:eastAsia="zh-CN" w:bidi="ar-SA"/>
        </w:rPr>
        <w:t>和</w:t>
      </w:r>
      <w:r>
        <w:rPr>
          <w:rFonts w:hint="eastAsia" w:ascii="Times New Roman" w:hAnsi="Times New Roman" w:eastAsia="仿宋_GB2312" w:cs="Times New Roman"/>
          <w:kern w:val="2"/>
          <w:sz w:val="32"/>
          <w:szCs w:val="32"/>
          <w:highlight w:val="none"/>
          <w:lang w:val="en-US" w:eastAsia="zh-CN" w:bidi="ar-SA"/>
        </w:rPr>
        <w:t>《项目专项资金管理制度》</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项目审批和验收等流程比较完善，但资金使用规范性有待提高。</w:t>
      </w:r>
    </w:p>
    <w:p w14:paraId="5D81A94C">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293" w:name="_Toc22105"/>
      <w:r>
        <w:rPr>
          <w:rFonts w:hint="default" w:cs="Times New Roman"/>
          <w:sz w:val="32"/>
          <w:szCs w:val="32"/>
          <w:lang w:val="en-US" w:eastAsia="zh-CN"/>
        </w:rPr>
        <w:t>六、项目的产出成果及效益情况分析</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E8E7F42">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294" w:name="_Toc17118"/>
      <w:bookmarkStart w:id="295" w:name="_Toc2053"/>
      <w:bookmarkStart w:id="296" w:name="_Toc19674"/>
      <w:bookmarkStart w:id="297" w:name="_Toc19548"/>
      <w:bookmarkStart w:id="298" w:name="_Toc9535"/>
      <w:bookmarkStart w:id="299" w:name="_Toc542"/>
      <w:bookmarkStart w:id="300" w:name="_Toc30752"/>
      <w:bookmarkStart w:id="301" w:name="_Toc20753"/>
      <w:bookmarkStart w:id="302" w:name="_Toc22115"/>
      <w:bookmarkStart w:id="303" w:name="_Toc31476"/>
      <w:bookmarkStart w:id="304" w:name="_Toc21956"/>
      <w:bookmarkStart w:id="305" w:name="_Toc18542"/>
      <w:bookmarkStart w:id="306" w:name="_Toc27479"/>
      <w:bookmarkStart w:id="307" w:name="_Toc32209"/>
      <w:bookmarkStart w:id="308" w:name="_Toc2389"/>
      <w:bookmarkStart w:id="309" w:name="_Toc19570"/>
      <w:bookmarkStart w:id="310" w:name="_Toc26025"/>
      <w:bookmarkStart w:id="311" w:name="_Toc750"/>
      <w:bookmarkStart w:id="312" w:name="_Toc13888"/>
      <w:bookmarkStart w:id="313" w:name="_Toc8014"/>
      <w:r>
        <w:rPr>
          <w:rFonts w:hint="default" w:ascii="Times New Roman" w:hAnsi="Times New Roman" w:eastAsia="楷体" w:cs="Times New Roman"/>
          <w:sz w:val="32"/>
          <w:lang w:val="en-US" w:eastAsia="zh-CN"/>
        </w:rPr>
        <w:t>（一）项目</w:t>
      </w:r>
      <w:r>
        <w:rPr>
          <w:rFonts w:hint="eastAsia" w:ascii="Times New Roman" w:hAnsi="Times New Roman" w:eastAsia="楷体" w:cs="Times New Roman"/>
          <w:sz w:val="32"/>
          <w:lang w:val="en-US" w:eastAsia="zh-CN"/>
        </w:rPr>
        <w:t>主要</w:t>
      </w:r>
      <w:r>
        <w:rPr>
          <w:rFonts w:hint="default" w:ascii="Times New Roman" w:hAnsi="Times New Roman" w:eastAsia="楷体" w:cs="Times New Roman"/>
          <w:sz w:val="32"/>
          <w:lang w:val="en-US" w:eastAsia="zh-CN"/>
        </w:rPr>
        <w:t>产出情况</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BB2D9BE">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kern w:val="2"/>
          <w:sz w:val="32"/>
          <w:szCs w:val="32"/>
          <w:highlight w:val="none"/>
          <w:lang w:val="en-US" w:eastAsia="zh-CN" w:bidi="ar-SA"/>
        </w:rPr>
      </w:pPr>
      <w:bookmarkStart w:id="314" w:name="_Toc14473"/>
      <w:bookmarkStart w:id="315" w:name="_Toc13641"/>
      <w:bookmarkStart w:id="316" w:name="_Toc25965"/>
      <w:bookmarkStart w:id="317" w:name="_Toc23462"/>
      <w:bookmarkStart w:id="318" w:name="_Toc14784"/>
      <w:bookmarkStart w:id="319" w:name="_Toc22699"/>
      <w:bookmarkStart w:id="320" w:name="_Toc7753"/>
      <w:bookmarkStart w:id="321" w:name="_Toc31946"/>
      <w:bookmarkStart w:id="322" w:name="_Toc20854"/>
      <w:bookmarkStart w:id="323" w:name="_Toc23164"/>
      <w:bookmarkStart w:id="324" w:name="_Toc16361"/>
      <w:bookmarkStart w:id="325" w:name="_Toc8749"/>
      <w:bookmarkStart w:id="326" w:name="_Toc1997"/>
      <w:bookmarkStart w:id="327" w:name="_Toc11336"/>
      <w:bookmarkStart w:id="328" w:name="_Toc31950"/>
      <w:bookmarkStart w:id="329" w:name="_Toc27974"/>
      <w:bookmarkStart w:id="330" w:name="_Toc13332"/>
      <w:bookmarkStart w:id="331" w:name="_Toc19608"/>
      <w:bookmarkStart w:id="332" w:name="_Toc5584"/>
      <w:r>
        <w:rPr>
          <w:rFonts w:hint="eastAsia" w:ascii="Times New Roman" w:hAnsi="Times New Roman" w:eastAsia="仿宋_GB2312" w:cs="Times New Roman"/>
          <w:b/>
          <w:bCs/>
          <w:kern w:val="2"/>
          <w:sz w:val="32"/>
          <w:szCs w:val="32"/>
          <w:highlight w:val="none"/>
          <w:lang w:val="en-US" w:eastAsia="zh-CN" w:bidi="ar-SA"/>
        </w:rPr>
        <w:t>1.项目主要任务完成情况</w:t>
      </w:r>
      <w:r>
        <w:rPr>
          <w:rFonts w:hint="eastAsia" w:ascii="Times New Roman" w:hAnsi="Times New Roman" w:eastAsia="仿宋_GB2312" w:cs="Times New Roman"/>
          <w:kern w:val="2"/>
          <w:sz w:val="32"/>
          <w:szCs w:val="32"/>
          <w:highlight w:val="none"/>
          <w:lang w:val="en-US" w:eastAsia="zh-CN" w:bidi="ar-SA"/>
        </w:rPr>
        <w:t>。根据被评价单位提供的数据和现场调查结果分析，两区主要任务指标值均达到年初目标。完成情况见下表：</w:t>
      </w:r>
    </w:p>
    <w:tbl>
      <w:tblPr>
        <w:tblStyle w:val="19"/>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7"/>
        <w:gridCol w:w="1606"/>
        <w:gridCol w:w="1900"/>
        <w:gridCol w:w="2249"/>
      </w:tblGrid>
      <w:tr w14:paraId="41D1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w:t>
            </w:r>
          </w:p>
        </w:tc>
      </w:tr>
      <w:tr w14:paraId="0D4F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1048">
            <w:pPr>
              <w:jc w:val="center"/>
              <w:rPr>
                <w:rFonts w:hint="eastAsia" w:ascii="宋体" w:hAnsi="宋体" w:eastAsia="宋体" w:cs="宋体"/>
                <w:i w:val="0"/>
                <w:iCs w:val="0"/>
                <w:color w:val="000000"/>
                <w:sz w:val="22"/>
                <w:szCs w:val="22"/>
                <w:u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C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实际值</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7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r>
      <w:tr w14:paraId="7494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467">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陆地清扫面积（万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3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1126.28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1126.28 </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44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842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河道清扫面积（万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53.59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53.59 </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539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99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绿化养护面积（万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2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3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F7D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713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生产作业车辆维护数量（个）</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9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E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8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3AB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458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中转站（个）</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460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3E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普通公厕（个）</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4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13F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6B4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环卫公厕（个）</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73EEB5F7">
      <w:pPr>
        <w:pStyle w:val="23"/>
        <w:shd w:val="clear"/>
        <w:rPr>
          <w:rFonts w:hint="default"/>
          <w:lang w:val="en-US" w:eastAsia="zh-CN"/>
        </w:rPr>
      </w:pPr>
    </w:p>
    <w:p w14:paraId="475FE027">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2.项目时效：经现场抽查，大部分项目基本按照项目采购要求及项目合同内容，在规定时间内完成项目进度；项目资金按要求及时拨付。</w:t>
      </w:r>
    </w:p>
    <w:p w14:paraId="7198D9A7">
      <w:pPr>
        <w:keepNext w:val="0"/>
        <w:keepLines w:val="0"/>
        <w:pageBreakBefore w:val="0"/>
        <w:widowControl w:val="0"/>
        <w:numPr>
          <w:ilvl w:val="0"/>
          <w:numId w:val="0"/>
        </w:numPr>
        <w:shd w:val="clear"/>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3.成本控制：两区项目预算执行率均基本达到100%，成本控制比较合理。</w:t>
      </w:r>
    </w:p>
    <w:p w14:paraId="4CA8EDEC">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33" w:name="_Toc13449"/>
      <w:r>
        <w:rPr>
          <w:rFonts w:hint="default" w:ascii="Times New Roman" w:hAnsi="Times New Roman" w:eastAsia="楷体" w:cs="Times New Roman"/>
          <w:sz w:val="32"/>
          <w:lang w:val="en-US" w:eastAsia="zh-CN"/>
        </w:rPr>
        <w:t>（二）项目效益情况</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776D9F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334" w:name="_Toc28485"/>
      <w:bookmarkStart w:id="335" w:name="_Toc32315"/>
      <w:bookmarkStart w:id="336" w:name="_Toc20331"/>
      <w:bookmarkStart w:id="337" w:name="_Toc2317"/>
      <w:bookmarkStart w:id="338" w:name="_Toc20665"/>
      <w:bookmarkStart w:id="339" w:name="_Toc29604"/>
      <w:bookmarkStart w:id="340" w:name="_Toc8870"/>
      <w:bookmarkStart w:id="341" w:name="_Toc17537"/>
      <w:bookmarkStart w:id="342" w:name="_Toc3512"/>
      <w:bookmarkStart w:id="343" w:name="_Toc8336"/>
      <w:bookmarkStart w:id="344" w:name="_Toc17543"/>
      <w:bookmarkStart w:id="345" w:name="_Toc30895"/>
      <w:bookmarkStart w:id="346" w:name="_Toc6551"/>
      <w:bookmarkStart w:id="347" w:name="_Toc25971"/>
      <w:bookmarkStart w:id="348" w:name="_Toc28615"/>
      <w:bookmarkStart w:id="349" w:name="_Toc2947"/>
      <w:bookmarkStart w:id="350" w:name="_Toc26809"/>
      <w:r>
        <w:rPr>
          <w:rFonts w:hint="eastAsia" w:ascii="Times New Roman" w:hAnsi="Times New Roman" w:eastAsia="仿宋_GB2312" w:cs="Times New Roman"/>
          <w:kern w:val="2"/>
          <w:sz w:val="32"/>
          <w:szCs w:val="32"/>
          <w:highlight w:val="none"/>
          <w:lang w:val="en-US" w:eastAsia="zh-CN" w:bidi="ar-SA"/>
        </w:rPr>
        <w:t>1.改善环境质量，促进人与自然和谐共生。</w:t>
      </w:r>
    </w:p>
    <w:p w14:paraId="7F8FAC3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一方面</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路面清扫保洁与河道保洁等日常工作，改善陆地及水体环境质量，减少建筑垃圾、生活垃圾、河道藻类污染、公共卫生垃圾等带来的公共区域虫害繁殖、空气污染，降低可吸入颗粒物污染指数，净化空气质量，提升公厕、垃圾中转站等公共设施服务功能；另一方面，城区园林绿化植物的选取适应城市地形地貌特征，与河湖水系有机融合，提升生态系统质量和稳定性。促进自然生态系统质量整体改善，实现人与自然和谐共生。</w:t>
      </w:r>
    </w:p>
    <w:p w14:paraId="2CA5B3D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推进园林城市创建，提升居民幸福指数。永州市园林绿化服务中心连续三年进行中心城区</w:t>
      </w:r>
      <w:r>
        <w:rPr>
          <w:rFonts w:hint="eastAsia" w:eastAsia="仿宋_GB2312" w:cs="Times New Roman"/>
          <w:kern w:val="2"/>
          <w:sz w:val="32"/>
          <w:szCs w:val="32"/>
          <w:highlight w:val="none"/>
          <w:lang w:val="en-US" w:eastAsia="zh-CN" w:bidi="ar-SA"/>
        </w:rPr>
        <w:t>园林绿化</w:t>
      </w:r>
      <w:r>
        <w:rPr>
          <w:rFonts w:hint="eastAsia" w:ascii="Times New Roman" w:hAnsi="Times New Roman" w:eastAsia="仿宋_GB2312" w:cs="Times New Roman"/>
          <w:kern w:val="2"/>
          <w:sz w:val="32"/>
          <w:szCs w:val="32"/>
          <w:highlight w:val="none"/>
          <w:lang w:val="en-US" w:eastAsia="zh-CN" w:bidi="ar-SA"/>
        </w:rPr>
        <w:t>管护年度考核，对市中心的公园、小游园、街道（广场）、休闲绿地等进行监督检查，列明问题清单，提出整改意见和限期整改要求，有效推进街道绿地、行道树的补植补种和增肥除害等管护工作，增加乔木、亚乔木和花卉植物，提高绿地率，丰富道路绿化色彩景观，形成林荫路系统。推进永州市园林城市创建，提升居民幸福指数。</w:t>
      </w:r>
    </w:p>
    <w:p w14:paraId="1B7EB10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3.促进居民就业，维护社会稳定。</w:t>
      </w:r>
    </w:p>
    <w:p w14:paraId="61FA5DF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城区园林绿化养护及清扫保洁项目共聘用环卫保洁相关劳</w:t>
      </w:r>
      <w:r>
        <w:rPr>
          <w:rFonts w:hint="eastAsia" w:eastAsia="仿宋_GB2312" w:cs="Times New Roman"/>
          <w:kern w:val="2"/>
          <w:sz w:val="32"/>
          <w:szCs w:val="32"/>
          <w:highlight w:val="none"/>
          <w:lang w:val="en-US" w:eastAsia="zh-CN" w:bidi="ar-SA"/>
        </w:rPr>
        <w:t>务</w:t>
      </w:r>
      <w:r>
        <w:rPr>
          <w:rFonts w:hint="eastAsia" w:ascii="Times New Roman" w:hAnsi="Times New Roman" w:eastAsia="仿宋_GB2312" w:cs="Times New Roman"/>
          <w:kern w:val="2"/>
          <w:sz w:val="32"/>
          <w:szCs w:val="32"/>
          <w:highlight w:val="none"/>
          <w:lang w:val="en-US" w:eastAsia="zh-CN" w:bidi="ar-SA"/>
        </w:rPr>
        <w:t>外包人员近</w:t>
      </w:r>
      <w:r>
        <w:rPr>
          <w:rFonts w:hint="eastAsia" w:eastAsia="仿宋_GB2312" w:cs="Times New Roman"/>
          <w:kern w:val="2"/>
          <w:sz w:val="32"/>
          <w:szCs w:val="32"/>
          <w:highlight w:val="none"/>
          <w:lang w:val="en-US" w:eastAsia="zh-CN" w:bidi="ar-SA"/>
        </w:rPr>
        <w:t>1900</w:t>
      </w:r>
      <w:r>
        <w:rPr>
          <w:rFonts w:hint="eastAsia" w:ascii="Times New Roman" w:hAnsi="Times New Roman" w:eastAsia="仿宋_GB2312" w:cs="Times New Roman"/>
          <w:kern w:val="2"/>
          <w:sz w:val="32"/>
          <w:szCs w:val="32"/>
          <w:highlight w:val="none"/>
          <w:lang w:val="en-US" w:eastAsia="zh-CN" w:bidi="ar-SA"/>
        </w:rPr>
        <w:t>人，实现</w:t>
      </w:r>
      <w:r>
        <w:rPr>
          <w:rFonts w:hint="eastAsia" w:eastAsia="仿宋_GB2312" w:cs="Times New Roman"/>
          <w:kern w:val="2"/>
          <w:sz w:val="32"/>
          <w:szCs w:val="32"/>
          <w:highlight w:val="none"/>
          <w:lang w:val="en-US" w:eastAsia="zh-CN" w:bidi="ar-SA"/>
        </w:rPr>
        <w:t>近1900</w:t>
      </w:r>
      <w:r>
        <w:rPr>
          <w:rFonts w:hint="eastAsia" w:ascii="Times New Roman" w:hAnsi="Times New Roman" w:eastAsia="仿宋_GB2312" w:cs="Times New Roman"/>
          <w:kern w:val="2"/>
          <w:sz w:val="32"/>
          <w:szCs w:val="32"/>
          <w:highlight w:val="none"/>
          <w:lang w:val="en-US" w:eastAsia="zh-CN" w:bidi="ar-SA"/>
        </w:rPr>
        <w:t>人劳动就业，一定程度减轻居民生活压力、增加居民收入，维护社会稳定。</w:t>
      </w:r>
    </w:p>
    <w:p w14:paraId="689529CD">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351" w:name="_Toc9299"/>
      <w:r>
        <w:rPr>
          <w:rFonts w:hint="default" w:cs="Times New Roman"/>
          <w:sz w:val="32"/>
          <w:szCs w:val="32"/>
          <w:lang w:val="en-US" w:eastAsia="zh-CN"/>
        </w:rPr>
        <w:t>七、存在的问题</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Start w:id="352" w:name="_Toc29607"/>
      <w:bookmarkStart w:id="353" w:name="_Toc8141"/>
    </w:p>
    <w:p w14:paraId="16460351">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ascii="Times New Roman" w:hAnsi="Times New Roman" w:eastAsia="楷体" w:cs="Times New Roman"/>
          <w:sz w:val="32"/>
          <w:lang w:val="en-US" w:eastAsia="zh-CN"/>
        </w:rPr>
      </w:pPr>
      <w:bookmarkStart w:id="354" w:name="_Toc15549"/>
      <w:bookmarkStart w:id="355" w:name="_Toc30577"/>
      <w:bookmarkStart w:id="356" w:name="_Toc23266"/>
      <w:bookmarkStart w:id="357" w:name="_Toc16978"/>
      <w:bookmarkStart w:id="358" w:name="_Toc23707"/>
      <w:bookmarkStart w:id="359" w:name="_Toc11022"/>
      <w:bookmarkStart w:id="360" w:name="_Toc23150"/>
      <w:bookmarkStart w:id="361" w:name="_Toc6933"/>
      <w:bookmarkStart w:id="362" w:name="_Toc12933"/>
      <w:bookmarkStart w:id="363" w:name="_Toc23091"/>
      <w:bookmarkStart w:id="364" w:name="_Toc13384"/>
      <w:bookmarkStart w:id="365" w:name="_Toc19611"/>
      <w:bookmarkStart w:id="366" w:name="_Toc26729"/>
      <w:bookmarkStart w:id="367" w:name="_Toc32635"/>
      <w:bookmarkStart w:id="368" w:name="_Toc12589"/>
      <w:bookmarkStart w:id="369" w:name="_Toc27332"/>
      <w:bookmarkStart w:id="370" w:name="_Toc1841"/>
      <w:r>
        <w:rPr>
          <w:rFonts w:hint="default" w:ascii="Times New Roman" w:hAnsi="Times New Roman" w:eastAsia="楷体" w:cs="Times New Roman"/>
          <w:sz w:val="32"/>
          <w:lang w:val="en-US" w:eastAsia="zh-CN"/>
        </w:rPr>
        <w:t>（一）</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1" w:name="_Toc1963"/>
      <w:bookmarkStart w:id="372" w:name="_Toc19421"/>
      <w:r>
        <w:rPr>
          <w:rFonts w:hint="eastAsia" w:ascii="Times New Roman" w:hAnsi="Times New Roman" w:eastAsia="楷体" w:cs="Times New Roman"/>
          <w:sz w:val="32"/>
          <w:lang w:val="en-US" w:eastAsia="zh-CN"/>
        </w:rPr>
        <w:t>预算意识薄弱，绩效管理水平有待提高</w:t>
      </w:r>
      <w:bookmarkEnd w:id="370"/>
    </w:p>
    <w:p w14:paraId="3845B3B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1.绩效目标编制不规范。冷水滩区城市环境卫生和园林绿化服务中心公开了</w:t>
      </w:r>
      <w:r>
        <w:rPr>
          <w:rFonts w:hint="eastAsia" w:eastAsia="仿宋_GB2312" w:cs="Times New Roman"/>
          <w:kern w:val="2"/>
          <w:sz w:val="32"/>
          <w:szCs w:val="32"/>
          <w:highlight w:val="none"/>
          <w:lang w:val="en-US" w:eastAsia="zh-CN" w:bidi="ar-SA"/>
        </w:rPr>
        <w:t>2023年</w:t>
      </w:r>
      <w:r>
        <w:rPr>
          <w:rFonts w:hint="eastAsia" w:ascii="Times New Roman" w:hAnsi="Times New Roman" w:eastAsia="仿宋_GB2312" w:cs="Times New Roman"/>
          <w:kern w:val="2"/>
          <w:sz w:val="32"/>
          <w:szCs w:val="32"/>
          <w:highlight w:val="none"/>
          <w:lang w:val="en-US" w:eastAsia="zh-CN" w:bidi="ar-SA"/>
        </w:rPr>
        <w:t>年初预算，设置了项目绩效目标表，但未针对每个项目设置单独的绩效目标表，而是对所有项目（6个项目）</w:t>
      </w:r>
      <w:r>
        <w:rPr>
          <w:rFonts w:hint="eastAsia" w:eastAsia="仿宋_GB2312" w:cs="Times New Roman"/>
          <w:kern w:val="2"/>
          <w:sz w:val="32"/>
          <w:szCs w:val="32"/>
          <w:highlight w:val="none"/>
          <w:lang w:val="en-US" w:eastAsia="zh-CN" w:bidi="ar-SA"/>
        </w:rPr>
        <w:t>共</w:t>
      </w:r>
      <w:r>
        <w:rPr>
          <w:rFonts w:hint="eastAsia" w:ascii="Times New Roman" w:hAnsi="Times New Roman" w:eastAsia="仿宋_GB2312" w:cs="Times New Roman"/>
          <w:kern w:val="2"/>
          <w:sz w:val="32"/>
          <w:szCs w:val="32"/>
          <w:highlight w:val="none"/>
          <w:lang w:val="en-US" w:eastAsia="zh-CN" w:bidi="ar-SA"/>
        </w:rPr>
        <w:t>设置</w:t>
      </w:r>
      <w:r>
        <w:rPr>
          <w:rFonts w:hint="eastAsia" w:eastAsia="仿宋_GB2312" w:cs="Times New Roman"/>
          <w:kern w:val="2"/>
          <w:sz w:val="32"/>
          <w:szCs w:val="32"/>
          <w:highlight w:val="none"/>
          <w:lang w:val="en-US" w:eastAsia="zh-CN" w:bidi="ar-SA"/>
        </w:rPr>
        <w:t>了</w:t>
      </w:r>
      <w:r>
        <w:rPr>
          <w:rFonts w:hint="eastAsia" w:ascii="Times New Roman" w:hAnsi="Times New Roman" w:eastAsia="仿宋_GB2312" w:cs="Times New Roman"/>
          <w:kern w:val="2"/>
          <w:sz w:val="32"/>
          <w:szCs w:val="32"/>
          <w:highlight w:val="none"/>
          <w:lang w:val="en-US" w:eastAsia="zh-CN" w:bidi="ar-SA"/>
        </w:rPr>
        <w:t>一个绩效目标表，绩效目标较为笼统，未能对该项目目标</w:t>
      </w:r>
      <w:r>
        <w:rPr>
          <w:rFonts w:hint="eastAsia" w:eastAsia="仿宋_GB2312" w:cs="Times New Roman"/>
          <w:kern w:val="2"/>
          <w:sz w:val="32"/>
          <w:szCs w:val="32"/>
          <w:highlight w:val="none"/>
          <w:lang w:val="en-US" w:eastAsia="zh-CN" w:bidi="ar-SA"/>
        </w:rPr>
        <w:t>进行</w:t>
      </w:r>
      <w:r>
        <w:rPr>
          <w:rFonts w:hint="eastAsia" w:ascii="Times New Roman" w:hAnsi="Times New Roman" w:eastAsia="仿宋_GB2312" w:cs="Times New Roman"/>
          <w:kern w:val="2"/>
          <w:sz w:val="32"/>
          <w:szCs w:val="32"/>
          <w:highlight w:val="none"/>
          <w:lang w:val="en-US" w:eastAsia="zh-CN" w:bidi="ar-SA"/>
        </w:rPr>
        <w:t>进一步细化和分解，不利于项目实施、项目管理与绩效考核。</w:t>
      </w:r>
    </w:p>
    <w:p w14:paraId="7450593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2.绩效自评需加强。冷水滩区城市环境卫生和园林绿化服务中心2023年未进行绩效自评，也未对该项目进行较为详细的年度工作总结，不利于下年度绩效目标申报和预算编制。</w:t>
      </w:r>
    </w:p>
    <w:p w14:paraId="2DB8AAE8">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373" w:name="_Toc1617"/>
      <w:bookmarkStart w:id="374" w:name="_Toc20548"/>
      <w:bookmarkStart w:id="375" w:name="_Toc21201"/>
      <w:bookmarkStart w:id="376" w:name="_Toc20274"/>
      <w:bookmarkStart w:id="377" w:name="_Toc14391"/>
      <w:bookmarkStart w:id="378" w:name="_Toc12843"/>
      <w:bookmarkStart w:id="379" w:name="_Toc6802"/>
      <w:bookmarkStart w:id="380" w:name="_Toc18650"/>
      <w:bookmarkStart w:id="381" w:name="_Toc22193"/>
      <w:bookmarkStart w:id="382" w:name="_Toc21112"/>
      <w:bookmarkStart w:id="383" w:name="_Toc23734"/>
      <w:bookmarkStart w:id="384" w:name="_Toc10190"/>
      <w:bookmarkStart w:id="385" w:name="_Toc31674"/>
      <w:bookmarkStart w:id="386" w:name="_Toc7842"/>
      <w:bookmarkStart w:id="387" w:name="_Toc27728"/>
      <w:bookmarkStart w:id="388" w:name="_Toc26009"/>
      <w:bookmarkStart w:id="389" w:name="_Toc24642"/>
      <w:bookmarkStart w:id="390" w:name="_Toc31071"/>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二</w:t>
      </w:r>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管理制度不健全，</w:t>
      </w:r>
      <w:bookmarkEnd w:id="373"/>
      <w:bookmarkStart w:id="391" w:name="_Toc22020"/>
      <w:bookmarkStart w:id="392" w:name="_Toc302"/>
      <w:bookmarkStart w:id="393" w:name="_Toc13356"/>
      <w:bookmarkStart w:id="394" w:name="_Toc25019"/>
      <w:bookmarkStart w:id="395" w:name="_Toc10642"/>
      <w:bookmarkStart w:id="396" w:name="_Toc15607"/>
      <w:bookmarkStart w:id="397" w:name="_Toc5947"/>
      <w:bookmarkStart w:id="398" w:name="_Toc13482"/>
      <w:bookmarkStart w:id="399" w:name="_Toc16471"/>
      <w:bookmarkStart w:id="400" w:name="_Toc21093"/>
      <w:bookmarkStart w:id="401" w:name="_Toc24059"/>
      <w:bookmarkStart w:id="402" w:name="_Toc20796"/>
      <w:bookmarkStart w:id="403" w:name="_Toc31568"/>
      <w:bookmarkStart w:id="404" w:name="_Toc23188"/>
      <w:bookmarkStart w:id="405" w:name="_Toc25070"/>
      <w:bookmarkStart w:id="406" w:name="_Toc3830"/>
      <w:bookmarkStart w:id="407" w:name="_Toc11224"/>
      <w:bookmarkStart w:id="408" w:name="_Toc22555"/>
      <w:r>
        <w:rPr>
          <w:rFonts w:hint="eastAsia" w:eastAsia="楷体" w:cs="Times New Roman"/>
          <w:sz w:val="32"/>
          <w:lang w:val="en-US" w:eastAsia="zh-CN"/>
        </w:rPr>
        <w:t>项目执行缺依据</w:t>
      </w:r>
    </w:p>
    <w:p w14:paraId="1702DEC5">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专项资金管理制度</w:t>
      </w:r>
      <w:r>
        <w:rPr>
          <w:rFonts w:hint="eastAsia" w:eastAsia="仿宋_GB2312" w:cs="Times New Roman"/>
          <w:kern w:val="2"/>
          <w:sz w:val="32"/>
          <w:szCs w:val="32"/>
          <w:highlight w:val="none"/>
          <w:lang w:val="en-US" w:eastAsia="zh-CN" w:bidi="ar-SA"/>
        </w:rPr>
        <w:t>内容不健全。</w:t>
      </w:r>
      <w:r>
        <w:rPr>
          <w:rFonts w:hint="eastAsia" w:ascii="Times New Roman" w:hAnsi="Times New Roman" w:eastAsia="仿宋_GB2312" w:cs="Times New Roman"/>
          <w:kern w:val="2"/>
          <w:sz w:val="32"/>
          <w:szCs w:val="32"/>
          <w:highlight w:val="none"/>
          <w:lang w:val="en-US" w:eastAsia="zh-CN" w:bidi="ar-SA"/>
        </w:rPr>
        <w:t>冷水滩区虽然提供了</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专项资金管理办法</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，但资金管理制度内容较为空泛，与单位实际情况联系不紧密，缺乏可行性。单位并未参照该制度进行项目资金拨付。</w:t>
      </w: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79D84D9A">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409" w:name="_Toc5750"/>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三</w:t>
      </w:r>
      <w:r>
        <w:rPr>
          <w:rFonts w:hint="default" w:ascii="Times New Roman" w:hAnsi="Times New Roman" w:eastAsia="楷体" w:cs="Times New Roman"/>
          <w:sz w:val="32"/>
          <w:lang w:val="en-US" w:eastAsia="zh-CN"/>
        </w:rPr>
        <w: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hint="eastAsia" w:ascii="Times New Roman" w:hAnsi="Times New Roman" w:eastAsia="楷体" w:cs="Times New Roman"/>
          <w:sz w:val="32"/>
          <w:lang w:val="en-US" w:eastAsia="zh-CN"/>
        </w:rPr>
        <w:t>项目资金相互混用</w:t>
      </w:r>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不利于项目过程管理</w:t>
      </w:r>
      <w:bookmarkEnd w:id="409"/>
    </w:p>
    <w:p w14:paraId="0BE6210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项目资金被挤占</w:t>
      </w:r>
      <w:bookmarkStart w:id="410" w:name="_Toc32148"/>
      <w:bookmarkStart w:id="411" w:name="_Toc4770"/>
      <w:bookmarkStart w:id="412" w:name="_Toc20032"/>
      <w:bookmarkStart w:id="413" w:name="_Toc31275"/>
      <w:bookmarkStart w:id="414" w:name="_Toc8391"/>
      <w:bookmarkStart w:id="415" w:name="_Toc16240"/>
      <w:bookmarkStart w:id="416" w:name="_Toc24925"/>
      <w:bookmarkStart w:id="417" w:name="_Toc25994"/>
      <w:bookmarkStart w:id="418" w:name="_Toc30407"/>
      <w:bookmarkStart w:id="419" w:name="_Toc24615"/>
      <w:bookmarkStart w:id="420" w:name="_Toc31291"/>
      <w:bookmarkStart w:id="421" w:name="_Toc11865"/>
      <w:bookmarkStart w:id="422" w:name="_Toc4993"/>
      <w:bookmarkStart w:id="423" w:name="_Toc21266"/>
      <w:bookmarkStart w:id="424" w:name="_Toc8687"/>
      <w:bookmarkStart w:id="425" w:name="_Toc8680"/>
      <w:bookmarkStart w:id="426" w:name="_Toc22706"/>
    </w:p>
    <w:p w14:paraId="231F1F0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月53#凭证，4.96万元分类垃圾桶（80组320个）采购费用、5月5#凭证垃圾分类宣传费用、5月6#凭证果皮箱垃圾分类标识更换费用和5月12#凭证不锈钢二类果皮箱（1000个）采购费用等，应计入冷水滩区城乡垃圾收运及分类设施配套工程专项经费，不属于环卫经费范畴；4月27#凭证，劳务派遣人员工资中办公室文员、会计等非环卫工人工资应从</w:t>
      </w:r>
      <w:r>
        <w:rPr>
          <w:rFonts w:hint="eastAsia" w:eastAsia="仿宋_GB2312" w:cs="Times New Roman"/>
          <w:kern w:val="2"/>
          <w:sz w:val="32"/>
          <w:szCs w:val="32"/>
          <w:highlight w:val="none"/>
          <w:lang w:val="en-US" w:eastAsia="zh-CN" w:bidi="ar-SA"/>
        </w:rPr>
        <w:t>其他项目</w:t>
      </w:r>
      <w:r>
        <w:rPr>
          <w:rFonts w:hint="eastAsia" w:ascii="Times New Roman" w:hAnsi="Times New Roman" w:eastAsia="仿宋_GB2312" w:cs="Times New Roman"/>
          <w:kern w:val="2"/>
          <w:sz w:val="32"/>
          <w:szCs w:val="32"/>
          <w:highlight w:val="none"/>
          <w:lang w:val="en-US" w:eastAsia="zh-CN" w:bidi="ar-SA"/>
        </w:rPr>
        <w:t>预算支付；4月70#凭证，9262元垃圾中转站配件维修费应计入垃圾中转站建设经费；4月72#凭证，7万元城区小游园建设项目规划设计费，应计入园林景观改造工程设计费，不属于环卫经费范畴</w:t>
      </w:r>
      <w:r>
        <w:rPr>
          <w:rFonts w:hint="eastAsia" w:eastAsia="仿宋_GB2312" w:cs="Times New Roman"/>
          <w:kern w:val="2"/>
          <w:sz w:val="32"/>
          <w:szCs w:val="32"/>
          <w:highlight w:val="none"/>
          <w:lang w:val="en-US" w:eastAsia="zh-CN" w:bidi="ar-SA"/>
        </w:rPr>
        <w:t>。</w:t>
      </w:r>
    </w:p>
    <w:p w14:paraId="38934D2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其他项目资金相互混用</w:t>
      </w:r>
    </w:p>
    <w:p w14:paraId="384A415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存在多个项目之间资金混用的情况。如环卫设备购置及城区公厕、垃圾中转站建设经费一部分资金用于园林服务中心汽车配件采购支出、车辆修理支出、小游园园林绿化养护费支出、城区枯树垃圾清运支出、园林服务中心生产车辆用油支出等；环卫工人特殊岗位津贴专项资金部分用于中心城区苗木补植补种工程款支出、中心城区古树名木及后备资源树木白蚁防治费支出、度假村中转站污水管道改造费等支出。经查看明细表，这些支出均不属于“环卫设备购置及城区公厕、垃圾中转站建设经费”和“环卫工人特殊岗位津贴”专项资金本身的支出范围。项目之间如此相互混用资金，一方面不符合财政资金专款专用的基本要求，影响每个项目资金预算的精准性与合理性，另一方面，很难通过资金支付手段对项目进行约束，不利于项目实施过程管理与质量控制。</w:t>
      </w:r>
    </w:p>
    <w:bookmarkEnd w:id="371"/>
    <w:bookmarkEnd w:id="37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12286FAC">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427" w:name="_Toc28525"/>
      <w:r>
        <w:rPr>
          <w:rFonts w:hint="eastAsia" w:eastAsia="楷体" w:cs="Times New Roman"/>
          <w:sz w:val="32"/>
          <w:lang w:val="en-US" w:eastAsia="zh-CN"/>
        </w:rPr>
        <w:t>（四）两区</w:t>
      </w:r>
      <w:r>
        <w:rPr>
          <w:rFonts w:hint="eastAsia" w:ascii="Times New Roman" w:hAnsi="Times New Roman" w:eastAsia="楷体" w:cs="Times New Roman"/>
          <w:sz w:val="32"/>
          <w:lang w:val="en-US" w:eastAsia="zh-CN"/>
        </w:rPr>
        <w:t>项目效益</w:t>
      </w:r>
      <w:r>
        <w:rPr>
          <w:rFonts w:hint="eastAsia" w:eastAsia="楷体" w:cs="Times New Roman"/>
          <w:sz w:val="32"/>
          <w:lang w:val="en-US" w:eastAsia="zh-CN"/>
        </w:rPr>
        <w:t>差异较明显</w:t>
      </w:r>
      <w:bookmarkEnd w:id="427"/>
    </w:p>
    <w:p w14:paraId="63B0C9E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评价组通过对比分析两区</w:t>
      </w:r>
      <w:r>
        <w:rPr>
          <w:rFonts w:hint="eastAsia" w:eastAsia="仿宋_GB2312" w:cs="Times New Roman"/>
          <w:kern w:val="2"/>
          <w:sz w:val="32"/>
          <w:szCs w:val="32"/>
          <w:highlight w:val="none"/>
          <w:lang w:val="en-US" w:eastAsia="zh-CN" w:bidi="ar-SA"/>
        </w:rPr>
        <w:t>薪资水平和</w:t>
      </w:r>
      <w:r>
        <w:rPr>
          <w:rFonts w:hint="eastAsia" w:ascii="Times New Roman" w:hAnsi="Times New Roman" w:eastAsia="仿宋_GB2312" w:cs="Times New Roman"/>
          <w:kern w:val="2"/>
          <w:sz w:val="32"/>
          <w:szCs w:val="32"/>
          <w:highlight w:val="none"/>
          <w:lang w:val="en-US" w:eastAsia="zh-CN" w:bidi="ar-SA"/>
        </w:rPr>
        <w:t>项目完成情况，发现两区作业人员平均薪资水平相差不大</w:t>
      </w:r>
      <w:r>
        <w:rPr>
          <w:rFonts w:hint="eastAsia" w:eastAsia="仿宋_GB2312" w:cs="Times New Roman"/>
          <w:kern w:val="2"/>
          <w:sz w:val="32"/>
          <w:szCs w:val="32"/>
          <w:highlight w:val="none"/>
          <w:lang w:val="en-US" w:eastAsia="zh-CN" w:bidi="ar-SA"/>
        </w:rPr>
        <w:t>，其中冷水滩区月平均工资2114.69元，经开区月均工资2264.65元，仅比冷水滩区高7.09%。但</w:t>
      </w:r>
      <w:r>
        <w:rPr>
          <w:rFonts w:hint="eastAsia" w:ascii="Times New Roman" w:hAnsi="Times New Roman" w:eastAsia="仿宋_GB2312" w:cs="Times New Roman"/>
          <w:kern w:val="2"/>
          <w:sz w:val="32"/>
          <w:szCs w:val="32"/>
          <w:highlight w:val="none"/>
          <w:lang w:val="en-US" w:eastAsia="zh-CN" w:bidi="ar-SA"/>
        </w:rPr>
        <w:t>两区清扫保洁单位产出面积相差较大，其中冷水滩区单位清扫保洁面积为0.72万㎡/人/月</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经开区单位清扫保洁面积为1.11万㎡/人/月，</w:t>
      </w:r>
      <w:r>
        <w:rPr>
          <w:rFonts w:hint="eastAsia" w:eastAsia="仿宋_GB2312" w:cs="Times New Roman"/>
          <w:kern w:val="2"/>
          <w:sz w:val="32"/>
          <w:szCs w:val="32"/>
          <w:highlight w:val="none"/>
          <w:lang w:val="en-US" w:eastAsia="zh-CN" w:bidi="ar-SA"/>
        </w:rPr>
        <w:t>比冷水滩区高54.17%</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在同等工资水平条件下，冷水滩区人均产值明显偏低。</w:t>
      </w:r>
      <w:r>
        <w:rPr>
          <w:rFonts w:hint="eastAsia" w:ascii="Times New Roman" w:hAnsi="Times New Roman" w:eastAsia="仿宋_GB2312" w:cs="Times New Roman"/>
          <w:kern w:val="2"/>
          <w:sz w:val="32"/>
          <w:szCs w:val="32"/>
          <w:highlight w:val="none"/>
          <w:lang w:val="en-US" w:eastAsia="zh-CN" w:bidi="ar-SA"/>
        </w:rPr>
        <w:t>两区项目效益对比情况如下：</w:t>
      </w:r>
    </w:p>
    <w:p w14:paraId="1ED6FAC9">
      <w:pPr>
        <w:pStyle w:val="3"/>
        <w:rPr>
          <w:rFonts w:hint="default"/>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2"/>
        <w:gridCol w:w="985"/>
        <w:gridCol w:w="1017"/>
        <w:gridCol w:w="1026"/>
        <w:gridCol w:w="875"/>
        <w:gridCol w:w="1023"/>
        <w:gridCol w:w="1038"/>
      </w:tblGrid>
      <w:tr w14:paraId="73E2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F14DE1">
            <w:pPr>
              <w:keepNext w:val="0"/>
              <w:keepLines w:val="0"/>
              <w:widowControl/>
              <w:suppressLineNumbers w:val="0"/>
              <w:jc w:val="center"/>
              <w:textAlignment w:val="top"/>
              <w:rPr>
                <w:rFonts w:ascii="仿宋_GB2312" w:hAnsi="Arial" w:eastAsia="仿宋_GB2312" w:cs="仿宋_GB2312"/>
                <w:i w:val="0"/>
                <w:iCs w:val="0"/>
                <w:color w:val="000000"/>
                <w:sz w:val="32"/>
                <w:szCs w:val="32"/>
                <w:u w:val="none"/>
              </w:rPr>
            </w:pPr>
            <w:bookmarkStart w:id="428" w:name="_Toc8406"/>
            <w:bookmarkStart w:id="429" w:name="_Toc4854"/>
            <w:bookmarkStart w:id="430" w:name="_Toc13939"/>
            <w:bookmarkStart w:id="431" w:name="_Toc16368"/>
            <w:bookmarkStart w:id="432" w:name="_Toc14950"/>
            <w:bookmarkStart w:id="433" w:name="_Toc32435"/>
            <w:bookmarkStart w:id="434" w:name="_Toc26790"/>
            <w:bookmarkStart w:id="435" w:name="_Toc2505"/>
            <w:bookmarkStart w:id="436" w:name="_Toc21181"/>
            <w:bookmarkStart w:id="437" w:name="_Toc22985"/>
            <w:bookmarkStart w:id="438" w:name="_Toc26648"/>
            <w:bookmarkStart w:id="439" w:name="_Toc19396"/>
            <w:bookmarkStart w:id="440" w:name="_Toc6729"/>
            <w:bookmarkStart w:id="441" w:name="_Toc15716"/>
            <w:bookmarkStart w:id="442" w:name="_Toc2398"/>
            <w:bookmarkStart w:id="443" w:name="_Toc30709"/>
            <w:bookmarkStart w:id="444" w:name="_Toc4738"/>
            <w:bookmarkStart w:id="445" w:name="_Toc19051"/>
            <w:r>
              <w:rPr>
                <w:rFonts w:hint="eastAsia" w:ascii="仿宋_GB2312" w:hAnsi="Arial" w:eastAsia="仿宋_GB2312" w:cs="仿宋_GB2312"/>
                <w:i w:val="0"/>
                <w:iCs w:val="0"/>
                <w:color w:val="000000"/>
                <w:kern w:val="0"/>
                <w:sz w:val="32"/>
                <w:szCs w:val="32"/>
                <w:u w:val="none"/>
                <w:lang w:val="en-US" w:eastAsia="zh-CN" w:bidi="ar"/>
              </w:rPr>
              <w:t>效益情况分析</w:t>
            </w:r>
          </w:p>
        </w:tc>
      </w:tr>
      <w:tr w14:paraId="1DB5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456C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76" w:type="pct"/>
            <w:gridSpan w:val="3"/>
            <w:tcBorders>
              <w:top w:val="nil"/>
              <w:left w:val="nil"/>
              <w:bottom w:val="single" w:color="000000" w:sz="8" w:space="0"/>
              <w:right w:val="single" w:color="000000" w:sz="8" w:space="0"/>
            </w:tcBorders>
            <w:shd w:val="clear" w:color="auto" w:fill="auto"/>
            <w:noWrap/>
            <w:vAlign w:val="center"/>
          </w:tcPr>
          <w:p w14:paraId="6E5E6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w:t>
            </w:r>
          </w:p>
        </w:tc>
        <w:tc>
          <w:tcPr>
            <w:tcW w:w="1622" w:type="pct"/>
            <w:gridSpan w:val="3"/>
            <w:tcBorders>
              <w:top w:val="nil"/>
              <w:left w:val="nil"/>
              <w:bottom w:val="single" w:color="000000" w:sz="8" w:space="0"/>
              <w:right w:val="single" w:color="000000" w:sz="8" w:space="0"/>
            </w:tcBorders>
            <w:shd w:val="clear" w:color="auto" w:fill="auto"/>
            <w:noWrap/>
            <w:vAlign w:val="center"/>
          </w:tcPr>
          <w:p w14:paraId="589F7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经开区</w:t>
            </w:r>
          </w:p>
        </w:tc>
      </w:tr>
      <w:tr w14:paraId="1A90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700"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C27D88">
            <w:pPr>
              <w:jc w:val="center"/>
              <w:rPr>
                <w:rFonts w:hint="eastAsia" w:ascii="宋体" w:hAnsi="宋体" w:eastAsia="宋体" w:cs="宋体"/>
                <w:i w:val="0"/>
                <w:iCs w:val="0"/>
                <w:color w:val="000000"/>
                <w:sz w:val="22"/>
                <w:szCs w:val="22"/>
                <w:u w:val="none"/>
              </w:rPr>
            </w:pPr>
          </w:p>
        </w:tc>
        <w:tc>
          <w:tcPr>
            <w:tcW w:w="545" w:type="pct"/>
            <w:tcBorders>
              <w:top w:val="nil"/>
              <w:left w:val="nil"/>
              <w:bottom w:val="single" w:color="000000" w:sz="8" w:space="0"/>
              <w:right w:val="single" w:color="000000" w:sz="8" w:space="0"/>
            </w:tcBorders>
            <w:shd w:val="clear" w:color="auto" w:fill="auto"/>
            <w:noWrap/>
            <w:vAlign w:val="center"/>
          </w:tcPr>
          <w:p w14:paraId="33AE4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t>值</w:t>
            </w:r>
          </w:p>
        </w:tc>
        <w:tc>
          <w:tcPr>
            <w:tcW w:w="563" w:type="pct"/>
            <w:tcBorders>
              <w:top w:val="nil"/>
              <w:left w:val="nil"/>
              <w:bottom w:val="single" w:color="000000" w:sz="8" w:space="0"/>
              <w:right w:val="single" w:color="000000" w:sz="8" w:space="0"/>
            </w:tcBorders>
            <w:shd w:val="clear" w:color="auto" w:fill="auto"/>
            <w:vAlign w:val="center"/>
          </w:tcPr>
          <w:p w14:paraId="58DCE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作业人员数量（人）</w:t>
            </w:r>
          </w:p>
        </w:tc>
        <w:tc>
          <w:tcPr>
            <w:tcW w:w="567" w:type="pct"/>
            <w:tcBorders>
              <w:top w:val="single" w:color="000000" w:sz="8" w:space="0"/>
              <w:left w:val="nil"/>
              <w:bottom w:val="single" w:color="000000" w:sz="8" w:space="0"/>
              <w:right w:val="single" w:color="000000" w:sz="8" w:space="0"/>
            </w:tcBorders>
            <w:shd w:val="clear" w:color="auto" w:fill="auto"/>
            <w:vAlign w:val="center"/>
          </w:tcPr>
          <w:p w14:paraId="55CF43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人均值</w:t>
            </w:r>
          </w:p>
        </w:tc>
        <w:tc>
          <w:tcPr>
            <w:tcW w:w="484" w:type="pct"/>
            <w:tcBorders>
              <w:top w:val="single" w:color="000000" w:sz="8" w:space="0"/>
              <w:left w:val="nil"/>
              <w:bottom w:val="single" w:color="000000" w:sz="8" w:space="0"/>
              <w:right w:val="single" w:color="000000" w:sz="8" w:space="0"/>
            </w:tcBorders>
            <w:shd w:val="clear" w:color="auto" w:fill="auto"/>
            <w:noWrap/>
            <w:vAlign w:val="center"/>
          </w:tcPr>
          <w:p w14:paraId="038FA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总值</w:t>
            </w:r>
          </w:p>
        </w:tc>
        <w:tc>
          <w:tcPr>
            <w:tcW w:w="566" w:type="pct"/>
            <w:tcBorders>
              <w:top w:val="single" w:color="000000" w:sz="8" w:space="0"/>
              <w:left w:val="nil"/>
              <w:bottom w:val="single" w:color="000000" w:sz="8" w:space="0"/>
              <w:right w:val="single" w:color="000000" w:sz="8" w:space="0"/>
            </w:tcBorders>
            <w:shd w:val="clear" w:color="auto" w:fill="auto"/>
            <w:vAlign w:val="center"/>
          </w:tcPr>
          <w:p w14:paraId="7336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作业人员数量（人）</w:t>
            </w:r>
          </w:p>
        </w:tc>
        <w:tc>
          <w:tcPr>
            <w:tcW w:w="572" w:type="pct"/>
            <w:tcBorders>
              <w:top w:val="single" w:color="000000" w:sz="8" w:space="0"/>
              <w:left w:val="nil"/>
              <w:bottom w:val="single" w:color="000000" w:sz="8" w:space="0"/>
              <w:right w:val="single" w:color="000000" w:sz="8" w:space="0"/>
            </w:tcBorders>
            <w:shd w:val="clear" w:color="auto" w:fill="auto"/>
            <w:vAlign w:val="center"/>
          </w:tcPr>
          <w:p w14:paraId="6AAA1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人均值</w:t>
            </w:r>
          </w:p>
        </w:tc>
      </w:tr>
      <w:tr w14:paraId="7B7A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tcBorders>
              <w:top w:val="nil"/>
              <w:left w:val="single" w:color="000000" w:sz="8" w:space="0"/>
              <w:bottom w:val="single" w:color="000000" w:sz="8" w:space="0"/>
              <w:right w:val="single" w:color="000000" w:sz="8" w:space="0"/>
            </w:tcBorders>
            <w:shd w:val="clear" w:color="auto" w:fill="auto"/>
            <w:noWrap/>
            <w:vAlign w:val="center"/>
          </w:tcPr>
          <w:p w14:paraId="6E6D6B7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陆地清扫面积（万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545" w:type="pct"/>
            <w:tcBorders>
              <w:top w:val="nil"/>
              <w:left w:val="nil"/>
              <w:bottom w:val="single" w:color="000000" w:sz="8" w:space="0"/>
              <w:right w:val="single" w:color="000000" w:sz="8" w:space="0"/>
            </w:tcBorders>
            <w:shd w:val="clear" w:color="auto" w:fill="auto"/>
            <w:noWrap/>
            <w:vAlign w:val="center"/>
          </w:tcPr>
          <w:p w14:paraId="715E5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1126.28</w:t>
            </w:r>
          </w:p>
        </w:tc>
        <w:tc>
          <w:tcPr>
            <w:tcW w:w="563" w:type="pct"/>
            <w:vMerge w:val="restart"/>
            <w:tcBorders>
              <w:top w:val="nil"/>
              <w:left w:val="nil"/>
              <w:right w:val="single" w:color="000000" w:sz="8" w:space="0"/>
            </w:tcBorders>
            <w:shd w:val="clear" w:color="auto" w:fill="auto"/>
            <w:noWrap/>
            <w:vAlign w:val="center"/>
          </w:tcPr>
          <w:p w14:paraId="60886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567" w:type="pct"/>
            <w:vMerge w:val="restart"/>
            <w:tcBorders>
              <w:top w:val="nil"/>
              <w:left w:val="nil"/>
              <w:bottom w:val="single" w:color="000000" w:sz="8" w:space="0"/>
              <w:right w:val="single" w:color="000000" w:sz="8" w:space="0"/>
            </w:tcBorders>
            <w:shd w:val="clear" w:color="auto" w:fill="auto"/>
            <w:noWrap/>
            <w:vAlign w:val="center"/>
          </w:tcPr>
          <w:p w14:paraId="0568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484" w:type="pct"/>
            <w:tcBorders>
              <w:top w:val="nil"/>
              <w:left w:val="nil"/>
              <w:bottom w:val="single" w:color="000000" w:sz="8" w:space="0"/>
              <w:right w:val="single" w:color="000000" w:sz="8" w:space="0"/>
            </w:tcBorders>
            <w:shd w:val="clear" w:color="auto" w:fill="auto"/>
            <w:noWrap/>
            <w:vAlign w:val="center"/>
          </w:tcPr>
          <w:p w14:paraId="12F8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254.12</w:t>
            </w:r>
          </w:p>
        </w:tc>
        <w:tc>
          <w:tcPr>
            <w:tcW w:w="566" w:type="pct"/>
            <w:vMerge w:val="restart"/>
            <w:tcBorders>
              <w:top w:val="nil"/>
              <w:left w:val="nil"/>
              <w:right w:val="single" w:color="000000" w:sz="8" w:space="0"/>
            </w:tcBorders>
            <w:shd w:val="clear" w:color="auto" w:fill="auto"/>
            <w:noWrap/>
            <w:vAlign w:val="center"/>
          </w:tcPr>
          <w:p w14:paraId="1FF0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572" w:type="pct"/>
            <w:vMerge w:val="restart"/>
            <w:tcBorders>
              <w:top w:val="nil"/>
              <w:left w:val="nil"/>
              <w:bottom w:val="single" w:color="000000" w:sz="8" w:space="0"/>
              <w:right w:val="single" w:color="000000" w:sz="8" w:space="0"/>
            </w:tcBorders>
            <w:shd w:val="clear" w:color="auto" w:fill="auto"/>
            <w:noWrap/>
            <w:vAlign w:val="center"/>
          </w:tcPr>
          <w:p w14:paraId="317AD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14:paraId="7FE9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tcBorders>
              <w:top w:val="nil"/>
              <w:left w:val="single" w:color="000000" w:sz="8" w:space="0"/>
              <w:bottom w:val="single" w:color="000000" w:sz="8" w:space="0"/>
              <w:right w:val="single" w:color="000000" w:sz="8" w:space="0"/>
            </w:tcBorders>
            <w:shd w:val="clear" w:color="auto" w:fill="auto"/>
            <w:noWrap/>
            <w:vAlign w:val="center"/>
          </w:tcPr>
          <w:p w14:paraId="02FB16C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河道清扫面积（万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545" w:type="pct"/>
            <w:tcBorders>
              <w:top w:val="nil"/>
              <w:left w:val="nil"/>
              <w:bottom w:val="single" w:color="000000" w:sz="8" w:space="0"/>
              <w:right w:val="single" w:color="000000" w:sz="8" w:space="0"/>
            </w:tcBorders>
            <w:shd w:val="clear" w:color="auto" w:fill="auto"/>
            <w:noWrap/>
            <w:vAlign w:val="center"/>
          </w:tcPr>
          <w:p w14:paraId="4D22D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563" w:type="pct"/>
            <w:vMerge w:val="continue"/>
            <w:tcBorders>
              <w:left w:val="nil"/>
              <w:right w:val="single" w:color="000000" w:sz="8" w:space="0"/>
            </w:tcBorders>
            <w:shd w:val="clear" w:color="auto" w:fill="auto"/>
            <w:noWrap/>
            <w:vAlign w:val="center"/>
          </w:tcPr>
          <w:p w14:paraId="23F56676">
            <w:pPr>
              <w:jc w:val="center"/>
              <w:rPr>
                <w:rFonts w:hint="eastAsia" w:ascii="宋体" w:hAnsi="宋体" w:eastAsia="宋体" w:cs="宋体"/>
                <w:i w:val="0"/>
                <w:iCs w:val="0"/>
                <w:color w:val="000000"/>
                <w:sz w:val="22"/>
                <w:szCs w:val="22"/>
                <w:u w:val="none"/>
              </w:rPr>
            </w:pPr>
          </w:p>
        </w:tc>
        <w:tc>
          <w:tcPr>
            <w:tcW w:w="567" w:type="pct"/>
            <w:vMerge w:val="continue"/>
            <w:tcBorders>
              <w:top w:val="nil"/>
              <w:left w:val="nil"/>
              <w:bottom w:val="single" w:color="000000" w:sz="8" w:space="0"/>
              <w:right w:val="single" w:color="000000" w:sz="8" w:space="0"/>
            </w:tcBorders>
            <w:shd w:val="clear" w:color="auto" w:fill="auto"/>
            <w:noWrap/>
            <w:vAlign w:val="center"/>
          </w:tcPr>
          <w:p w14:paraId="45F0FC3D">
            <w:pPr>
              <w:jc w:val="center"/>
              <w:rPr>
                <w:rFonts w:hint="eastAsia" w:ascii="宋体" w:hAnsi="宋体" w:eastAsia="宋体" w:cs="宋体"/>
                <w:i w:val="0"/>
                <w:iCs w:val="0"/>
                <w:color w:val="000000"/>
                <w:sz w:val="22"/>
                <w:szCs w:val="22"/>
                <w:u w:val="none"/>
              </w:rPr>
            </w:pPr>
          </w:p>
        </w:tc>
        <w:tc>
          <w:tcPr>
            <w:tcW w:w="484" w:type="pct"/>
            <w:tcBorders>
              <w:top w:val="nil"/>
              <w:left w:val="nil"/>
              <w:bottom w:val="single" w:color="000000" w:sz="8" w:space="0"/>
              <w:right w:val="single" w:color="000000" w:sz="8" w:space="0"/>
            </w:tcBorders>
            <w:shd w:val="clear" w:color="auto" w:fill="auto"/>
            <w:noWrap/>
            <w:vAlign w:val="center"/>
          </w:tcPr>
          <w:p w14:paraId="784B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566" w:type="pct"/>
            <w:vMerge w:val="continue"/>
            <w:tcBorders>
              <w:left w:val="nil"/>
              <w:right w:val="single" w:color="000000" w:sz="8" w:space="0"/>
            </w:tcBorders>
            <w:shd w:val="clear" w:color="auto" w:fill="auto"/>
            <w:noWrap/>
            <w:vAlign w:val="center"/>
          </w:tcPr>
          <w:p w14:paraId="44AFC2C7">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000000" w:sz="8" w:space="0"/>
              <w:right w:val="single" w:color="000000" w:sz="8" w:space="0"/>
            </w:tcBorders>
            <w:shd w:val="clear" w:color="auto" w:fill="auto"/>
            <w:noWrap/>
            <w:vAlign w:val="center"/>
          </w:tcPr>
          <w:p w14:paraId="7E62C32A">
            <w:pPr>
              <w:jc w:val="center"/>
              <w:rPr>
                <w:rFonts w:hint="eastAsia" w:ascii="宋体" w:hAnsi="宋体" w:eastAsia="宋体" w:cs="宋体"/>
                <w:i w:val="0"/>
                <w:iCs w:val="0"/>
                <w:color w:val="000000"/>
                <w:sz w:val="22"/>
                <w:szCs w:val="22"/>
                <w:u w:val="none"/>
              </w:rPr>
            </w:pPr>
          </w:p>
        </w:tc>
      </w:tr>
      <w:tr w14:paraId="6083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tcBorders>
              <w:top w:val="nil"/>
              <w:left w:val="single" w:color="000000" w:sz="8" w:space="0"/>
              <w:bottom w:val="single" w:color="000000" w:sz="8" w:space="0"/>
              <w:right w:val="single" w:color="000000" w:sz="8" w:space="0"/>
            </w:tcBorders>
            <w:shd w:val="clear" w:color="auto" w:fill="auto"/>
            <w:noWrap/>
            <w:vAlign w:val="center"/>
          </w:tcPr>
          <w:p w14:paraId="6B30180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绿化养护面积（万</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Arial" w:eastAsia="仿宋_GB2312" w:cs="仿宋_GB2312"/>
                <w:i w:val="0"/>
                <w:iCs w:val="0"/>
                <w:color w:val="000000"/>
                <w:kern w:val="0"/>
                <w:sz w:val="22"/>
                <w:szCs w:val="22"/>
                <w:u w:val="none"/>
                <w:lang w:val="en-US" w:eastAsia="zh-CN" w:bidi="ar"/>
              </w:rPr>
              <w:t>）</w:t>
            </w:r>
          </w:p>
        </w:tc>
        <w:tc>
          <w:tcPr>
            <w:tcW w:w="545" w:type="pct"/>
            <w:tcBorders>
              <w:top w:val="nil"/>
              <w:left w:val="nil"/>
              <w:bottom w:val="single" w:color="000000" w:sz="8" w:space="0"/>
              <w:right w:val="single" w:color="000000" w:sz="8" w:space="0"/>
            </w:tcBorders>
            <w:shd w:val="clear" w:color="auto" w:fill="auto"/>
            <w:noWrap/>
            <w:vAlign w:val="center"/>
          </w:tcPr>
          <w:p w14:paraId="408F8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w:t>
            </w:r>
          </w:p>
        </w:tc>
        <w:tc>
          <w:tcPr>
            <w:tcW w:w="563" w:type="pct"/>
            <w:vMerge w:val="continue"/>
            <w:tcBorders>
              <w:left w:val="nil"/>
              <w:right w:val="single" w:color="000000" w:sz="8" w:space="0"/>
            </w:tcBorders>
            <w:shd w:val="clear" w:color="auto" w:fill="auto"/>
            <w:noWrap/>
            <w:vAlign w:val="center"/>
          </w:tcPr>
          <w:p w14:paraId="0C99CD93">
            <w:pPr>
              <w:jc w:val="center"/>
              <w:rPr>
                <w:rFonts w:hint="eastAsia" w:ascii="宋体" w:hAnsi="宋体" w:eastAsia="宋体" w:cs="宋体"/>
                <w:i w:val="0"/>
                <w:iCs w:val="0"/>
                <w:color w:val="000000"/>
                <w:sz w:val="22"/>
                <w:szCs w:val="22"/>
                <w:u w:val="none"/>
              </w:rPr>
            </w:pPr>
          </w:p>
        </w:tc>
        <w:tc>
          <w:tcPr>
            <w:tcW w:w="567" w:type="pct"/>
            <w:vMerge w:val="continue"/>
            <w:tcBorders>
              <w:top w:val="nil"/>
              <w:left w:val="nil"/>
              <w:bottom w:val="single" w:color="000000" w:sz="8" w:space="0"/>
              <w:right w:val="single" w:color="000000" w:sz="8" w:space="0"/>
            </w:tcBorders>
            <w:shd w:val="clear" w:color="auto" w:fill="auto"/>
            <w:noWrap/>
            <w:vAlign w:val="center"/>
          </w:tcPr>
          <w:p w14:paraId="0D7B46A7">
            <w:pPr>
              <w:jc w:val="center"/>
              <w:rPr>
                <w:rFonts w:hint="eastAsia" w:ascii="宋体" w:hAnsi="宋体" w:eastAsia="宋体" w:cs="宋体"/>
                <w:i w:val="0"/>
                <w:iCs w:val="0"/>
                <w:color w:val="000000"/>
                <w:sz w:val="22"/>
                <w:szCs w:val="22"/>
                <w:u w:val="none"/>
              </w:rPr>
            </w:pPr>
          </w:p>
        </w:tc>
        <w:tc>
          <w:tcPr>
            <w:tcW w:w="484" w:type="pct"/>
            <w:tcBorders>
              <w:top w:val="nil"/>
              <w:left w:val="nil"/>
              <w:bottom w:val="single" w:color="000000" w:sz="8" w:space="0"/>
              <w:right w:val="single" w:color="000000" w:sz="8" w:space="0"/>
            </w:tcBorders>
            <w:shd w:val="clear" w:color="auto" w:fill="auto"/>
            <w:noWrap/>
            <w:vAlign w:val="center"/>
          </w:tcPr>
          <w:p w14:paraId="0AFE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61.85</w:t>
            </w:r>
          </w:p>
        </w:tc>
        <w:tc>
          <w:tcPr>
            <w:tcW w:w="566" w:type="pct"/>
            <w:vMerge w:val="continue"/>
            <w:tcBorders>
              <w:left w:val="nil"/>
              <w:right w:val="single" w:color="000000" w:sz="8" w:space="0"/>
            </w:tcBorders>
            <w:shd w:val="clear" w:color="auto" w:fill="auto"/>
            <w:noWrap/>
            <w:vAlign w:val="center"/>
          </w:tcPr>
          <w:p w14:paraId="694078EF">
            <w:pPr>
              <w:jc w:val="center"/>
              <w:rPr>
                <w:rFonts w:hint="eastAsia" w:ascii="宋体" w:hAnsi="宋体" w:eastAsia="宋体" w:cs="宋体"/>
                <w:i w:val="0"/>
                <w:iCs w:val="0"/>
                <w:color w:val="000000"/>
                <w:sz w:val="22"/>
                <w:szCs w:val="22"/>
                <w:u w:val="none"/>
              </w:rPr>
            </w:pPr>
          </w:p>
        </w:tc>
        <w:tc>
          <w:tcPr>
            <w:tcW w:w="572" w:type="pct"/>
            <w:vMerge w:val="continue"/>
            <w:tcBorders>
              <w:top w:val="nil"/>
              <w:left w:val="nil"/>
              <w:bottom w:val="single" w:color="000000" w:sz="8" w:space="0"/>
              <w:right w:val="single" w:color="000000" w:sz="8" w:space="0"/>
            </w:tcBorders>
            <w:shd w:val="clear" w:color="auto" w:fill="auto"/>
            <w:noWrap/>
            <w:vAlign w:val="center"/>
          </w:tcPr>
          <w:p w14:paraId="39AD3B5A">
            <w:pPr>
              <w:jc w:val="center"/>
              <w:rPr>
                <w:rFonts w:hint="eastAsia" w:ascii="宋体" w:hAnsi="宋体" w:eastAsia="宋体" w:cs="宋体"/>
                <w:i w:val="0"/>
                <w:iCs w:val="0"/>
                <w:color w:val="000000"/>
                <w:sz w:val="22"/>
                <w:szCs w:val="22"/>
                <w:u w:val="none"/>
              </w:rPr>
            </w:pPr>
          </w:p>
        </w:tc>
      </w:tr>
      <w:tr w14:paraId="61F0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7CF800">
            <w:pPr>
              <w:keepNext w:val="0"/>
              <w:keepLines w:val="0"/>
              <w:widowControl/>
              <w:suppressLineNumbers w:val="0"/>
              <w:jc w:val="center"/>
              <w:textAlignment w:val="center"/>
              <w:rPr>
                <w:rFonts w:hint="default" w:ascii="仿宋_GB2312" w:hAnsi="Arial" w:eastAsia="仿宋_GB2312" w:cs="仿宋_GB2312"/>
                <w:i w:val="0"/>
                <w:iCs w:val="0"/>
                <w:color w:val="000000"/>
                <w:kern w:val="0"/>
                <w:sz w:val="22"/>
                <w:szCs w:val="22"/>
                <w:u w:val="none"/>
                <w:lang w:val="en-US" w:eastAsia="zh-CN" w:bidi="ar"/>
              </w:rPr>
            </w:pPr>
            <w:bookmarkStart w:id="446" w:name="_Toc29321"/>
            <w:r>
              <w:rPr>
                <w:rFonts w:hint="eastAsia" w:ascii="仿宋_GB2312" w:hAnsi="Arial" w:eastAsia="仿宋_GB2312" w:cs="仿宋_GB2312"/>
                <w:i w:val="0"/>
                <w:iCs w:val="0"/>
                <w:color w:val="000000"/>
                <w:kern w:val="0"/>
                <w:sz w:val="22"/>
                <w:szCs w:val="22"/>
                <w:u w:val="none"/>
                <w:lang w:val="en-US" w:eastAsia="zh-CN" w:bidi="ar"/>
              </w:rPr>
              <w:t>薪资水平（元/月）</w:t>
            </w:r>
          </w:p>
        </w:tc>
        <w:tc>
          <w:tcPr>
            <w:tcW w:w="54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681C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63" w:type="pct"/>
            <w:vMerge w:val="continue"/>
            <w:tcBorders>
              <w:left w:val="nil"/>
              <w:bottom w:val="single" w:color="000000" w:sz="8" w:space="0"/>
              <w:right w:val="single" w:color="000000" w:sz="8" w:space="0"/>
            </w:tcBorders>
            <w:shd w:val="clear" w:color="auto" w:fill="auto"/>
            <w:noWrap/>
            <w:vAlign w:val="center"/>
          </w:tcPr>
          <w:p w14:paraId="1C9523E8">
            <w:pPr>
              <w:jc w:val="center"/>
              <w:rPr>
                <w:rFonts w:hint="eastAsia" w:ascii="宋体" w:hAnsi="宋体" w:eastAsia="宋体" w:cs="宋体"/>
                <w:i w:val="0"/>
                <w:iCs w:val="0"/>
                <w:color w:val="000000"/>
                <w:sz w:val="22"/>
                <w:szCs w:val="22"/>
                <w:u w:val="none"/>
              </w:rPr>
            </w:pPr>
          </w:p>
        </w:tc>
        <w:tc>
          <w:tcPr>
            <w:tcW w:w="5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9CD4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2114.69</w:t>
            </w:r>
          </w:p>
        </w:tc>
        <w:tc>
          <w:tcPr>
            <w:tcW w:w="4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34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66" w:type="pct"/>
            <w:vMerge w:val="continue"/>
            <w:tcBorders>
              <w:left w:val="nil"/>
              <w:bottom w:val="single" w:color="000000" w:sz="8" w:space="0"/>
              <w:right w:val="single" w:color="000000" w:sz="8" w:space="0"/>
            </w:tcBorders>
            <w:shd w:val="clear" w:color="auto" w:fill="auto"/>
            <w:noWrap/>
            <w:vAlign w:val="center"/>
          </w:tcPr>
          <w:p w14:paraId="7514917B">
            <w:pPr>
              <w:jc w:val="center"/>
              <w:rPr>
                <w:rFonts w:hint="eastAsia" w:ascii="宋体" w:hAnsi="宋体" w:eastAsia="宋体" w:cs="宋体"/>
                <w:i w:val="0"/>
                <w:iCs w:val="0"/>
                <w:color w:val="000000"/>
                <w:sz w:val="22"/>
                <w:szCs w:val="22"/>
                <w:u w:val="none"/>
              </w:rPr>
            </w:pPr>
          </w:p>
        </w:tc>
        <w:tc>
          <w:tcPr>
            <w:tcW w:w="5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27145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2264.65</w:t>
            </w:r>
          </w:p>
        </w:tc>
      </w:tr>
    </w:tbl>
    <w:p w14:paraId="0063DE44">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r>
        <w:rPr>
          <w:rFonts w:hint="default" w:cs="Times New Roman"/>
          <w:sz w:val="32"/>
          <w:szCs w:val="32"/>
          <w:lang w:val="en-US" w:eastAsia="zh-CN"/>
        </w:rPr>
        <w:t>八、相关建议</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AF0165F">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eastAsia="楷体" w:cs="Times New Roman"/>
          <w:sz w:val="32"/>
          <w:lang w:val="en-US" w:eastAsia="zh-CN"/>
        </w:rPr>
      </w:pPr>
      <w:bookmarkStart w:id="447" w:name="_Toc158"/>
      <w:bookmarkStart w:id="448" w:name="_Toc31422"/>
      <w:bookmarkStart w:id="449" w:name="_Toc19610"/>
      <w:bookmarkStart w:id="450" w:name="_Toc461"/>
      <w:bookmarkStart w:id="451" w:name="_Toc28688"/>
      <w:bookmarkStart w:id="452" w:name="_Toc22838"/>
      <w:bookmarkStart w:id="453" w:name="_Toc2380"/>
      <w:bookmarkStart w:id="454" w:name="_Toc13428"/>
      <w:bookmarkStart w:id="455" w:name="_Toc10528"/>
      <w:bookmarkStart w:id="456" w:name="_Toc5537"/>
      <w:bookmarkStart w:id="457" w:name="_Toc17160"/>
      <w:bookmarkStart w:id="458" w:name="_Toc17163"/>
      <w:bookmarkStart w:id="459" w:name="_Toc10771"/>
      <w:bookmarkStart w:id="460" w:name="_Toc16308"/>
      <w:bookmarkStart w:id="461" w:name="_Toc19848"/>
      <w:bookmarkStart w:id="462" w:name="_Toc18104"/>
      <w:bookmarkStart w:id="463" w:name="_Toc12444"/>
      <w:bookmarkStart w:id="464" w:name="_Toc23"/>
      <w:bookmarkStart w:id="465" w:name="_Toc28471"/>
      <w:bookmarkStart w:id="466" w:name="_Toc31280"/>
      <w:r>
        <w:rPr>
          <w:rFonts w:hint="default" w:eastAsia="楷体" w:cs="Times New Roman"/>
          <w:sz w:val="32"/>
          <w:lang w:val="en-US" w:eastAsia="zh-CN"/>
        </w:rPr>
        <w:t>（一）</w:t>
      </w:r>
      <w:r>
        <w:rPr>
          <w:rFonts w:hint="eastAsia" w:eastAsia="楷体" w:cs="Times New Roman"/>
          <w:sz w:val="32"/>
          <w:lang w:val="en-US" w:eastAsia="zh-CN"/>
        </w:rPr>
        <w:t>强化预算相关学习，提高绩效管理水平</w:t>
      </w:r>
      <w:bookmarkEnd w:id="447"/>
    </w:p>
    <w:p w14:paraId="4943C53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bookmarkStart w:id="467" w:name="_Toc6825"/>
      <w:bookmarkStart w:id="468" w:name="_Toc25949"/>
      <w:bookmarkStart w:id="469" w:name="_Toc30024"/>
      <w:bookmarkStart w:id="470" w:name="_Toc14134"/>
      <w:bookmarkStart w:id="471" w:name="_Toc20536"/>
      <w:bookmarkStart w:id="472" w:name="_Toc11212"/>
      <w:bookmarkStart w:id="473" w:name="_Toc19216"/>
      <w:bookmarkStart w:id="474" w:name="_Toc30659"/>
      <w:bookmarkStart w:id="475" w:name="_Toc17151"/>
      <w:bookmarkStart w:id="476" w:name="_Toc8514"/>
      <w:bookmarkStart w:id="477" w:name="_Toc30324"/>
      <w:bookmarkStart w:id="478" w:name="_Toc31358"/>
      <w:bookmarkStart w:id="479" w:name="_Toc19042"/>
      <w:bookmarkStart w:id="480" w:name="_Toc16534"/>
      <w:bookmarkStart w:id="481" w:name="_Toc26190"/>
      <w:bookmarkStart w:id="482" w:name="_Toc30487"/>
      <w:bookmarkStart w:id="483" w:name="_Toc16451"/>
      <w:r>
        <w:rPr>
          <w:rFonts w:hint="eastAsia" w:ascii="Times New Roman" w:hAnsi="Times New Roman" w:eastAsia="仿宋_GB2312" w:cs="Times New Roman"/>
          <w:kern w:val="2"/>
          <w:sz w:val="32"/>
          <w:szCs w:val="32"/>
          <w:highlight w:val="none"/>
          <w:lang w:val="en-US" w:eastAsia="zh-CN" w:bidi="ar-SA"/>
        </w:rPr>
        <w:t>首先，应当</w:t>
      </w:r>
      <w:r>
        <w:rPr>
          <w:rFonts w:hint="eastAsia" w:eastAsia="仿宋_GB2312" w:cs="Times New Roman"/>
          <w:kern w:val="2"/>
          <w:sz w:val="32"/>
          <w:szCs w:val="32"/>
          <w:highlight w:val="none"/>
          <w:lang w:val="en-US" w:eastAsia="zh-CN" w:bidi="ar-SA"/>
        </w:rPr>
        <w:t>强化</w:t>
      </w:r>
      <w:r>
        <w:rPr>
          <w:rFonts w:hint="eastAsia" w:ascii="Times New Roman" w:hAnsi="Times New Roman" w:eastAsia="仿宋_GB2312" w:cs="Times New Roman"/>
          <w:kern w:val="2"/>
          <w:sz w:val="32"/>
          <w:szCs w:val="32"/>
          <w:highlight w:val="none"/>
          <w:lang w:val="en-US" w:eastAsia="zh-CN" w:bidi="ar-SA"/>
        </w:rPr>
        <w:t>预算绩效管理理念，加强业务培训，</w:t>
      </w:r>
      <w:r>
        <w:rPr>
          <w:rFonts w:hint="eastAsia" w:eastAsia="仿宋_GB2312" w:cs="Times New Roman"/>
          <w:kern w:val="2"/>
          <w:sz w:val="32"/>
          <w:szCs w:val="32"/>
          <w:highlight w:val="none"/>
          <w:lang w:val="en-US" w:eastAsia="zh-CN" w:bidi="ar-SA"/>
        </w:rPr>
        <w:t>提升工作人员职业素养</w:t>
      </w:r>
      <w:r>
        <w:rPr>
          <w:rFonts w:hint="eastAsia" w:ascii="Times New Roman" w:hAnsi="Times New Roman" w:eastAsia="仿宋_GB2312" w:cs="Times New Roman"/>
          <w:kern w:val="2"/>
          <w:sz w:val="32"/>
          <w:szCs w:val="32"/>
          <w:highlight w:val="none"/>
          <w:lang w:val="en-US" w:eastAsia="zh-CN" w:bidi="ar-SA"/>
        </w:rPr>
        <w:t>。定期组织预算绩效管理理论和实践系统化学习，必要时聘请专业第三方机构，进行绩效目标申报和绩效自评</w:t>
      </w:r>
      <w:r>
        <w:rPr>
          <w:rFonts w:hint="eastAsia" w:eastAsia="仿宋_GB2312" w:cs="Times New Roman"/>
          <w:kern w:val="2"/>
          <w:sz w:val="32"/>
          <w:szCs w:val="32"/>
          <w:highlight w:val="none"/>
          <w:lang w:val="en-US" w:eastAsia="zh-CN" w:bidi="ar-SA"/>
        </w:rPr>
        <w:t>等相关</w:t>
      </w:r>
      <w:r>
        <w:rPr>
          <w:rFonts w:hint="eastAsia" w:ascii="Times New Roman" w:hAnsi="Times New Roman" w:eastAsia="仿宋_GB2312" w:cs="Times New Roman"/>
          <w:kern w:val="2"/>
          <w:sz w:val="32"/>
          <w:szCs w:val="32"/>
          <w:highlight w:val="none"/>
          <w:lang w:val="en-US" w:eastAsia="zh-CN" w:bidi="ar-SA"/>
        </w:rPr>
        <w:t>指导，进一步落实国家及湖南省绩效</w:t>
      </w:r>
      <w:r>
        <w:rPr>
          <w:rFonts w:hint="eastAsia" w:eastAsia="仿宋_GB2312" w:cs="Times New Roman"/>
          <w:kern w:val="2"/>
          <w:sz w:val="32"/>
          <w:szCs w:val="32"/>
          <w:highlight w:val="none"/>
          <w:lang w:val="en-US" w:eastAsia="zh-CN" w:bidi="ar-SA"/>
        </w:rPr>
        <w:t>管理</w:t>
      </w:r>
      <w:r>
        <w:rPr>
          <w:rFonts w:hint="eastAsia" w:ascii="Times New Roman" w:hAnsi="Times New Roman" w:eastAsia="仿宋_GB2312" w:cs="Times New Roman"/>
          <w:kern w:val="2"/>
          <w:sz w:val="32"/>
          <w:szCs w:val="32"/>
          <w:highlight w:val="none"/>
          <w:lang w:val="en-US" w:eastAsia="zh-CN" w:bidi="ar-SA"/>
        </w:rPr>
        <w:t>相关政策文件精神，夯实预算绩效管理基础，提高绩效管理水平；其次，年初编制预算时，结合单位及项目实际情况，每个项目</w:t>
      </w:r>
      <w:r>
        <w:rPr>
          <w:rFonts w:hint="eastAsia" w:eastAsia="仿宋_GB2312" w:cs="Times New Roman"/>
          <w:kern w:val="2"/>
          <w:sz w:val="32"/>
          <w:szCs w:val="32"/>
          <w:highlight w:val="none"/>
          <w:lang w:val="en-US" w:eastAsia="zh-CN" w:bidi="ar-SA"/>
        </w:rPr>
        <w:t>编制</w:t>
      </w:r>
      <w:r>
        <w:rPr>
          <w:rFonts w:hint="eastAsia" w:ascii="Times New Roman" w:hAnsi="Times New Roman" w:eastAsia="仿宋_GB2312" w:cs="Times New Roman"/>
          <w:kern w:val="2"/>
          <w:sz w:val="32"/>
          <w:szCs w:val="32"/>
          <w:highlight w:val="none"/>
          <w:lang w:val="en-US" w:eastAsia="zh-CN" w:bidi="ar-SA"/>
        </w:rPr>
        <w:t>一张清晰合理的、量化的、可行的项目绩效目标表，细化任务目标，便于项目实施、过程管理、绩效运行监控和绩效评价；最后，规范年度绩效自评工作，按照要求填写绩效目标自评表、撰写年度</w:t>
      </w:r>
      <w:r>
        <w:rPr>
          <w:rFonts w:hint="eastAsia" w:eastAsia="仿宋_GB2312" w:cs="Times New Roman"/>
          <w:kern w:val="2"/>
          <w:sz w:val="32"/>
          <w:szCs w:val="32"/>
          <w:highlight w:val="none"/>
          <w:lang w:val="en-US" w:eastAsia="zh-CN" w:bidi="ar-SA"/>
        </w:rPr>
        <w:t>绩效</w:t>
      </w:r>
      <w:r>
        <w:rPr>
          <w:rFonts w:hint="eastAsia" w:ascii="Times New Roman" w:hAnsi="Times New Roman" w:eastAsia="仿宋_GB2312" w:cs="Times New Roman"/>
          <w:kern w:val="2"/>
          <w:sz w:val="32"/>
          <w:szCs w:val="32"/>
          <w:highlight w:val="none"/>
          <w:lang w:val="en-US" w:eastAsia="zh-CN" w:bidi="ar-SA"/>
        </w:rPr>
        <w:t>自评报告，并主动在门户网站或相关网站公开部门预算、自评报告和</w:t>
      </w:r>
      <w:r>
        <w:rPr>
          <w:rFonts w:hint="eastAsia" w:eastAsia="仿宋_GB2312" w:cs="Times New Roman"/>
          <w:kern w:val="2"/>
          <w:sz w:val="32"/>
          <w:szCs w:val="32"/>
          <w:highlight w:val="none"/>
          <w:lang w:val="en-US" w:eastAsia="zh-CN" w:bidi="ar-SA"/>
        </w:rPr>
        <w:t>部门</w:t>
      </w:r>
      <w:r>
        <w:rPr>
          <w:rFonts w:hint="eastAsia" w:ascii="Times New Roman" w:hAnsi="Times New Roman" w:eastAsia="仿宋_GB2312" w:cs="Times New Roman"/>
          <w:kern w:val="2"/>
          <w:sz w:val="32"/>
          <w:szCs w:val="32"/>
          <w:highlight w:val="none"/>
          <w:lang w:val="en-US" w:eastAsia="zh-CN" w:bidi="ar-SA"/>
        </w:rPr>
        <w:t>决算，形成绩效管理闭环，提升绩效管理效率和效益。</w:t>
      </w:r>
    </w:p>
    <w:p w14:paraId="4CF0780C">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eastAsia" w:eastAsia="楷体" w:cs="Times New Roman"/>
          <w:sz w:val="32"/>
          <w:lang w:val="en-US" w:eastAsia="zh-CN"/>
        </w:rPr>
      </w:pPr>
      <w:bookmarkStart w:id="484" w:name="_Toc3021"/>
      <w:r>
        <w:rPr>
          <w:rFonts w:hint="eastAsia" w:eastAsia="楷体" w:cs="Times New Roman"/>
          <w:sz w:val="32"/>
          <w:lang w:val="en-US" w:eastAsia="zh-CN"/>
        </w:rPr>
        <w:t>（二）</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eastAsia="楷体" w:cs="Times New Roman"/>
          <w:sz w:val="32"/>
          <w:lang w:val="en-US" w:eastAsia="zh-CN"/>
        </w:rPr>
        <w:t>制定专项资金管理制度，优化绩效考核方式</w:t>
      </w:r>
      <w:bookmarkEnd w:id="484"/>
    </w:p>
    <w:p w14:paraId="458001E0">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firstLine="640" w:firstLineChars="200"/>
        <w:textAlignment w:val="auto"/>
        <w:rPr>
          <w:rFonts w:hint="eastAsia"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制定专项资金管理办法。建议冷水滩区城市环境卫生和园林绿化服务中心</w:t>
      </w:r>
      <w:r>
        <w:rPr>
          <w:rFonts w:hint="eastAsia" w:eastAsia="仿宋_GB2312" w:cs="Times New Roman"/>
          <w:kern w:val="2"/>
          <w:sz w:val="32"/>
          <w:szCs w:val="32"/>
          <w:highlight w:val="none"/>
          <w:lang w:val="en-US" w:eastAsia="zh-CN" w:bidi="ar-SA"/>
        </w:rPr>
        <w:t>制定完善的专项资金管理办法，明确专项资金定义、资金执行及管理重点事项，设立资金监督与评价机制，规范专项经费使用范围。中心城区园林绿化面积养护及新增面积环卫经费</w:t>
      </w:r>
      <w:r>
        <w:rPr>
          <w:rFonts w:hint="eastAsia" w:ascii="Times New Roman" w:hAnsi="Times New Roman" w:eastAsia="仿宋_GB2312" w:cs="Times New Roman"/>
          <w:kern w:val="2"/>
          <w:sz w:val="32"/>
          <w:szCs w:val="32"/>
          <w:highlight w:val="none"/>
          <w:lang w:val="en-US" w:eastAsia="zh-CN" w:bidi="ar-SA"/>
        </w:rPr>
        <w:t>专项经费</w:t>
      </w:r>
      <w:r>
        <w:rPr>
          <w:rFonts w:hint="eastAsia" w:eastAsia="仿宋_GB2312" w:cs="Times New Roman"/>
          <w:kern w:val="2"/>
          <w:sz w:val="32"/>
          <w:szCs w:val="32"/>
          <w:highlight w:val="none"/>
          <w:lang w:val="en-US" w:eastAsia="zh-CN" w:bidi="ar-SA"/>
        </w:rPr>
        <w:t>用途</w:t>
      </w:r>
      <w:r>
        <w:rPr>
          <w:rFonts w:hint="eastAsia" w:ascii="Times New Roman" w:hAnsi="Times New Roman" w:eastAsia="仿宋_GB2312" w:cs="Times New Roman"/>
          <w:kern w:val="2"/>
          <w:sz w:val="32"/>
          <w:szCs w:val="32"/>
          <w:highlight w:val="none"/>
          <w:lang w:val="en-US" w:eastAsia="zh-CN" w:bidi="ar-SA"/>
        </w:rPr>
        <w:t>应与城区园林绿化、清扫保洁、绿化面积养护、垃圾中转站运行维护、生产作业车辆维护等业务活动</w:t>
      </w:r>
      <w:r>
        <w:rPr>
          <w:rFonts w:hint="eastAsia" w:eastAsia="仿宋_GB2312" w:cs="Times New Roman"/>
          <w:kern w:val="2"/>
          <w:sz w:val="32"/>
          <w:szCs w:val="32"/>
          <w:highlight w:val="none"/>
          <w:lang w:val="en-US" w:eastAsia="zh-CN" w:bidi="ar-SA"/>
        </w:rPr>
        <w:t>紧密关联。</w:t>
      </w:r>
    </w:p>
    <w:p w14:paraId="1F944258">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eastAsia="楷体" w:cs="Times New Roman"/>
          <w:sz w:val="32"/>
          <w:lang w:val="en-US" w:eastAsia="zh-CN"/>
        </w:rPr>
      </w:pPr>
      <w:bookmarkStart w:id="485" w:name="_Toc5861"/>
      <w:r>
        <w:rPr>
          <w:rFonts w:hint="default" w:eastAsia="楷体" w:cs="Times New Roman"/>
          <w:sz w:val="32"/>
          <w:lang w:val="en-US" w:eastAsia="zh-CN"/>
        </w:rPr>
        <w:t>（</w:t>
      </w:r>
      <w:r>
        <w:rPr>
          <w:rFonts w:hint="eastAsia" w:eastAsia="楷体" w:cs="Times New Roman"/>
          <w:sz w:val="32"/>
          <w:lang w:val="en-US" w:eastAsia="zh-CN"/>
        </w:rPr>
        <w:t>三</w:t>
      </w:r>
      <w:r>
        <w:rPr>
          <w:rFonts w:hint="default" w:eastAsia="楷体" w:cs="Times New Roman"/>
          <w:sz w:val="32"/>
          <w:lang w:val="en-US" w:eastAsia="zh-CN"/>
        </w:rPr>
        <w:t>）</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hint="eastAsia" w:eastAsia="楷体" w:cs="Times New Roman"/>
          <w:sz w:val="32"/>
          <w:lang w:val="en-US" w:eastAsia="zh-CN"/>
        </w:rPr>
        <w:t>规范项目资金使用，增强绩效考核粘性</w:t>
      </w:r>
      <w:bookmarkEnd w:id="485"/>
    </w:p>
    <w:p w14:paraId="43AEEA5B">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首先，明确项目成本。</w:t>
      </w:r>
      <w:r>
        <w:rPr>
          <w:rFonts w:hint="eastAsia" w:ascii="Times New Roman" w:hAnsi="Times New Roman" w:eastAsia="仿宋_GB2312" w:cs="Times New Roman"/>
          <w:kern w:val="2"/>
          <w:sz w:val="32"/>
          <w:szCs w:val="32"/>
          <w:highlight w:val="none"/>
          <w:lang w:val="en-US" w:eastAsia="zh-CN" w:bidi="ar-SA"/>
        </w:rPr>
        <w:t>建议被评价单位根据指标支付明细表中的资金用途，梳理各个项目的实际支出金额，核算每个项目的实际成本，对于不合理项目支出，核减项目预算，缩减财政支出，</w:t>
      </w:r>
      <w:r>
        <w:rPr>
          <w:rFonts w:hint="eastAsia" w:eastAsia="仿宋_GB2312" w:cs="Times New Roman"/>
          <w:kern w:val="2"/>
          <w:sz w:val="32"/>
          <w:szCs w:val="32"/>
          <w:highlight w:val="none"/>
          <w:lang w:val="en-US" w:eastAsia="zh-CN" w:bidi="ar-SA"/>
        </w:rPr>
        <w:t>结合本年度项目实际情况，科学</w:t>
      </w:r>
      <w:r>
        <w:rPr>
          <w:rFonts w:hint="eastAsia" w:ascii="Times New Roman" w:hAnsi="Times New Roman" w:eastAsia="仿宋_GB2312" w:cs="Times New Roman"/>
          <w:kern w:val="2"/>
          <w:sz w:val="32"/>
          <w:szCs w:val="32"/>
          <w:highlight w:val="none"/>
          <w:lang w:val="en-US" w:eastAsia="zh-CN" w:bidi="ar-SA"/>
        </w:rPr>
        <w:t>编制项目绩效目标表成本指标；</w:t>
      </w:r>
      <w:r>
        <w:rPr>
          <w:rFonts w:hint="eastAsia" w:ascii="Times New Roman" w:hAnsi="Times New Roman" w:eastAsia="仿宋_GB2312" w:cs="Times New Roman"/>
          <w:b/>
          <w:bCs/>
          <w:kern w:val="2"/>
          <w:sz w:val="32"/>
          <w:szCs w:val="32"/>
          <w:highlight w:val="none"/>
          <w:lang w:val="en-US" w:eastAsia="zh-CN" w:bidi="ar-SA"/>
        </w:rPr>
        <w:t>其次，加强资金监管。</w:t>
      </w:r>
      <w:r>
        <w:rPr>
          <w:rFonts w:hint="eastAsia" w:ascii="Times New Roman" w:hAnsi="Times New Roman" w:eastAsia="仿宋_GB2312" w:cs="Times New Roman"/>
          <w:kern w:val="2"/>
          <w:sz w:val="32"/>
          <w:szCs w:val="32"/>
          <w:highlight w:val="none"/>
          <w:lang w:val="en-US" w:eastAsia="zh-CN" w:bidi="ar-SA"/>
        </w:rPr>
        <w:t>预算单位之所以出现多个项目间资金混用的情况，主要原因之一在于资金监管力度不足。资金支付过程虽然经过层层审批，但各个审批环节仅仅对项目真实性、项目进度、实施内容、资金准确性等内容把关，并未对资金使用规范性把关。因此，后期使用资金过程中，应当高度重视资金使用规范性，坚持专款专用原则。应当严格按照本单位制定的专项资金管理办法执行，同时规范项目资金审批流程，设置重大项目资金支付额度审批标准，对于大金额项目支出，应当由专人审批；</w:t>
      </w:r>
      <w:r>
        <w:rPr>
          <w:rFonts w:hint="eastAsia" w:ascii="Times New Roman" w:hAnsi="Times New Roman" w:eastAsia="仿宋_GB2312" w:cs="Times New Roman"/>
          <w:b/>
          <w:bCs/>
          <w:kern w:val="2"/>
          <w:sz w:val="32"/>
          <w:szCs w:val="32"/>
          <w:highlight w:val="none"/>
          <w:lang w:val="en-US" w:eastAsia="zh-CN" w:bidi="ar-SA"/>
        </w:rPr>
        <w:t>最后，增强绩效考核与预算绩效管理粘性</w:t>
      </w:r>
      <w:r>
        <w:rPr>
          <w:rFonts w:hint="eastAsia" w:eastAsia="仿宋_GB2312" w:cs="Times New Roman"/>
          <w:b/>
          <w:bCs/>
          <w:kern w:val="2"/>
          <w:sz w:val="32"/>
          <w:szCs w:val="32"/>
          <w:highlight w:val="none"/>
          <w:lang w:val="en-US" w:eastAsia="zh-CN" w:bidi="ar-SA"/>
        </w:rPr>
        <w:t>。</w:t>
      </w:r>
      <w:r>
        <w:rPr>
          <w:rFonts w:hint="eastAsia" w:eastAsia="仿宋_GB2312" w:cs="Times New Roman"/>
          <w:b w:val="0"/>
          <w:bCs w:val="0"/>
          <w:kern w:val="2"/>
          <w:sz w:val="32"/>
          <w:szCs w:val="32"/>
          <w:highlight w:val="none"/>
          <w:lang w:val="en-US" w:eastAsia="zh-CN" w:bidi="ar-SA"/>
        </w:rPr>
        <w:t>建议被评价单位</w:t>
      </w:r>
      <w:r>
        <w:rPr>
          <w:rFonts w:hint="eastAsia" w:ascii="Times New Roman" w:hAnsi="Times New Roman" w:eastAsia="仿宋_GB2312" w:cs="Times New Roman"/>
          <w:kern w:val="2"/>
          <w:sz w:val="32"/>
          <w:szCs w:val="32"/>
          <w:highlight w:val="none"/>
          <w:lang w:val="en-US" w:eastAsia="zh-CN" w:bidi="ar-SA"/>
        </w:rPr>
        <w:t>将绩效评价</w:t>
      </w:r>
      <w:r>
        <w:rPr>
          <w:rFonts w:hint="eastAsia" w:eastAsia="仿宋_GB2312" w:cs="Times New Roman"/>
          <w:kern w:val="2"/>
          <w:sz w:val="32"/>
          <w:szCs w:val="32"/>
          <w:highlight w:val="none"/>
          <w:lang w:val="en-US" w:eastAsia="zh-CN" w:bidi="ar-SA"/>
        </w:rPr>
        <w:t>重点指标</w:t>
      </w:r>
      <w:r>
        <w:rPr>
          <w:rFonts w:hint="eastAsia" w:ascii="Times New Roman" w:hAnsi="Times New Roman" w:eastAsia="仿宋_GB2312" w:cs="Times New Roman"/>
          <w:kern w:val="2"/>
          <w:sz w:val="32"/>
          <w:szCs w:val="32"/>
          <w:highlight w:val="none"/>
          <w:lang w:val="en-US" w:eastAsia="zh-CN" w:bidi="ar-SA"/>
        </w:rPr>
        <w:t>与</w:t>
      </w:r>
      <w:r>
        <w:rPr>
          <w:rFonts w:hint="eastAsia" w:eastAsia="仿宋_GB2312" w:cs="Times New Roman"/>
          <w:kern w:val="2"/>
          <w:sz w:val="32"/>
          <w:szCs w:val="32"/>
          <w:highlight w:val="none"/>
          <w:lang w:val="en-US" w:eastAsia="zh-CN" w:bidi="ar-SA"/>
        </w:rPr>
        <w:t>相关</w:t>
      </w:r>
      <w:r>
        <w:rPr>
          <w:rFonts w:hint="eastAsia" w:ascii="Times New Roman" w:hAnsi="Times New Roman" w:eastAsia="仿宋_GB2312" w:cs="Times New Roman"/>
          <w:kern w:val="2"/>
          <w:sz w:val="32"/>
          <w:szCs w:val="32"/>
          <w:highlight w:val="none"/>
          <w:lang w:val="en-US" w:eastAsia="zh-CN" w:bidi="ar-SA"/>
        </w:rPr>
        <w:t>工作人员绩效挂钩，</w:t>
      </w:r>
      <w:r>
        <w:rPr>
          <w:rFonts w:hint="eastAsia" w:eastAsia="仿宋_GB2312" w:cs="Times New Roman"/>
          <w:kern w:val="2"/>
          <w:sz w:val="32"/>
          <w:szCs w:val="32"/>
          <w:highlight w:val="none"/>
          <w:lang w:val="en-US" w:eastAsia="zh-CN" w:bidi="ar-SA"/>
        </w:rPr>
        <w:t>强化单位预算绩效管理意识，注重绩效管理过程实施，推动预算单位预算绩效管理工作有序开展。</w:t>
      </w:r>
    </w:p>
    <w:p w14:paraId="4BCE1EB4">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eastAsia="楷体" w:cs="Times New Roman"/>
          <w:sz w:val="32"/>
          <w:lang w:val="en-US" w:eastAsia="zh-CN"/>
        </w:rPr>
      </w:pPr>
      <w:bookmarkStart w:id="486" w:name="_Toc11160"/>
      <w:bookmarkStart w:id="487" w:name="_Toc17363"/>
      <w:bookmarkStart w:id="488" w:name="_Toc10510"/>
      <w:bookmarkStart w:id="489" w:name="_Toc18023"/>
      <w:bookmarkStart w:id="490" w:name="_Toc27229"/>
      <w:bookmarkStart w:id="491" w:name="_Toc26335"/>
      <w:bookmarkStart w:id="492" w:name="_Toc26391"/>
      <w:bookmarkStart w:id="493" w:name="_Toc30219"/>
      <w:bookmarkStart w:id="494" w:name="_Toc17630"/>
      <w:bookmarkStart w:id="495" w:name="_Toc8627"/>
      <w:bookmarkStart w:id="496" w:name="_Toc10996"/>
      <w:bookmarkStart w:id="497" w:name="_Toc10561"/>
      <w:bookmarkStart w:id="498" w:name="_Toc11271"/>
      <w:bookmarkStart w:id="499" w:name="_Toc11236"/>
      <w:bookmarkStart w:id="500" w:name="_Toc29819"/>
      <w:bookmarkStart w:id="501" w:name="_Toc31430"/>
      <w:bookmarkStart w:id="502" w:name="_Toc12903"/>
      <w:bookmarkStart w:id="503" w:name="_Toc2798"/>
      <w:bookmarkStart w:id="504" w:name="_Toc18656"/>
      <w:bookmarkStart w:id="505" w:name="_Toc25012"/>
      <w:r>
        <w:rPr>
          <w:rFonts w:hint="eastAsia" w:eastAsia="楷体" w:cs="Times New Roman"/>
          <w:sz w:val="32"/>
          <w:lang w:val="en-US" w:eastAsia="zh-CN"/>
        </w:rPr>
        <w:t>（四）注重项目成本控制，</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hint="eastAsia" w:eastAsia="楷体" w:cs="Times New Roman"/>
          <w:sz w:val="32"/>
          <w:lang w:val="en-US" w:eastAsia="zh-CN"/>
        </w:rPr>
        <w:t>提升资金使用效率</w:t>
      </w:r>
      <w:bookmarkEnd w:id="504"/>
    </w:p>
    <w:bookmarkEnd w:id="505"/>
    <w:p w14:paraId="7D72A90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bookmarkStart w:id="506" w:name="_Toc31379"/>
      <w:bookmarkStart w:id="507" w:name="_Toc8994"/>
      <w:bookmarkStart w:id="508" w:name="_Toc31780"/>
      <w:bookmarkStart w:id="509" w:name="_Toc16479"/>
      <w:bookmarkStart w:id="510" w:name="_Toc16434"/>
      <w:bookmarkStart w:id="511" w:name="_Toc17040"/>
      <w:bookmarkStart w:id="512" w:name="_Toc7123"/>
      <w:bookmarkStart w:id="513" w:name="_Toc19366"/>
      <w:bookmarkStart w:id="514" w:name="_Toc9276"/>
      <w:bookmarkStart w:id="515" w:name="_Toc1230"/>
      <w:bookmarkStart w:id="516" w:name="_Toc11363"/>
      <w:bookmarkStart w:id="517" w:name="_Toc5388"/>
      <w:bookmarkStart w:id="518" w:name="_Toc28025"/>
      <w:bookmarkStart w:id="519" w:name="_Toc2358"/>
      <w:bookmarkStart w:id="520" w:name="_Toc2097"/>
      <w:bookmarkStart w:id="521" w:name="_Toc9520"/>
      <w:bookmarkStart w:id="522" w:name="_Toc18897"/>
      <w:bookmarkStart w:id="523" w:name="_Toc26523"/>
      <w:r>
        <w:rPr>
          <w:rFonts w:hint="eastAsia" w:ascii="Times New Roman" w:hAnsi="Times New Roman" w:eastAsia="仿宋_GB2312" w:cs="Times New Roman"/>
          <w:kern w:val="2"/>
          <w:sz w:val="32"/>
          <w:szCs w:val="32"/>
          <w:highlight w:val="none"/>
          <w:lang w:val="en-US" w:eastAsia="zh-CN" w:bidi="ar-SA"/>
        </w:rPr>
        <w:t>两区成本及产出效益对比结果显示，冷水滩区单位人员效益产出大部分低于经开区，</w:t>
      </w:r>
      <w:r>
        <w:rPr>
          <w:rFonts w:hint="eastAsia" w:eastAsia="仿宋_GB2312" w:cs="Times New Roman"/>
          <w:kern w:val="2"/>
          <w:sz w:val="32"/>
          <w:szCs w:val="32"/>
          <w:highlight w:val="none"/>
          <w:lang w:val="en-US" w:eastAsia="zh-CN" w:bidi="ar-SA"/>
        </w:rPr>
        <w:t>其中</w:t>
      </w:r>
      <w:r>
        <w:rPr>
          <w:rFonts w:hint="eastAsia" w:ascii="Times New Roman" w:hAnsi="Times New Roman" w:eastAsia="仿宋_GB2312" w:cs="Times New Roman"/>
          <w:kern w:val="2"/>
          <w:sz w:val="32"/>
          <w:szCs w:val="32"/>
          <w:highlight w:val="none"/>
          <w:lang w:val="en-US" w:eastAsia="zh-CN" w:bidi="ar-SA"/>
        </w:rPr>
        <w:t>陆地与水域清扫保洁工作效益差异最为明显</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建议冷水滩区提高单位人员工作效率，控制项目成本，核减不必要人员支出</w:t>
      </w:r>
      <w:r>
        <w:rPr>
          <w:rFonts w:hint="eastAsia" w:eastAsia="仿宋_GB2312" w:cs="Times New Roman"/>
          <w:kern w:val="2"/>
          <w:sz w:val="32"/>
          <w:szCs w:val="32"/>
          <w:highlight w:val="none"/>
          <w:lang w:val="en-US" w:eastAsia="zh-CN" w:bidi="ar-SA"/>
        </w:rPr>
        <w:t>。</w:t>
      </w:r>
    </w:p>
    <w:p w14:paraId="20907466">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cs="Times New Roman"/>
          <w:sz w:val="32"/>
          <w:szCs w:val="32"/>
          <w:lang w:val="en-US" w:eastAsia="zh-CN"/>
        </w:rPr>
      </w:pPr>
      <w:bookmarkStart w:id="524" w:name="_Toc28056"/>
      <w:r>
        <w:rPr>
          <w:rFonts w:hint="eastAsia" w:cs="Times New Roman"/>
          <w:sz w:val="32"/>
          <w:szCs w:val="32"/>
          <w:lang w:val="en-US" w:eastAsia="zh-CN"/>
        </w:rPr>
        <w:t>九</w:t>
      </w:r>
      <w:r>
        <w:rPr>
          <w:rFonts w:hint="default" w:cs="Times New Roman"/>
          <w:sz w:val="32"/>
          <w:szCs w:val="32"/>
          <w:lang w:val="en-US" w:eastAsia="zh-CN"/>
        </w:rPr>
        <w:t>、综合评价情况及评价结论</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ED7DD1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bookmarkStart w:id="525" w:name="_Toc12353"/>
      <w:bookmarkStart w:id="526" w:name="_Toc8118"/>
      <w:bookmarkStart w:id="527" w:name="_Toc5374"/>
      <w:bookmarkStart w:id="528" w:name="_Toc26414"/>
      <w:r>
        <w:rPr>
          <w:rFonts w:hint="eastAsia" w:ascii="Times New Roman" w:hAnsi="Times New Roman" w:eastAsia="仿宋_GB2312" w:cs="Times New Roman"/>
          <w:kern w:val="2"/>
          <w:sz w:val="32"/>
          <w:szCs w:val="32"/>
          <w:highlight w:val="none"/>
          <w:lang w:val="en-US" w:eastAsia="zh-CN" w:bidi="ar-SA"/>
        </w:rPr>
        <w:t>绩效评价小组通过听取单位情况介绍、查阅会计凭证、核实支出数据、发放调查问卷等方式获取相关资料，共收回有效问卷   274份。根据《2023年永州市</w:t>
      </w:r>
      <w:r>
        <w:rPr>
          <w:rFonts w:hint="eastAsia" w:eastAsia="仿宋_GB2312" w:cs="Times New Roman"/>
          <w:kern w:val="2"/>
          <w:sz w:val="32"/>
          <w:szCs w:val="32"/>
          <w:highlight w:val="none"/>
          <w:lang w:val="en-US" w:eastAsia="zh-CN" w:bidi="ar-SA"/>
        </w:rPr>
        <w:t>冷水滩区园林绿化面积养护及新增面积环卫经费</w:t>
      </w:r>
      <w:r>
        <w:rPr>
          <w:rFonts w:hint="eastAsia" w:ascii="Times New Roman" w:hAnsi="Times New Roman" w:eastAsia="仿宋_GB2312" w:cs="Times New Roman"/>
          <w:kern w:val="2"/>
          <w:sz w:val="32"/>
          <w:szCs w:val="32"/>
          <w:highlight w:val="none"/>
          <w:lang w:val="en-US" w:eastAsia="zh-CN" w:bidi="ar-SA"/>
        </w:rPr>
        <w:t>专项资金绩效评价指标体系评分表》，采用定量分析和定性分析相结合的评价方法进行综合评分，该项目2023年度绩效评价得分</w:t>
      </w:r>
      <w:r>
        <w:rPr>
          <w:rFonts w:hint="eastAsia" w:eastAsia="仿宋_GB2312" w:cs="Times New Roman"/>
          <w:kern w:val="2"/>
          <w:sz w:val="32"/>
          <w:szCs w:val="32"/>
          <w:highlight w:val="none"/>
          <w:lang w:val="en-US" w:eastAsia="zh-CN" w:bidi="ar-SA"/>
        </w:rPr>
        <w:t>85.7</w:t>
      </w:r>
      <w:r>
        <w:rPr>
          <w:rFonts w:hint="eastAsia" w:ascii="Times New Roman" w:hAnsi="Times New Roman" w:eastAsia="仿宋_GB2312" w:cs="Times New Roman"/>
          <w:kern w:val="2"/>
          <w:sz w:val="32"/>
          <w:szCs w:val="32"/>
          <w:highlight w:val="none"/>
          <w:lang w:val="en-US" w:eastAsia="zh-CN" w:bidi="ar-SA"/>
        </w:rPr>
        <w:t>分，评价结果为“良”</w:t>
      </w:r>
      <w:bookmarkEnd w:id="525"/>
      <w:r>
        <w:rPr>
          <w:rFonts w:hint="eastAsia" w:ascii="Times New Roman" w:hAnsi="Times New Roman" w:eastAsia="仿宋_GB2312" w:cs="Times New Roman"/>
          <w:kern w:val="2"/>
          <w:sz w:val="32"/>
          <w:szCs w:val="32"/>
          <w:highlight w:val="none"/>
          <w:lang w:val="en-US" w:eastAsia="zh-CN" w:bidi="ar-SA"/>
        </w:rPr>
        <w:t>。</w:t>
      </w:r>
      <w:bookmarkEnd w:id="526"/>
      <w:bookmarkEnd w:id="527"/>
      <w:bookmarkEnd w:id="528"/>
    </w:p>
    <w:p w14:paraId="704C906D">
      <w:pPr>
        <w:pStyle w:val="2"/>
        <w:ind w:left="0" w:leftChars="0" w:firstLine="0" w:firstLineChars="0"/>
        <w:rPr>
          <w:rFonts w:hint="eastAsia" w:eastAsia="仿宋_GB2312" w:cs="Times New Roman"/>
          <w:kern w:val="2"/>
          <w:sz w:val="32"/>
          <w:szCs w:val="32"/>
          <w:highlight w:val="none"/>
          <w:lang w:val="en-US" w:eastAsia="zh-CN" w:bidi="ar-SA"/>
        </w:rPr>
      </w:pPr>
    </w:p>
    <w:p w14:paraId="3F539155">
      <w:pPr>
        <w:pStyle w:val="2"/>
        <w:ind w:left="0" w:leftChars="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eastAsia="仿宋_GB2312" w:cs="Times New Roman"/>
          <w:kern w:val="2"/>
          <w:sz w:val="32"/>
          <w:szCs w:val="32"/>
          <w:highlight w:val="none"/>
          <w:lang w:val="en-US" w:eastAsia="zh-CN" w:bidi="ar-SA"/>
        </w:rPr>
        <w:t>附件1：</w:t>
      </w:r>
      <w:r>
        <w:rPr>
          <w:rFonts w:hint="eastAsia" w:ascii="Times New Roman" w:hAnsi="Times New Roman" w:eastAsia="仿宋_GB2312" w:cs="Times New Roman"/>
          <w:kern w:val="2"/>
          <w:sz w:val="32"/>
          <w:szCs w:val="32"/>
          <w:highlight w:val="none"/>
          <w:lang w:val="en-US" w:eastAsia="zh-CN" w:bidi="ar-SA"/>
        </w:rPr>
        <w:t>2023年永州市</w:t>
      </w:r>
      <w:r>
        <w:rPr>
          <w:rFonts w:hint="eastAsia" w:eastAsia="仿宋_GB2312" w:cs="Times New Roman"/>
          <w:kern w:val="2"/>
          <w:sz w:val="32"/>
          <w:szCs w:val="32"/>
          <w:highlight w:val="none"/>
          <w:lang w:val="en-US" w:eastAsia="zh-CN" w:bidi="ar-SA"/>
        </w:rPr>
        <w:t>冷水滩区</w:t>
      </w:r>
      <w:r>
        <w:rPr>
          <w:rFonts w:hint="eastAsia" w:ascii="Times New Roman" w:hAnsi="Times New Roman" w:eastAsia="仿宋_GB2312" w:cs="Times New Roman"/>
          <w:kern w:val="2"/>
          <w:sz w:val="32"/>
          <w:szCs w:val="32"/>
          <w:highlight w:val="none"/>
          <w:lang w:val="en-US" w:eastAsia="zh-CN" w:bidi="ar-SA"/>
        </w:rPr>
        <w:t>园林绿化面积养护及新增面积环卫经费绩效评价指标体系评分表</w:t>
      </w:r>
    </w:p>
    <w:p w14:paraId="19E04626">
      <w:pPr>
        <w:pStyle w:val="3"/>
        <w:ind w:left="0" w:leftChars="0" w:firstLine="640" w:firstLineChars="200"/>
        <w:rPr>
          <w:rFonts w:hint="eastAsia"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附件</w:t>
      </w:r>
      <w:r>
        <w:rPr>
          <w:rFonts w:hint="eastAsia" w:ascii="Times New Roman" w:hAnsi="Times New Roman" w:eastAsia="仿宋_GB2312" w:cs="Times New Roman"/>
          <w:kern w:val="2"/>
          <w:sz w:val="32"/>
          <w:szCs w:val="32"/>
          <w:highlight w:val="none"/>
          <w:lang w:val="en-US" w:eastAsia="zh-CN" w:bidi="ar-SA"/>
        </w:rPr>
        <w:t>2：</w:t>
      </w:r>
      <w:r>
        <w:rPr>
          <w:rFonts w:hint="eastAsia" w:eastAsia="仿宋_GB2312" w:cs="Times New Roman"/>
          <w:kern w:val="2"/>
          <w:sz w:val="32"/>
          <w:szCs w:val="32"/>
          <w:highlight w:val="none"/>
          <w:lang w:val="en-US" w:eastAsia="zh-CN" w:bidi="ar-SA"/>
        </w:rPr>
        <w:t>2023年</w:t>
      </w:r>
      <w:r>
        <w:rPr>
          <w:rFonts w:hint="eastAsia" w:ascii="Times New Roman" w:hAnsi="Times New Roman" w:eastAsia="仿宋_GB2312" w:cs="Times New Roman"/>
          <w:kern w:val="2"/>
          <w:sz w:val="32"/>
          <w:szCs w:val="32"/>
          <w:highlight w:val="none"/>
          <w:lang w:val="en-US" w:eastAsia="zh-CN" w:bidi="ar-SA"/>
        </w:rPr>
        <w:t>永州市冷水滩区</w:t>
      </w:r>
      <w:r>
        <w:rPr>
          <w:rFonts w:hint="eastAsia" w:eastAsia="仿宋_GB2312" w:cs="Times New Roman"/>
          <w:kern w:val="2"/>
          <w:sz w:val="32"/>
          <w:szCs w:val="32"/>
          <w:highlight w:val="none"/>
          <w:lang w:val="en-US" w:eastAsia="zh-CN" w:bidi="ar-SA"/>
        </w:rPr>
        <w:t>园林</w:t>
      </w:r>
      <w:r>
        <w:rPr>
          <w:rFonts w:hint="eastAsia" w:ascii="Times New Roman" w:hAnsi="Times New Roman" w:eastAsia="仿宋_GB2312" w:cs="Times New Roman"/>
          <w:kern w:val="2"/>
          <w:sz w:val="32"/>
          <w:szCs w:val="32"/>
          <w:highlight w:val="none"/>
          <w:lang w:val="en-US" w:eastAsia="zh-CN" w:bidi="ar-SA"/>
        </w:rPr>
        <w:t>绿化面积养护及新增面积环卫经费项目</w:t>
      </w:r>
      <w:r>
        <w:rPr>
          <w:rFonts w:hint="default" w:ascii="Times New Roman" w:hAnsi="Times New Roman" w:eastAsia="仿宋_GB2312" w:cs="Times New Roman"/>
          <w:kern w:val="2"/>
          <w:sz w:val="32"/>
          <w:szCs w:val="32"/>
          <w:highlight w:val="none"/>
          <w:lang w:val="en-US" w:eastAsia="zh-CN" w:bidi="ar-SA"/>
        </w:rPr>
        <w:t>资金使用明细表</w:t>
      </w:r>
    </w:p>
    <w:p w14:paraId="27FECBCB">
      <w:pPr>
        <w:pStyle w:val="3"/>
        <w:ind w:left="0" w:leftChars="0" w:firstLine="640" w:firstLineChars="200"/>
        <w:rPr>
          <w:rFonts w:hint="default"/>
          <w:lang w:val="en-US" w:eastAsia="zh-CN"/>
        </w:rPr>
      </w:pPr>
      <w:r>
        <w:rPr>
          <w:rFonts w:hint="eastAsia" w:eastAsia="仿宋_GB2312" w:cs="Times New Roman"/>
          <w:kern w:val="2"/>
          <w:sz w:val="32"/>
          <w:szCs w:val="32"/>
          <w:highlight w:val="none"/>
          <w:lang w:val="en-US" w:eastAsia="zh-CN" w:bidi="ar-SA"/>
        </w:rPr>
        <w:t>附件3：2023年</w:t>
      </w:r>
      <w:r>
        <w:rPr>
          <w:rFonts w:hint="eastAsia" w:ascii="Times New Roman" w:hAnsi="Times New Roman" w:eastAsia="仿宋_GB2312" w:cs="Times New Roman"/>
          <w:kern w:val="2"/>
          <w:sz w:val="32"/>
          <w:szCs w:val="32"/>
          <w:highlight w:val="none"/>
          <w:lang w:val="en-US" w:eastAsia="zh-CN" w:bidi="ar-SA"/>
        </w:rPr>
        <w:t>永州市冷水滩区</w:t>
      </w:r>
      <w:r>
        <w:rPr>
          <w:rFonts w:hint="eastAsia" w:eastAsia="仿宋_GB2312" w:cs="Times New Roman"/>
          <w:kern w:val="2"/>
          <w:sz w:val="32"/>
          <w:szCs w:val="32"/>
          <w:highlight w:val="none"/>
          <w:lang w:val="en-US" w:eastAsia="zh-CN" w:bidi="ar-SA"/>
        </w:rPr>
        <w:t>园林</w:t>
      </w:r>
      <w:r>
        <w:rPr>
          <w:rFonts w:hint="eastAsia" w:ascii="Times New Roman" w:hAnsi="Times New Roman" w:eastAsia="仿宋_GB2312" w:cs="Times New Roman"/>
          <w:kern w:val="2"/>
          <w:sz w:val="32"/>
          <w:szCs w:val="32"/>
          <w:highlight w:val="none"/>
          <w:lang w:val="en-US" w:eastAsia="zh-CN" w:bidi="ar-SA"/>
        </w:rPr>
        <w:t>绿化面积养护及新增面积环卫经费项目</w:t>
      </w:r>
      <w:r>
        <w:rPr>
          <w:rFonts w:hint="eastAsia" w:eastAsia="仿宋_GB2312" w:cs="Times New Roman"/>
          <w:kern w:val="2"/>
          <w:sz w:val="32"/>
          <w:szCs w:val="32"/>
          <w:highlight w:val="none"/>
          <w:lang w:val="en-US" w:eastAsia="zh-CN" w:bidi="ar-SA"/>
        </w:rPr>
        <w:t>调查报告</w:t>
      </w:r>
    </w:p>
    <w:p w14:paraId="059ED3D5">
      <w:pPr>
        <w:keepLines w:val="0"/>
        <w:widowControl w:val="0"/>
        <w:shd w:val="clear"/>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highlight w:val="none"/>
          <w:lang w:val="en-US" w:eastAsia="zh-CN"/>
        </w:rPr>
      </w:pPr>
      <w:r>
        <w:rPr>
          <w:rFonts w:hint="default" w:ascii="Times New Roman" w:hAnsi="Times New Roman" w:eastAsia="仿宋" w:cs="Times New Roman"/>
          <w:b w:val="0"/>
          <w:i w:val="0"/>
          <w:caps w:val="0"/>
          <w:spacing w:val="0"/>
          <w:w w:val="100"/>
          <w:kern w:val="0"/>
          <w:sz w:val="32"/>
          <w:szCs w:val="32"/>
          <w:highlight w:val="none"/>
          <w:lang w:val="en-US" w:eastAsia="zh-CN"/>
        </w:rPr>
        <w:t>湖南九澧咨询服务有限公司</w:t>
      </w:r>
    </w:p>
    <w:p w14:paraId="3B8E796B">
      <w:pPr>
        <w:keepLines w:val="0"/>
        <w:widowControl w:val="0"/>
        <w:shd w:val="clear"/>
        <w:snapToGrid/>
        <w:spacing w:before="0" w:beforeAutospacing="0" w:after="0" w:afterAutospacing="0" w:line="560" w:lineRule="exact"/>
        <w:ind w:firstLine="5760" w:firstLineChars="18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r>
        <w:rPr>
          <w:rFonts w:hint="default" w:ascii="Times New Roman" w:hAnsi="Times New Roman" w:eastAsia="仿宋" w:cs="Times New Roman"/>
          <w:b w:val="0"/>
          <w:i w:val="0"/>
          <w:caps w:val="0"/>
          <w:spacing w:val="0"/>
          <w:w w:val="100"/>
          <w:kern w:val="0"/>
          <w:sz w:val="32"/>
          <w:szCs w:val="32"/>
          <w:highlight w:val="none"/>
          <w:lang w:val="en-US" w:eastAsia="zh-CN"/>
        </w:rPr>
        <w:t>202</w:t>
      </w:r>
      <w:r>
        <w:rPr>
          <w:rFonts w:hint="eastAsia" w:eastAsia="仿宋" w:cs="Times New Roman"/>
          <w:b w:val="0"/>
          <w:i w:val="0"/>
          <w:caps w:val="0"/>
          <w:spacing w:val="0"/>
          <w:w w:val="100"/>
          <w:kern w:val="0"/>
          <w:sz w:val="32"/>
          <w:szCs w:val="32"/>
          <w:highlight w:val="none"/>
          <w:lang w:val="en-US" w:eastAsia="zh-CN"/>
        </w:rPr>
        <w:t>5</w:t>
      </w:r>
      <w:r>
        <w:rPr>
          <w:rFonts w:hint="default" w:ascii="Times New Roman" w:hAnsi="Times New Roman" w:eastAsia="仿宋" w:cs="Times New Roman"/>
          <w:b w:val="0"/>
          <w:i w:val="0"/>
          <w:caps w:val="0"/>
          <w:spacing w:val="0"/>
          <w:w w:val="100"/>
          <w:kern w:val="0"/>
          <w:sz w:val="32"/>
          <w:szCs w:val="32"/>
          <w:highlight w:val="none"/>
          <w:lang w:val="en-US" w:eastAsia="zh-CN"/>
        </w:rPr>
        <w:t>年</w:t>
      </w:r>
      <w:r>
        <w:rPr>
          <w:rFonts w:hint="eastAsia" w:eastAsia="仿宋" w:cs="Times New Roman"/>
          <w:b w:val="0"/>
          <w:i w:val="0"/>
          <w:caps w:val="0"/>
          <w:spacing w:val="0"/>
          <w:w w:val="100"/>
          <w:kern w:val="0"/>
          <w:sz w:val="32"/>
          <w:szCs w:val="32"/>
          <w:highlight w:val="none"/>
          <w:lang w:val="en-US" w:eastAsia="zh-CN"/>
        </w:rPr>
        <w:t>1</w:t>
      </w:r>
      <w:r>
        <w:rPr>
          <w:rFonts w:hint="default" w:ascii="Times New Roman" w:hAnsi="Times New Roman" w:eastAsia="仿宋" w:cs="Times New Roman"/>
          <w:b w:val="0"/>
          <w:i w:val="0"/>
          <w:caps w:val="0"/>
          <w:spacing w:val="0"/>
          <w:w w:val="100"/>
          <w:kern w:val="0"/>
          <w:sz w:val="32"/>
          <w:szCs w:val="32"/>
          <w:lang w:val="en-US" w:eastAsia="zh-CN"/>
        </w:rPr>
        <w:t>月</w:t>
      </w:r>
    </w:p>
    <w:sectPr>
      <w:footerReference r:id="rId4" w:type="default"/>
      <w:pgSz w:w="11906" w:h="16838"/>
      <w:pgMar w:top="1440" w:right="12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D30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7C976">
                          <w:pPr>
                            <w:rPr>
                              <w:rFonts w:hint="default" w:eastAsia="宋体"/>
                              <w:lang w:val="en-US" w:eastAsia="zh-CN"/>
                            </w:rPr>
                          </w:pPr>
                          <w:r>
                            <w:rPr>
                              <w:rFonts w:hint="eastAsia"/>
                              <w:lang w:val="en-US" w:eastAsia="zh-CN"/>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14:paraId="09B7C976">
                    <w:pPr>
                      <w:rPr>
                        <w:rFonts w:hint="default" w:eastAsia="宋体"/>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26E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BBFB6">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14:paraId="11CBBFB6">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DY5YzkyODBkOGM2OWQxNjg3NzUwNWVjNDdiODkifQ=="/>
  </w:docVars>
  <w:rsids>
    <w:rsidRoot w:val="004A00CC"/>
    <w:rsid w:val="0003702B"/>
    <w:rsid w:val="00112C0D"/>
    <w:rsid w:val="0018259C"/>
    <w:rsid w:val="002B3C09"/>
    <w:rsid w:val="002B5E55"/>
    <w:rsid w:val="002C5663"/>
    <w:rsid w:val="00387B2F"/>
    <w:rsid w:val="003D21B2"/>
    <w:rsid w:val="00427216"/>
    <w:rsid w:val="004401A3"/>
    <w:rsid w:val="004A00CC"/>
    <w:rsid w:val="00575EB0"/>
    <w:rsid w:val="00791CA6"/>
    <w:rsid w:val="00865F01"/>
    <w:rsid w:val="00AB6B25"/>
    <w:rsid w:val="00B95CDD"/>
    <w:rsid w:val="00D51BF8"/>
    <w:rsid w:val="00FB4063"/>
    <w:rsid w:val="012F2B13"/>
    <w:rsid w:val="015F36B4"/>
    <w:rsid w:val="017D6194"/>
    <w:rsid w:val="018130AF"/>
    <w:rsid w:val="01A041EA"/>
    <w:rsid w:val="01AF63E2"/>
    <w:rsid w:val="01C3503E"/>
    <w:rsid w:val="01D027EB"/>
    <w:rsid w:val="01E3296C"/>
    <w:rsid w:val="021F03CA"/>
    <w:rsid w:val="023D491A"/>
    <w:rsid w:val="026516A8"/>
    <w:rsid w:val="02B63C70"/>
    <w:rsid w:val="02D0730E"/>
    <w:rsid w:val="030E65A2"/>
    <w:rsid w:val="0325055D"/>
    <w:rsid w:val="03382091"/>
    <w:rsid w:val="038D51FF"/>
    <w:rsid w:val="03AB5985"/>
    <w:rsid w:val="03CF506A"/>
    <w:rsid w:val="03D80B70"/>
    <w:rsid w:val="03DF69F1"/>
    <w:rsid w:val="045301F6"/>
    <w:rsid w:val="045D2716"/>
    <w:rsid w:val="04626572"/>
    <w:rsid w:val="049A7BD3"/>
    <w:rsid w:val="04B54A0D"/>
    <w:rsid w:val="04F75026"/>
    <w:rsid w:val="053C3F1B"/>
    <w:rsid w:val="054D733B"/>
    <w:rsid w:val="056A7E67"/>
    <w:rsid w:val="059F3E54"/>
    <w:rsid w:val="05B62611"/>
    <w:rsid w:val="05BC1186"/>
    <w:rsid w:val="05E73CE9"/>
    <w:rsid w:val="05F737B0"/>
    <w:rsid w:val="06140647"/>
    <w:rsid w:val="061833A3"/>
    <w:rsid w:val="0620235A"/>
    <w:rsid w:val="06726051"/>
    <w:rsid w:val="068B43EE"/>
    <w:rsid w:val="06CF013C"/>
    <w:rsid w:val="06E93094"/>
    <w:rsid w:val="06F51A39"/>
    <w:rsid w:val="07100F0E"/>
    <w:rsid w:val="07252D2E"/>
    <w:rsid w:val="07256D45"/>
    <w:rsid w:val="07481B68"/>
    <w:rsid w:val="076562D9"/>
    <w:rsid w:val="0781151E"/>
    <w:rsid w:val="07913133"/>
    <w:rsid w:val="079542EA"/>
    <w:rsid w:val="079A613C"/>
    <w:rsid w:val="07A37103"/>
    <w:rsid w:val="080A5070"/>
    <w:rsid w:val="088B2485"/>
    <w:rsid w:val="08BB45BC"/>
    <w:rsid w:val="08DC2683"/>
    <w:rsid w:val="08DE264A"/>
    <w:rsid w:val="08F560BD"/>
    <w:rsid w:val="09095327"/>
    <w:rsid w:val="096D1D5A"/>
    <w:rsid w:val="09BA1D8D"/>
    <w:rsid w:val="09BE4364"/>
    <w:rsid w:val="09BF1E8A"/>
    <w:rsid w:val="09E9624F"/>
    <w:rsid w:val="0A086954"/>
    <w:rsid w:val="0A51342A"/>
    <w:rsid w:val="0A6842D0"/>
    <w:rsid w:val="0A847F0F"/>
    <w:rsid w:val="0A8D1D46"/>
    <w:rsid w:val="0A98449F"/>
    <w:rsid w:val="0AAD755F"/>
    <w:rsid w:val="0AB3419C"/>
    <w:rsid w:val="0AB40EBE"/>
    <w:rsid w:val="0AC736EC"/>
    <w:rsid w:val="0AD55104"/>
    <w:rsid w:val="0AD904D7"/>
    <w:rsid w:val="0BB43615"/>
    <w:rsid w:val="0BBC6165"/>
    <w:rsid w:val="0C0544CC"/>
    <w:rsid w:val="0C656D19"/>
    <w:rsid w:val="0C7679AE"/>
    <w:rsid w:val="0C7B653C"/>
    <w:rsid w:val="0C8378ED"/>
    <w:rsid w:val="0C8D68DD"/>
    <w:rsid w:val="0D0D4F11"/>
    <w:rsid w:val="0D21786F"/>
    <w:rsid w:val="0D2C14EF"/>
    <w:rsid w:val="0D4903E8"/>
    <w:rsid w:val="0D576FA9"/>
    <w:rsid w:val="0D7B5BEC"/>
    <w:rsid w:val="0DA0608B"/>
    <w:rsid w:val="0DF30D4F"/>
    <w:rsid w:val="0E1E604C"/>
    <w:rsid w:val="0E274F0F"/>
    <w:rsid w:val="0E370B89"/>
    <w:rsid w:val="0E386C82"/>
    <w:rsid w:val="0EB33657"/>
    <w:rsid w:val="0EEB6DB7"/>
    <w:rsid w:val="0EF34C60"/>
    <w:rsid w:val="0F1A345F"/>
    <w:rsid w:val="0F204473"/>
    <w:rsid w:val="0F3550C8"/>
    <w:rsid w:val="0F374C93"/>
    <w:rsid w:val="0FAB44DF"/>
    <w:rsid w:val="0FE27775"/>
    <w:rsid w:val="10004692"/>
    <w:rsid w:val="104F3F68"/>
    <w:rsid w:val="10556729"/>
    <w:rsid w:val="10941DFD"/>
    <w:rsid w:val="10E06822"/>
    <w:rsid w:val="10E23656"/>
    <w:rsid w:val="10EC6974"/>
    <w:rsid w:val="10EE75E4"/>
    <w:rsid w:val="11020FDA"/>
    <w:rsid w:val="11152A74"/>
    <w:rsid w:val="11360C7E"/>
    <w:rsid w:val="11910E95"/>
    <w:rsid w:val="11A64DC5"/>
    <w:rsid w:val="11B3592C"/>
    <w:rsid w:val="1207125C"/>
    <w:rsid w:val="128500F9"/>
    <w:rsid w:val="12B416BA"/>
    <w:rsid w:val="12BB2A3C"/>
    <w:rsid w:val="12FE06CF"/>
    <w:rsid w:val="13130D57"/>
    <w:rsid w:val="132D4308"/>
    <w:rsid w:val="133B6F5C"/>
    <w:rsid w:val="134C29E0"/>
    <w:rsid w:val="13774A47"/>
    <w:rsid w:val="13983D59"/>
    <w:rsid w:val="13AE2795"/>
    <w:rsid w:val="13C95DDF"/>
    <w:rsid w:val="13CF716E"/>
    <w:rsid w:val="14006CF7"/>
    <w:rsid w:val="14667D1D"/>
    <w:rsid w:val="148E79C6"/>
    <w:rsid w:val="14B00D4D"/>
    <w:rsid w:val="14BB1F5D"/>
    <w:rsid w:val="14C55842"/>
    <w:rsid w:val="1500167A"/>
    <w:rsid w:val="151E54A4"/>
    <w:rsid w:val="152E4A94"/>
    <w:rsid w:val="156160A0"/>
    <w:rsid w:val="157E1EF8"/>
    <w:rsid w:val="15A70ED6"/>
    <w:rsid w:val="15C210BE"/>
    <w:rsid w:val="15F265BF"/>
    <w:rsid w:val="16470BF5"/>
    <w:rsid w:val="167160A1"/>
    <w:rsid w:val="16827993"/>
    <w:rsid w:val="168C1346"/>
    <w:rsid w:val="168F07F5"/>
    <w:rsid w:val="16911EF5"/>
    <w:rsid w:val="169E6391"/>
    <w:rsid w:val="16A9014A"/>
    <w:rsid w:val="16B732A5"/>
    <w:rsid w:val="16CF56A8"/>
    <w:rsid w:val="16D65E4B"/>
    <w:rsid w:val="16E1641D"/>
    <w:rsid w:val="16E30031"/>
    <w:rsid w:val="16ED1BE3"/>
    <w:rsid w:val="16F94C2D"/>
    <w:rsid w:val="16FC2B14"/>
    <w:rsid w:val="17256763"/>
    <w:rsid w:val="1731642A"/>
    <w:rsid w:val="17427EBA"/>
    <w:rsid w:val="17710C68"/>
    <w:rsid w:val="178F7340"/>
    <w:rsid w:val="17E6746F"/>
    <w:rsid w:val="17E80F75"/>
    <w:rsid w:val="17F65E7A"/>
    <w:rsid w:val="180F56F7"/>
    <w:rsid w:val="181C333C"/>
    <w:rsid w:val="18211F0A"/>
    <w:rsid w:val="18261BB2"/>
    <w:rsid w:val="18381785"/>
    <w:rsid w:val="184074DF"/>
    <w:rsid w:val="184A4F8B"/>
    <w:rsid w:val="186715DB"/>
    <w:rsid w:val="18A40AD8"/>
    <w:rsid w:val="18A61BDE"/>
    <w:rsid w:val="19377C8F"/>
    <w:rsid w:val="19404D95"/>
    <w:rsid w:val="19434886"/>
    <w:rsid w:val="196C2483"/>
    <w:rsid w:val="196C6236"/>
    <w:rsid w:val="19882298"/>
    <w:rsid w:val="1997593E"/>
    <w:rsid w:val="199D0DF6"/>
    <w:rsid w:val="19AD7F51"/>
    <w:rsid w:val="19AF7825"/>
    <w:rsid w:val="1A0A53A3"/>
    <w:rsid w:val="1A5F061A"/>
    <w:rsid w:val="1A616FE2"/>
    <w:rsid w:val="1AC9700C"/>
    <w:rsid w:val="1AD03EF7"/>
    <w:rsid w:val="1AE47A0B"/>
    <w:rsid w:val="1AEF6A73"/>
    <w:rsid w:val="1B157ABC"/>
    <w:rsid w:val="1B2C6B3B"/>
    <w:rsid w:val="1B3C158C"/>
    <w:rsid w:val="1B495729"/>
    <w:rsid w:val="1B6C00C4"/>
    <w:rsid w:val="1B8E19E9"/>
    <w:rsid w:val="1BF45FEE"/>
    <w:rsid w:val="1C00476E"/>
    <w:rsid w:val="1C2C7FE2"/>
    <w:rsid w:val="1C8A102A"/>
    <w:rsid w:val="1C8B457A"/>
    <w:rsid w:val="1CAE7975"/>
    <w:rsid w:val="1D250895"/>
    <w:rsid w:val="1D36546B"/>
    <w:rsid w:val="1D3E3A78"/>
    <w:rsid w:val="1D467DF1"/>
    <w:rsid w:val="1D594FF3"/>
    <w:rsid w:val="1D657F4F"/>
    <w:rsid w:val="1D660ECC"/>
    <w:rsid w:val="1D680410"/>
    <w:rsid w:val="1D724FC4"/>
    <w:rsid w:val="1D85546D"/>
    <w:rsid w:val="1D9C4564"/>
    <w:rsid w:val="1DAD2A87"/>
    <w:rsid w:val="1DC04A8B"/>
    <w:rsid w:val="1DD30499"/>
    <w:rsid w:val="1DE66084"/>
    <w:rsid w:val="1E171E3D"/>
    <w:rsid w:val="1E62130A"/>
    <w:rsid w:val="1E84302B"/>
    <w:rsid w:val="1E8474D2"/>
    <w:rsid w:val="1ECA792C"/>
    <w:rsid w:val="1EFE6F83"/>
    <w:rsid w:val="1F110100"/>
    <w:rsid w:val="1F340F1B"/>
    <w:rsid w:val="1F3867BD"/>
    <w:rsid w:val="1F456751"/>
    <w:rsid w:val="1F525822"/>
    <w:rsid w:val="1F556614"/>
    <w:rsid w:val="1F703CF4"/>
    <w:rsid w:val="1F8854DA"/>
    <w:rsid w:val="1F897896"/>
    <w:rsid w:val="201C373B"/>
    <w:rsid w:val="20252C31"/>
    <w:rsid w:val="202C2F5E"/>
    <w:rsid w:val="202D1DEC"/>
    <w:rsid w:val="203B7EE3"/>
    <w:rsid w:val="20531852"/>
    <w:rsid w:val="206F35FD"/>
    <w:rsid w:val="2079293B"/>
    <w:rsid w:val="207D46FD"/>
    <w:rsid w:val="20915784"/>
    <w:rsid w:val="209338C0"/>
    <w:rsid w:val="20B147CB"/>
    <w:rsid w:val="20B47B45"/>
    <w:rsid w:val="20DD1A2D"/>
    <w:rsid w:val="21270CB4"/>
    <w:rsid w:val="21383F59"/>
    <w:rsid w:val="213D605E"/>
    <w:rsid w:val="213D69C6"/>
    <w:rsid w:val="21617F9F"/>
    <w:rsid w:val="21631267"/>
    <w:rsid w:val="21655510"/>
    <w:rsid w:val="216A0B48"/>
    <w:rsid w:val="21921D0D"/>
    <w:rsid w:val="21B6361B"/>
    <w:rsid w:val="21D04F44"/>
    <w:rsid w:val="21F04E7F"/>
    <w:rsid w:val="223E777F"/>
    <w:rsid w:val="2241392C"/>
    <w:rsid w:val="22533B9F"/>
    <w:rsid w:val="22764A74"/>
    <w:rsid w:val="22847C0C"/>
    <w:rsid w:val="22B304FC"/>
    <w:rsid w:val="22BF10F0"/>
    <w:rsid w:val="22DD18A7"/>
    <w:rsid w:val="22FD4489"/>
    <w:rsid w:val="23244DE0"/>
    <w:rsid w:val="23A14523"/>
    <w:rsid w:val="23A9279B"/>
    <w:rsid w:val="23AC0E78"/>
    <w:rsid w:val="23EF32F7"/>
    <w:rsid w:val="245060A9"/>
    <w:rsid w:val="24522877"/>
    <w:rsid w:val="24523BCF"/>
    <w:rsid w:val="245B0CD5"/>
    <w:rsid w:val="2468526A"/>
    <w:rsid w:val="248F4E23"/>
    <w:rsid w:val="2491753F"/>
    <w:rsid w:val="24AD5152"/>
    <w:rsid w:val="24C660B8"/>
    <w:rsid w:val="25156C39"/>
    <w:rsid w:val="25583815"/>
    <w:rsid w:val="25687101"/>
    <w:rsid w:val="256B7763"/>
    <w:rsid w:val="259A3A7F"/>
    <w:rsid w:val="25B34B41"/>
    <w:rsid w:val="25BF6284"/>
    <w:rsid w:val="25C95358"/>
    <w:rsid w:val="25CA42E4"/>
    <w:rsid w:val="25CD39D8"/>
    <w:rsid w:val="25D24FC7"/>
    <w:rsid w:val="25DA3E7C"/>
    <w:rsid w:val="25E76C1A"/>
    <w:rsid w:val="26172557"/>
    <w:rsid w:val="264156CF"/>
    <w:rsid w:val="264C4894"/>
    <w:rsid w:val="267A11BB"/>
    <w:rsid w:val="267E7529"/>
    <w:rsid w:val="26963D4E"/>
    <w:rsid w:val="26A77EC7"/>
    <w:rsid w:val="26C95450"/>
    <w:rsid w:val="26CC7C59"/>
    <w:rsid w:val="26F61EDE"/>
    <w:rsid w:val="272F0DAD"/>
    <w:rsid w:val="2733180A"/>
    <w:rsid w:val="274243CE"/>
    <w:rsid w:val="278051C0"/>
    <w:rsid w:val="27B506FC"/>
    <w:rsid w:val="27B5694E"/>
    <w:rsid w:val="27C86E87"/>
    <w:rsid w:val="2804135B"/>
    <w:rsid w:val="281F62DF"/>
    <w:rsid w:val="28642123"/>
    <w:rsid w:val="286C21C2"/>
    <w:rsid w:val="28712CB3"/>
    <w:rsid w:val="287D6B2E"/>
    <w:rsid w:val="28AA6257"/>
    <w:rsid w:val="28D0604B"/>
    <w:rsid w:val="28F52953"/>
    <w:rsid w:val="293146FB"/>
    <w:rsid w:val="2933640D"/>
    <w:rsid w:val="29970C8B"/>
    <w:rsid w:val="29A245D5"/>
    <w:rsid w:val="29B1716D"/>
    <w:rsid w:val="29CB2916"/>
    <w:rsid w:val="29D5585D"/>
    <w:rsid w:val="29D64983"/>
    <w:rsid w:val="29FD638B"/>
    <w:rsid w:val="2A421568"/>
    <w:rsid w:val="2A82632C"/>
    <w:rsid w:val="2A990FE2"/>
    <w:rsid w:val="2A995EBE"/>
    <w:rsid w:val="2AA41338"/>
    <w:rsid w:val="2ACD1E60"/>
    <w:rsid w:val="2AF53506"/>
    <w:rsid w:val="2AFF675B"/>
    <w:rsid w:val="2B3E0191"/>
    <w:rsid w:val="2B6D5165"/>
    <w:rsid w:val="2B713946"/>
    <w:rsid w:val="2B811C7C"/>
    <w:rsid w:val="2B817065"/>
    <w:rsid w:val="2B91315D"/>
    <w:rsid w:val="2BC359BB"/>
    <w:rsid w:val="2BC60DCE"/>
    <w:rsid w:val="2BF45F62"/>
    <w:rsid w:val="2C163734"/>
    <w:rsid w:val="2C224E3E"/>
    <w:rsid w:val="2C257A5A"/>
    <w:rsid w:val="2C2916B9"/>
    <w:rsid w:val="2C41055E"/>
    <w:rsid w:val="2C635433"/>
    <w:rsid w:val="2C7C3EDF"/>
    <w:rsid w:val="2CAE60F8"/>
    <w:rsid w:val="2CC2078E"/>
    <w:rsid w:val="2CEC1543"/>
    <w:rsid w:val="2CEF05DD"/>
    <w:rsid w:val="2D430F8A"/>
    <w:rsid w:val="2D695277"/>
    <w:rsid w:val="2D766C76"/>
    <w:rsid w:val="2D8A2292"/>
    <w:rsid w:val="2DA07999"/>
    <w:rsid w:val="2DC70642"/>
    <w:rsid w:val="2DE17F00"/>
    <w:rsid w:val="2E165C6D"/>
    <w:rsid w:val="2E374561"/>
    <w:rsid w:val="2E442BA5"/>
    <w:rsid w:val="2E475FFA"/>
    <w:rsid w:val="2E517C18"/>
    <w:rsid w:val="2E7C6894"/>
    <w:rsid w:val="2EB84E3A"/>
    <w:rsid w:val="2EC53704"/>
    <w:rsid w:val="2EF31501"/>
    <w:rsid w:val="2F0562AC"/>
    <w:rsid w:val="2F0C1936"/>
    <w:rsid w:val="2F202EB4"/>
    <w:rsid w:val="2F433B90"/>
    <w:rsid w:val="2F65547D"/>
    <w:rsid w:val="2F967E7B"/>
    <w:rsid w:val="2FAF45CB"/>
    <w:rsid w:val="2FCB2446"/>
    <w:rsid w:val="2FD7103B"/>
    <w:rsid w:val="2FDA5341"/>
    <w:rsid w:val="303D5733"/>
    <w:rsid w:val="30676C54"/>
    <w:rsid w:val="307E1760"/>
    <w:rsid w:val="30895C0F"/>
    <w:rsid w:val="308D1307"/>
    <w:rsid w:val="30A546BF"/>
    <w:rsid w:val="30D065A7"/>
    <w:rsid w:val="30DB7DCA"/>
    <w:rsid w:val="30DD0CC4"/>
    <w:rsid w:val="31877791"/>
    <w:rsid w:val="31CC64FE"/>
    <w:rsid w:val="31DA3D59"/>
    <w:rsid w:val="31E70342"/>
    <w:rsid w:val="3216448E"/>
    <w:rsid w:val="32250B75"/>
    <w:rsid w:val="322A7F39"/>
    <w:rsid w:val="32990C1B"/>
    <w:rsid w:val="32A63860"/>
    <w:rsid w:val="32BD6FFF"/>
    <w:rsid w:val="32D06D32"/>
    <w:rsid w:val="32EC38E1"/>
    <w:rsid w:val="32FC6139"/>
    <w:rsid w:val="33105774"/>
    <w:rsid w:val="33321433"/>
    <w:rsid w:val="334212B2"/>
    <w:rsid w:val="334C7BCC"/>
    <w:rsid w:val="337771AE"/>
    <w:rsid w:val="337A0CB4"/>
    <w:rsid w:val="337B70E8"/>
    <w:rsid w:val="33905C98"/>
    <w:rsid w:val="33D12052"/>
    <w:rsid w:val="33D150A0"/>
    <w:rsid w:val="33DF00CD"/>
    <w:rsid w:val="33EA6343"/>
    <w:rsid w:val="33F85446"/>
    <w:rsid w:val="33FC3171"/>
    <w:rsid w:val="340D366E"/>
    <w:rsid w:val="34246588"/>
    <w:rsid w:val="34855ACA"/>
    <w:rsid w:val="34D33CE9"/>
    <w:rsid w:val="34DC5BBF"/>
    <w:rsid w:val="350C19D9"/>
    <w:rsid w:val="351C625F"/>
    <w:rsid w:val="351F3659"/>
    <w:rsid w:val="353B7F7E"/>
    <w:rsid w:val="3542559A"/>
    <w:rsid w:val="35577E39"/>
    <w:rsid w:val="356537BB"/>
    <w:rsid w:val="35B77D36"/>
    <w:rsid w:val="35DA3A24"/>
    <w:rsid w:val="35ED121A"/>
    <w:rsid w:val="35ED6F5A"/>
    <w:rsid w:val="36083492"/>
    <w:rsid w:val="36413B5C"/>
    <w:rsid w:val="36755870"/>
    <w:rsid w:val="367F6C7D"/>
    <w:rsid w:val="369C036B"/>
    <w:rsid w:val="36C33119"/>
    <w:rsid w:val="3701326B"/>
    <w:rsid w:val="37465815"/>
    <w:rsid w:val="37663539"/>
    <w:rsid w:val="376E08C8"/>
    <w:rsid w:val="37773C20"/>
    <w:rsid w:val="37D72911"/>
    <w:rsid w:val="37DF2259"/>
    <w:rsid w:val="37E513AA"/>
    <w:rsid w:val="38244FB1"/>
    <w:rsid w:val="38337ED5"/>
    <w:rsid w:val="384F24A7"/>
    <w:rsid w:val="3856433E"/>
    <w:rsid w:val="386D5872"/>
    <w:rsid w:val="3870436D"/>
    <w:rsid w:val="387A7A58"/>
    <w:rsid w:val="388A34DF"/>
    <w:rsid w:val="388B16E1"/>
    <w:rsid w:val="389A5477"/>
    <w:rsid w:val="389E7953"/>
    <w:rsid w:val="38A86AD8"/>
    <w:rsid w:val="38C74FF5"/>
    <w:rsid w:val="38DB2CD7"/>
    <w:rsid w:val="38DD3F57"/>
    <w:rsid w:val="38DD7AB3"/>
    <w:rsid w:val="39400042"/>
    <w:rsid w:val="39882115"/>
    <w:rsid w:val="39965EB4"/>
    <w:rsid w:val="399D192E"/>
    <w:rsid w:val="39BD262D"/>
    <w:rsid w:val="39CD3A91"/>
    <w:rsid w:val="39D42485"/>
    <w:rsid w:val="3A1C0240"/>
    <w:rsid w:val="3A363B30"/>
    <w:rsid w:val="3A4D2A17"/>
    <w:rsid w:val="3A5E7E93"/>
    <w:rsid w:val="3A81336E"/>
    <w:rsid w:val="3A857298"/>
    <w:rsid w:val="3AA134F5"/>
    <w:rsid w:val="3ABE5729"/>
    <w:rsid w:val="3B084AF6"/>
    <w:rsid w:val="3B0954D1"/>
    <w:rsid w:val="3B1B2B15"/>
    <w:rsid w:val="3B4B3D92"/>
    <w:rsid w:val="3B627B33"/>
    <w:rsid w:val="3B635799"/>
    <w:rsid w:val="3B717B7C"/>
    <w:rsid w:val="3B7E1D56"/>
    <w:rsid w:val="3BC63897"/>
    <w:rsid w:val="3C052692"/>
    <w:rsid w:val="3C261771"/>
    <w:rsid w:val="3C492FF0"/>
    <w:rsid w:val="3C8666FD"/>
    <w:rsid w:val="3C8C13E6"/>
    <w:rsid w:val="3CA134EE"/>
    <w:rsid w:val="3CBC4D4F"/>
    <w:rsid w:val="3CC11CFC"/>
    <w:rsid w:val="3CCA770F"/>
    <w:rsid w:val="3CE10175"/>
    <w:rsid w:val="3CE81EAE"/>
    <w:rsid w:val="3D006B2E"/>
    <w:rsid w:val="3D2B094E"/>
    <w:rsid w:val="3D335FE8"/>
    <w:rsid w:val="3D64736B"/>
    <w:rsid w:val="3D672041"/>
    <w:rsid w:val="3D7430E6"/>
    <w:rsid w:val="3DBC09EF"/>
    <w:rsid w:val="3DD45F8E"/>
    <w:rsid w:val="3DF31B18"/>
    <w:rsid w:val="3E2E50EF"/>
    <w:rsid w:val="3E300685"/>
    <w:rsid w:val="3E3068D7"/>
    <w:rsid w:val="3E38021F"/>
    <w:rsid w:val="3E4D1237"/>
    <w:rsid w:val="3E642A25"/>
    <w:rsid w:val="3E902962"/>
    <w:rsid w:val="3E9B4876"/>
    <w:rsid w:val="3E9C44C5"/>
    <w:rsid w:val="3EA70720"/>
    <w:rsid w:val="3EA83714"/>
    <w:rsid w:val="3EB017C6"/>
    <w:rsid w:val="3EB313ED"/>
    <w:rsid w:val="3EBB1B53"/>
    <w:rsid w:val="3EDC442D"/>
    <w:rsid w:val="3F087854"/>
    <w:rsid w:val="3F400D9C"/>
    <w:rsid w:val="3F7647BE"/>
    <w:rsid w:val="3FA57642"/>
    <w:rsid w:val="3FB157F6"/>
    <w:rsid w:val="3FB33543"/>
    <w:rsid w:val="3FBA6E3D"/>
    <w:rsid w:val="3FDF3E25"/>
    <w:rsid w:val="3FEE61BC"/>
    <w:rsid w:val="400B33D4"/>
    <w:rsid w:val="400B75FC"/>
    <w:rsid w:val="40203F70"/>
    <w:rsid w:val="40234D32"/>
    <w:rsid w:val="404B17A6"/>
    <w:rsid w:val="407157D0"/>
    <w:rsid w:val="40730CFD"/>
    <w:rsid w:val="40C529A8"/>
    <w:rsid w:val="40CC011E"/>
    <w:rsid w:val="41234B24"/>
    <w:rsid w:val="41326E0A"/>
    <w:rsid w:val="41662976"/>
    <w:rsid w:val="416C40CA"/>
    <w:rsid w:val="421B1797"/>
    <w:rsid w:val="42573DF5"/>
    <w:rsid w:val="42D44852"/>
    <w:rsid w:val="42EF47FE"/>
    <w:rsid w:val="42F62E9D"/>
    <w:rsid w:val="42FC322C"/>
    <w:rsid w:val="42FE0D52"/>
    <w:rsid w:val="43146E27"/>
    <w:rsid w:val="434B4607"/>
    <w:rsid w:val="434D2213"/>
    <w:rsid w:val="43721D0F"/>
    <w:rsid w:val="43C825ED"/>
    <w:rsid w:val="43C850A0"/>
    <w:rsid w:val="43EA3654"/>
    <w:rsid w:val="440A3726"/>
    <w:rsid w:val="442230BD"/>
    <w:rsid w:val="44270242"/>
    <w:rsid w:val="445D2A18"/>
    <w:rsid w:val="446C43E1"/>
    <w:rsid w:val="446D5994"/>
    <w:rsid w:val="44B00772"/>
    <w:rsid w:val="44BD77CF"/>
    <w:rsid w:val="44C055E0"/>
    <w:rsid w:val="44CB1FDB"/>
    <w:rsid w:val="44CB55AC"/>
    <w:rsid w:val="44DB7445"/>
    <w:rsid w:val="451D704F"/>
    <w:rsid w:val="45252F0E"/>
    <w:rsid w:val="454B0CB9"/>
    <w:rsid w:val="45AC15F8"/>
    <w:rsid w:val="45B147A1"/>
    <w:rsid w:val="45B97DC2"/>
    <w:rsid w:val="45BB06B5"/>
    <w:rsid w:val="45F25328"/>
    <w:rsid w:val="46204D4E"/>
    <w:rsid w:val="464C4931"/>
    <w:rsid w:val="46517D32"/>
    <w:rsid w:val="46633F77"/>
    <w:rsid w:val="46772BA7"/>
    <w:rsid w:val="46AE2815"/>
    <w:rsid w:val="46B02048"/>
    <w:rsid w:val="47060B1D"/>
    <w:rsid w:val="47174AD8"/>
    <w:rsid w:val="471766D1"/>
    <w:rsid w:val="471A45C8"/>
    <w:rsid w:val="4723347D"/>
    <w:rsid w:val="473647FA"/>
    <w:rsid w:val="475A1EF1"/>
    <w:rsid w:val="475E2707"/>
    <w:rsid w:val="47655843"/>
    <w:rsid w:val="47723ABC"/>
    <w:rsid w:val="4799729B"/>
    <w:rsid w:val="47F60B91"/>
    <w:rsid w:val="481E4D54"/>
    <w:rsid w:val="48627412"/>
    <w:rsid w:val="48D662CD"/>
    <w:rsid w:val="48E94252"/>
    <w:rsid w:val="49064A92"/>
    <w:rsid w:val="491165E9"/>
    <w:rsid w:val="49227764"/>
    <w:rsid w:val="493F20C4"/>
    <w:rsid w:val="495D26A5"/>
    <w:rsid w:val="49635DB3"/>
    <w:rsid w:val="4970701E"/>
    <w:rsid w:val="497F69FF"/>
    <w:rsid w:val="499651C3"/>
    <w:rsid w:val="49B05A02"/>
    <w:rsid w:val="49D519E6"/>
    <w:rsid w:val="49D92107"/>
    <w:rsid w:val="4A595DB8"/>
    <w:rsid w:val="4A8757D6"/>
    <w:rsid w:val="4A8A7D2D"/>
    <w:rsid w:val="4ACB4A99"/>
    <w:rsid w:val="4AD34E0D"/>
    <w:rsid w:val="4AD96416"/>
    <w:rsid w:val="4B215F25"/>
    <w:rsid w:val="4B3D3099"/>
    <w:rsid w:val="4B44734B"/>
    <w:rsid w:val="4B487A36"/>
    <w:rsid w:val="4B7F0E9E"/>
    <w:rsid w:val="4BA032C9"/>
    <w:rsid w:val="4BAB3A41"/>
    <w:rsid w:val="4BBE31C1"/>
    <w:rsid w:val="4C020B86"/>
    <w:rsid w:val="4C4A3198"/>
    <w:rsid w:val="4C8364AD"/>
    <w:rsid w:val="4C955487"/>
    <w:rsid w:val="4CCB2C82"/>
    <w:rsid w:val="4D3D5FF4"/>
    <w:rsid w:val="4D3E63D1"/>
    <w:rsid w:val="4D4914AD"/>
    <w:rsid w:val="4D907392"/>
    <w:rsid w:val="4D933B99"/>
    <w:rsid w:val="4DC332C4"/>
    <w:rsid w:val="4DD03C33"/>
    <w:rsid w:val="4DD97ED3"/>
    <w:rsid w:val="4DE53F63"/>
    <w:rsid w:val="4DF87504"/>
    <w:rsid w:val="4DFA0CB0"/>
    <w:rsid w:val="4DFC19D0"/>
    <w:rsid w:val="4E1827A2"/>
    <w:rsid w:val="4E1A6C5C"/>
    <w:rsid w:val="4E353A96"/>
    <w:rsid w:val="4E404914"/>
    <w:rsid w:val="4E4F2DA9"/>
    <w:rsid w:val="4E5217C4"/>
    <w:rsid w:val="4E524648"/>
    <w:rsid w:val="4E617BF4"/>
    <w:rsid w:val="4E742810"/>
    <w:rsid w:val="4E851DBA"/>
    <w:rsid w:val="4EB04235"/>
    <w:rsid w:val="4EB50C39"/>
    <w:rsid w:val="4EBA6C31"/>
    <w:rsid w:val="4F0973FC"/>
    <w:rsid w:val="4F584D17"/>
    <w:rsid w:val="4F8D1BA3"/>
    <w:rsid w:val="4FC275AB"/>
    <w:rsid w:val="50071B02"/>
    <w:rsid w:val="50153F69"/>
    <w:rsid w:val="50347317"/>
    <w:rsid w:val="50573F8B"/>
    <w:rsid w:val="50597F0F"/>
    <w:rsid w:val="50602F8F"/>
    <w:rsid w:val="50C22134"/>
    <w:rsid w:val="50DD28EE"/>
    <w:rsid w:val="50ED552D"/>
    <w:rsid w:val="517A638F"/>
    <w:rsid w:val="518A6A6A"/>
    <w:rsid w:val="51AF590D"/>
    <w:rsid w:val="520707BE"/>
    <w:rsid w:val="52100AA2"/>
    <w:rsid w:val="522272BA"/>
    <w:rsid w:val="52246277"/>
    <w:rsid w:val="52326C6A"/>
    <w:rsid w:val="52765D0B"/>
    <w:rsid w:val="527F3531"/>
    <w:rsid w:val="52B0523E"/>
    <w:rsid w:val="52CB6777"/>
    <w:rsid w:val="52D1238C"/>
    <w:rsid w:val="52E02B6B"/>
    <w:rsid w:val="52F6209F"/>
    <w:rsid w:val="52F8611C"/>
    <w:rsid w:val="52FE4D9E"/>
    <w:rsid w:val="531952F5"/>
    <w:rsid w:val="531D5224"/>
    <w:rsid w:val="539E2CF1"/>
    <w:rsid w:val="53CA4C80"/>
    <w:rsid w:val="54066B2B"/>
    <w:rsid w:val="540713B7"/>
    <w:rsid w:val="54645FD7"/>
    <w:rsid w:val="547A48F8"/>
    <w:rsid w:val="547E6642"/>
    <w:rsid w:val="547F7CFD"/>
    <w:rsid w:val="549760C7"/>
    <w:rsid w:val="54A54485"/>
    <w:rsid w:val="54BA617A"/>
    <w:rsid w:val="54E0748A"/>
    <w:rsid w:val="54FC0EFD"/>
    <w:rsid w:val="551770F5"/>
    <w:rsid w:val="55474BCF"/>
    <w:rsid w:val="55560EC1"/>
    <w:rsid w:val="556B321E"/>
    <w:rsid w:val="556D05A2"/>
    <w:rsid w:val="556D6764"/>
    <w:rsid w:val="55762250"/>
    <w:rsid w:val="558C7651"/>
    <w:rsid w:val="55A018F1"/>
    <w:rsid w:val="55B77D28"/>
    <w:rsid w:val="55C441CE"/>
    <w:rsid w:val="55F35995"/>
    <w:rsid w:val="55F4227B"/>
    <w:rsid w:val="56063441"/>
    <w:rsid w:val="562A6837"/>
    <w:rsid w:val="563F5863"/>
    <w:rsid w:val="56446F6C"/>
    <w:rsid w:val="56466840"/>
    <w:rsid w:val="5667620D"/>
    <w:rsid w:val="56C05816"/>
    <w:rsid w:val="56F26EB8"/>
    <w:rsid w:val="572172AD"/>
    <w:rsid w:val="57363518"/>
    <w:rsid w:val="573C7C43"/>
    <w:rsid w:val="5750335B"/>
    <w:rsid w:val="57577E82"/>
    <w:rsid w:val="576008E1"/>
    <w:rsid w:val="57AE6D93"/>
    <w:rsid w:val="57B26DB0"/>
    <w:rsid w:val="57E63A57"/>
    <w:rsid w:val="57EF6C9D"/>
    <w:rsid w:val="580953D4"/>
    <w:rsid w:val="581A7329"/>
    <w:rsid w:val="58264FF7"/>
    <w:rsid w:val="584B0585"/>
    <w:rsid w:val="584B7F23"/>
    <w:rsid w:val="58EB7B73"/>
    <w:rsid w:val="591B2856"/>
    <w:rsid w:val="592941F7"/>
    <w:rsid w:val="59314D7C"/>
    <w:rsid w:val="59401E21"/>
    <w:rsid w:val="5952091B"/>
    <w:rsid w:val="59600CDB"/>
    <w:rsid w:val="597A4556"/>
    <w:rsid w:val="598C3104"/>
    <w:rsid w:val="599B3347"/>
    <w:rsid w:val="59BD0F58"/>
    <w:rsid w:val="59D64C95"/>
    <w:rsid w:val="59E0420C"/>
    <w:rsid w:val="5A296BA4"/>
    <w:rsid w:val="5A37379F"/>
    <w:rsid w:val="5A5F25C6"/>
    <w:rsid w:val="5AB6079F"/>
    <w:rsid w:val="5AE6440F"/>
    <w:rsid w:val="5AEF28C2"/>
    <w:rsid w:val="5AF70A51"/>
    <w:rsid w:val="5B0C79B8"/>
    <w:rsid w:val="5B6065F6"/>
    <w:rsid w:val="5B870812"/>
    <w:rsid w:val="5B8901B1"/>
    <w:rsid w:val="5B950580"/>
    <w:rsid w:val="5BBC1352"/>
    <w:rsid w:val="5BE3199A"/>
    <w:rsid w:val="5BEB0351"/>
    <w:rsid w:val="5C013209"/>
    <w:rsid w:val="5C2825EE"/>
    <w:rsid w:val="5C4D48E8"/>
    <w:rsid w:val="5C754D1C"/>
    <w:rsid w:val="5C7C3148"/>
    <w:rsid w:val="5C7C3304"/>
    <w:rsid w:val="5D0336DD"/>
    <w:rsid w:val="5D0946FC"/>
    <w:rsid w:val="5D186A5C"/>
    <w:rsid w:val="5D1B1114"/>
    <w:rsid w:val="5DB669A1"/>
    <w:rsid w:val="5DB74186"/>
    <w:rsid w:val="5DDB4CF7"/>
    <w:rsid w:val="5DDE3F43"/>
    <w:rsid w:val="5DE63898"/>
    <w:rsid w:val="5E0771FD"/>
    <w:rsid w:val="5E0A5534"/>
    <w:rsid w:val="5E305A31"/>
    <w:rsid w:val="5E483371"/>
    <w:rsid w:val="5E4D3659"/>
    <w:rsid w:val="5E5C4D2A"/>
    <w:rsid w:val="5E66786E"/>
    <w:rsid w:val="5E702B14"/>
    <w:rsid w:val="5E7A2FCE"/>
    <w:rsid w:val="5E881744"/>
    <w:rsid w:val="5EA467FA"/>
    <w:rsid w:val="5EB366A7"/>
    <w:rsid w:val="5F0B4ACB"/>
    <w:rsid w:val="5F221D65"/>
    <w:rsid w:val="5F517C97"/>
    <w:rsid w:val="5F5528E3"/>
    <w:rsid w:val="5F667893"/>
    <w:rsid w:val="5F6E053D"/>
    <w:rsid w:val="5FDC1546"/>
    <w:rsid w:val="5FFF5285"/>
    <w:rsid w:val="60285208"/>
    <w:rsid w:val="602C2F4B"/>
    <w:rsid w:val="60312ADF"/>
    <w:rsid w:val="605B155E"/>
    <w:rsid w:val="60A47D6E"/>
    <w:rsid w:val="60C90799"/>
    <w:rsid w:val="60D33507"/>
    <w:rsid w:val="60D96817"/>
    <w:rsid w:val="61186D8B"/>
    <w:rsid w:val="612C3098"/>
    <w:rsid w:val="613D064B"/>
    <w:rsid w:val="616518F8"/>
    <w:rsid w:val="617C1E33"/>
    <w:rsid w:val="617E5022"/>
    <w:rsid w:val="617E6AB1"/>
    <w:rsid w:val="61A12C7F"/>
    <w:rsid w:val="61CC6114"/>
    <w:rsid w:val="62810D49"/>
    <w:rsid w:val="628A03FC"/>
    <w:rsid w:val="62C67D91"/>
    <w:rsid w:val="62F52A44"/>
    <w:rsid w:val="632638A8"/>
    <w:rsid w:val="632871E1"/>
    <w:rsid w:val="63290EA2"/>
    <w:rsid w:val="63316ACA"/>
    <w:rsid w:val="63977DC5"/>
    <w:rsid w:val="63B855B6"/>
    <w:rsid w:val="63B87329"/>
    <w:rsid w:val="63C11229"/>
    <w:rsid w:val="642F34C1"/>
    <w:rsid w:val="646D69EC"/>
    <w:rsid w:val="648C3D82"/>
    <w:rsid w:val="649137B0"/>
    <w:rsid w:val="649E3CEB"/>
    <w:rsid w:val="64BC415B"/>
    <w:rsid w:val="64CC7F22"/>
    <w:rsid w:val="64CF66AD"/>
    <w:rsid w:val="6570115F"/>
    <w:rsid w:val="65A75FC0"/>
    <w:rsid w:val="65C276DD"/>
    <w:rsid w:val="65D26342"/>
    <w:rsid w:val="65DD6A95"/>
    <w:rsid w:val="65EF7D37"/>
    <w:rsid w:val="65F27CFC"/>
    <w:rsid w:val="66013844"/>
    <w:rsid w:val="669A524E"/>
    <w:rsid w:val="66B035B6"/>
    <w:rsid w:val="66E3632D"/>
    <w:rsid w:val="67277FC8"/>
    <w:rsid w:val="673D2328"/>
    <w:rsid w:val="6744001D"/>
    <w:rsid w:val="676905E0"/>
    <w:rsid w:val="676D4FE8"/>
    <w:rsid w:val="677378C8"/>
    <w:rsid w:val="677B7C5B"/>
    <w:rsid w:val="67A1421E"/>
    <w:rsid w:val="67C87578"/>
    <w:rsid w:val="67D671A0"/>
    <w:rsid w:val="67E82146"/>
    <w:rsid w:val="67EC8225"/>
    <w:rsid w:val="67FA17FD"/>
    <w:rsid w:val="68024D91"/>
    <w:rsid w:val="68817BAC"/>
    <w:rsid w:val="689618A9"/>
    <w:rsid w:val="68E27249"/>
    <w:rsid w:val="69083E29"/>
    <w:rsid w:val="69395840"/>
    <w:rsid w:val="693E784B"/>
    <w:rsid w:val="69526A63"/>
    <w:rsid w:val="699343FB"/>
    <w:rsid w:val="69981651"/>
    <w:rsid w:val="69B54D18"/>
    <w:rsid w:val="69C266CE"/>
    <w:rsid w:val="6A0F2D07"/>
    <w:rsid w:val="6A331379"/>
    <w:rsid w:val="6A366774"/>
    <w:rsid w:val="6A6D6639"/>
    <w:rsid w:val="6A99742E"/>
    <w:rsid w:val="6AD572A3"/>
    <w:rsid w:val="6B345EED"/>
    <w:rsid w:val="6B40425A"/>
    <w:rsid w:val="6B492F16"/>
    <w:rsid w:val="6B4E060B"/>
    <w:rsid w:val="6B985938"/>
    <w:rsid w:val="6B9D0650"/>
    <w:rsid w:val="6BA50055"/>
    <w:rsid w:val="6BE65787"/>
    <w:rsid w:val="6BFF4815"/>
    <w:rsid w:val="6C0076FE"/>
    <w:rsid w:val="6C2170AC"/>
    <w:rsid w:val="6C321AB5"/>
    <w:rsid w:val="6C453A79"/>
    <w:rsid w:val="6C515AE7"/>
    <w:rsid w:val="6C6D154A"/>
    <w:rsid w:val="6C847165"/>
    <w:rsid w:val="6CD14E74"/>
    <w:rsid w:val="6CF7043C"/>
    <w:rsid w:val="6D1C4347"/>
    <w:rsid w:val="6D2722A6"/>
    <w:rsid w:val="6D637229"/>
    <w:rsid w:val="6D691AB6"/>
    <w:rsid w:val="6D7974E8"/>
    <w:rsid w:val="6D9F6A54"/>
    <w:rsid w:val="6DA93E2C"/>
    <w:rsid w:val="6DE25D78"/>
    <w:rsid w:val="6DEB6935"/>
    <w:rsid w:val="6DF8732E"/>
    <w:rsid w:val="6DFF3A78"/>
    <w:rsid w:val="6E3117E8"/>
    <w:rsid w:val="6E535B46"/>
    <w:rsid w:val="6E896B2E"/>
    <w:rsid w:val="6ECC44AB"/>
    <w:rsid w:val="6EF235B1"/>
    <w:rsid w:val="6F265009"/>
    <w:rsid w:val="6F8412A5"/>
    <w:rsid w:val="6F9147EA"/>
    <w:rsid w:val="6F980CE0"/>
    <w:rsid w:val="6FBA6110"/>
    <w:rsid w:val="6FBB6602"/>
    <w:rsid w:val="6FE640E5"/>
    <w:rsid w:val="6FFA58DA"/>
    <w:rsid w:val="701F57BF"/>
    <w:rsid w:val="7040659E"/>
    <w:rsid w:val="70BF5866"/>
    <w:rsid w:val="70CB5E68"/>
    <w:rsid w:val="70E50CCA"/>
    <w:rsid w:val="70F172EE"/>
    <w:rsid w:val="70F359CC"/>
    <w:rsid w:val="71263EA9"/>
    <w:rsid w:val="715B249B"/>
    <w:rsid w:val="71632544"/>
    <w:rsid w:val="716F0EE9"/>
    <w:rsid w:val="71840FD7"/>
    <w:rsid w:val="71927E67"/>
    <w:rsid w:val="720132FA"/>
    <w:rsid w:val="72224A54"/>
    <w:rsid w:val="72524F5D"/>
    <w:rsid w:val="727B1B10"/>
    <w:rsid w:val="729629C4"/>
    <w:rsid w:val="72DA0146"/>
    <w:rsid w:val="72DD4E02"/>
    <w:rsid w:val="731D1212"/>
    <w:rsid w:val="733B0D03"/>
    <w:rsid w:val="733D31FE"/>
    <w:rsid w:val="734F6DDC"/>
    <w:rsid w:val="73612AB3"/>
    <w:rsid w:val="737003F2"/>
    <w:rsid w:val="73856327"/>
    <w:rsid w:val="73932031"/>
    <w:rsid w:val="73974727"/>
    <w:rsid w:val="73A44F2A"/>
    <w:rsid w:val="73B70925"/>
    <w:rsid w:val="73BA3226"/>
    <w:rsid w:val="73BC5AB5"/>
    <w:rsid w:val="73BE2705"/>
    <w:rsid w:val="73F03CF8"/>
    <w:rsid w:val="742E508B"/>
    <w:rsid w:val="742F4960"/>
    <w:rsid w:val="74341F76"/>
    <w:rsid w:val="74374E5D"/>
    <w:rsid w:val="74602D6B"/>
    <w:rsid w:val="749626D9"/>
    <w:rsid w:val="74CC28D5"/>
    <w:rsid w:val="74F23AE6"/>
    <w:rsid w:val="75043CCE"/>
    <w:rsid w:val="752B4D2A"/>
    <w:rsid w:val="754E7A99"/>
    <w:rsid w:val="7573358F"/>
    <w:rsid w:val="758331B5"/>
    <w:rsid w:val="758B4A63"/>
    <w:rsid w:val="759848DC"/>
    <w:rsid w:val="75A3613A"/>
    <w:rsid w:val="75B0387E"/>
    <w:rsid w:val="75D31553"/>
    <w:rsid w:val="76496FBD"/>
    <w:rsid w:val="765863F0"/>
    <w:rsid w:val="76692C54"/>
    <w:rsid w:val="766F6417"/>
    <w:rsid w:val="769401A9"/>
    <w:rsid w:val="76E51514"/>
    <w:rsid w:val="76F7541E"/>
    <w:rsid w:val="771441E8"/>
    <w:rsid w:val="77210095"/>
    <w:rsid w:val="772B478E"/>
    <w:rsid w:val="776C3807"/>
    <w:rsid w:val="77B34DAA"/>
    <w:rsid w:val="77C16289"/>
    <w:rsid w:val="77DA29A9"/>
    <w:rsid w:val="77DE0738"/>
    <w:rsid w:val="77DE46D3"/>
    <w:rsid w:val="77E42AB3"/>
    <w:rsid w:val="782922AC"/>
    <w:rsid w:val="782B5C96"/>
    <w:rsid w:val="78414C61"/>
    <w:rsid w:val="78484242"/>
    <w:rsid w:val="784F044B"/>
    <w:rsid w:val="785B52D1"/>
    <w:rsid w:val="78833532"/>
    <w:rsid w:val="789C4ED1"/>
    <w:rsid w:val="78A27DF6"/>
    <w:rsid w:val="78CE4A5C"/>
    <w:rsid w:val="78DD0E2E"/>
    <w:rsid w:val="78E0730F"/>
    <w:rsid w:val="7950384A"/>
    <w:rsid w:val="79550932"/>
    <w:rsid w:val="796A42B2"/>
    <w:rsid w:val="796E3E18"/>
    <w:rsid w:val="79A32E97"/>
    <w:rsid w:val="79CD0EA3"/>
    <w:rsid w:val="7A097A01"/>
    <w:rsid w:val="7A262361"/>
    <w:rsid w:val="7A2E4BCF"/>
    <w:rsid w:val="7A61466A"/>
    <w:rsid w:val="7A6D4434"/>
    <w:rsid w:val="7AAF67FA"/>
    <w:rsid w:val="7AC12FC6"/>
    <w:rsid w:val="7AC94B56"/>
    <w:rsid w:val="7AE71D9C"/>
    <w:rsid w:val="7B03048A"/>
    <w:rsid w:val="7B3B008E"/>
    <w:rsid w:val="7B524F03"/>
    <w:rsid w:val="7B52634C"/>
    <w:rsid w:val="7B5A49B8"/>
    <w:rsid w:val="7B5D64AE"/>
    <w:rsid w:val="7B6A4F95"/>
    <w:rsid w:val="7B711D02"/>
    <w:rsid w:val="7B9A1700"/>
    <w:rsid w:val="7BAC3AE9"/>
    <w:rsid w:val="7BE91749"/>
    <w:rsid w:val="7BF265BC"/>
    <w:rsid w:val="7C094F3E"/>
    <w:rsid w:val="7C1C7EBF"/>
    <w:rsid w:val="7C321947"/>
    <w:rsid w:val="7C69166D"/>
    <w:rsid w:val="7D023944"/>
    <w:rsid w:val="7D623E07"/>
    <w:rsid w:val="7D740759"/>
    <w:rsid w:val="7D7D673C"/>
    <w:rsid w:val="7DAC4B9D"/>
    <w:rsid w:val="7DB9052F"/>
    <w:rsid w:val="7DCA57C0"/>
    <w:rsid w:val="7E071B22"/>
    <w:rsid w:val="7E3254D7"/>
    <w:rsid w:val="7E350DAB"/>
    <w:rsid w:val="7E3C65F7"/>
    <w:rsid w:val="7E8145B5"/>
    <w:rsid w:val="7E9213BD"/>
    <w:rsid w:val="7EA1231C"/>
    <w:rsid w:val="7F080C4D"/>
    <w:rsid w:val="7F127358"/>
    <w:rsid w:val="7F3B4503"/>
    <w:rsid w:val="7F590116"/>
    <w:rsid w:val="7F6302DC"/>
    <w:rsid w:val="7F7F0D70"/>
    <w:rsid w:val="7FBC555C"/>
    <w:rsid w:val="7FC248DA"/>
    <w:rsid w:val="7FFFB302"/>
    <w:rsid w:val="87FDF70B"/>
    <w:rsid w:val="9BFF1BA4"/>
    <w:rsid w:val="AF7D9FB7"/>
    <w:rsid w:val="BF943FE7"/>
    <w:rsid w:val="FA3DAE54"/>
    <w:rsid w:val="FD95528C"/>
    <w:rsid w:val="FEDF0FC5"/>
    <w:rsid w:val="FF3F2782"/>
    <w:rsid w:val="FFF407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Autospacing="0" w:afterAutospacing="0" w:line="560" w:lineRule="exact"/>
      <w:ind w:firstLine="0" w:firstLineChars="0"/>
      <w:outlineLvl w:val="0"/>
    </w:pPr>
    <w:rPr>
      <w:rFonts w:ascii="Times New Roman" w:hAnsi="Times New Roman" w:eastAsia="黑体"/>
      <w:kern w:val="44"/>
      <w:sz w:val="44"/>
    </w:rPr>
  </w:style>
  <w:style w:type="paragraph" w:styleId="5">
    <w:name w:val="heading 2"/>
    <w:basedOn w:val="1"/>
    <w:next w:val="1"/>
    <w:unhideWhenUsed/>
    <w:qFormat/>
    <w:uiPriority w:val="0"/>
    <w:pPr>
      <w:keepNext/>
      <w:keepLines/>
      <w:spacing w:beforeLines="0" w:beforeAutospacing="0" w:afterAutospacing="0" w:line="600" w:lineRule="exact"/>
      <w:ind w:firstLine="872" w:firstLineChars="200"/>
      <w:outlineLvl w:val="1"/>
    </w:pPr>
    <w:rPr>
      <w:rFonts w:eastAsia="黑体"/>
    </w:rPr>
  </w:style>
  <w:style w:type="paragraph" w:styleId="6">
    <w:name w:val="heading 3"/>
    <w:basedOn w:val="1"/>
    <w:next w:val="1"/>
    <w:unhideWhenUsed/>
    <w:qFormat/>
    <w:uiPriority w:val="0"/>
    <w:pPr>
      <w:keepNext/>
      <w:keepLines/>
      <w:spacing w:beforeLines="0" w:beforeAutospacing="0" w:afterLines="0" w:afterAutospacing="0" w:line="600" w:lineRule="exact"/>
      <w:ind w:firstLine="872" w:firstLineChars="200"/>
      <w:outlineLvl w:val="2"/>
    </w:pPr>
    <w:rPr>
      <w:rFonts w:eastAsia="楷体"/>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560"/>
    </w:pPr>
    <w:rPr>
      <w:rFonts w:ascii="Times New Roman" w:hAnsi="Times New Roman"/>
      <w:szCs w:val="22"/>
    </w:rPr>
  </w:style>
  <w:style w:type="paragraph" w:customStyle="1" w:styleId="3">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7">
    <w:name w:val="Normal Indent"/>
    <w:basedOn w:val="1"/>
    <w:unhideWhenUsed/>
    <w:qFormat/>
    <w:uiPriority w:val="99"/>
    <w:pPr>
      <w:ind w:firstLine="420" w:firstLineChars="200"/>
    </w:pPr>
    <w:rPr>
      <w:rFonts w:ascii="Times New Roman" w:hAnsi="Times New Roman" w:eastAsia="仿宋_GB2312" w:cs="Arial"/>
      <w:snapToGrid w:val="0"/>
      <w:color w:val="000000"/>
      <w:kern w:val="0"/>
      <w:szCs w:val="21"/>
    </w:rPr>
  </w:style>
  <w:style w:type="paragraph" w:styleId="8">
    <w:name w:val="annotation text"/>
    <w:basedOn w:val="1"/>
    <w:unhideWhenUsed/>
    <w:qFormat/>
    <w:uiPriority w:val="99"/>
    <w:pPr>
      <w:snapToGrid/>
      <w:spacing w:before="0" w:after="0" w:line="240" w:lineRule="auto"/>
      <w:ind w:firstLine="640" w:firstLineChars="200"/>
    </w:pPr>
    <w:rPr>
      <w:rFonts w:ascii="Times New Roman" w:hAnsi="Times New Roman" w:eastAsia="仿宋" w:cs="Times New Roman"/>
      <w:color w:val="auto"/>
      <w:sz w:val="32"/>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1"/>
    <w:unhideWhenUsed/>
    <w:qFormat/>
    <w:uiPriority w:val="99"/>
    <w:pPr>
      <w:ind w:firstLine="420" w:firstLineChars="200"/>
    </w:pPr>
    <w:rPr>
      <w:rFonts w:ascii="Calibri" w:hAnsi="Calibri" w:eastAsia="宋体" w:cs="Times New Roman"/>
    </w:rPr>
  </w:style>
  <w:style w:type="paragraph" w:styleId="11">
    <w:name w:val="Body Text First Indent"/>
    <w:basedOn w:val="2"/>
    <w:qFormat/>
    <w:uiPriority w:val="0"/>
    <w:pPr>
      <w:ind w:firstLine="420" w:firstLineChars="100"/>
    </w:pPr>
    <w:rPr>
      <w:rFonts w:ascii="Times New Roman" w:hAnsi="Times New Roman" w:eastAsia="宋体" w:cs="Times New Roman"/>
    </w:rPr>
  </w:style>
  <w:style w:type="paragraph" w:styleId="12">
    <w:name w:val="toc 5"/>
    <w:basedOn w:val="1"/>
    <w:next w:val="1"/>
    <w:qFormat/>
    <w:uiPriority w:val="99"/>
    <w:pPr>
      <w:ind w:left="1680" w:leftChars="8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Cs w:val="24"/>
    </w:rPr>
  </w:style>
  <w:style w:type="paragraph" w:styleId="18">
    <w:name w:val="annotation subject"/>
    <w:basedOn w:val="8"/>
    <w:next w:val="1"/>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缩进）"/>
    <w:basedOn w:val="1"/>
    <w:qFormat/>
    <w:uiPriority w:val="0"/>
    <w:pPr>
      <w:spacing w:before="156" w:after="156"/>
    </w:pPr>
  </w:style>
  <w:style w:type="paragraph" w:customStyle="1" w:styleId="24">
    <w:name w:val="正文1"/>
    <w:basedOn w:val="1"/>
    <w:qFormat/>
    <w:uiPriority w:val="0"/>
    <w:pPr>
      <w:spacing w:line="360" w:lineRule="auto"/>
      <w:ind w:firstLine="480" w:firstLineChars="200"/>
    </w:pPr>
    <w:rPr>
      <w:sz w:val="24"/>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Body text|3"/>
    <w:basedOn w:val="1"/>
    <w:qFormat/>
    <w:uiPriority w:val="0"/>
    <w:pPr>
      <w:widowControl w:val="0"/>
      <w:shd w:val="clear" w:color="auto" w:fill="auto"/>
      <w:spacing w:after="70"/>
      <w:ind w:firstLine="340"/>
    </w:pPr>
    <w:rPr>
      <w:u w:val="none"/>
      <w:shd w:val="clear" w:color="auto" w:fill="auto"/>
      <w:lang w:val="zh-TW" w:eastAsia="zh-TW" w:bidi="zh-TW"/>
    </w:rPr>
  </w:style>
  <w:style w:type="character" w:customStyle="1" w:styleId="28">
    <w:name w:val="font01"/>
    <w:basedOn w:val="21"/>
    <w:qFormat/>
    <w:uiPriority w:val="0"/>
    <w:rPr>
      <w:rFonts w:hint="eastAsia" w:ascii="宋体" w:hAnsi="宋体" w:eastAsia="宋体" w:cs="宋体"/>
      <w:color w:val="000000"/>
      <w:sz w:val="22"/>
      <w:szCs w:val="22"/>
      <w:u w:val="none"/>
    </w:rPr>
  </w:style>
  <w:style w:type="character" w:customStyle="1" w:styleId="29">
    <w:name w:val="font21"/>
    <w:basedOn w:val="21"/>
    <w:qFormat/>
    <w:uiPriority w:val="0"/>
    <w:rPr>
      <w:rFonts w:hint="eastAsia" w:ascii="宋体" w:hAnsi="宋体" w:eastAsia="宋体" w:cs="宋体"/>
      <w:color w:val="000000"/>
      <w:sz w:val="22"/>
      <w:szCs w:val="22"/>
      <w:u w:val="none"/>
    </w:rPr>
  </w:style>
  <w:style w:type="character" w:customStyle="1" w:styleId="30">
    <w:name w:val="font31"/>
    <w:basedOn w:val="2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15</Pages>
  <Words>6759</Words>
  <Characters>7199</Characters>
  <Lines>5</Lines>
  <Paragraphs>1</Paragraphs>
  <TotalTime>30</TotalTime>
  <ScaleCrop>false</ScaleCrop>
  <LinksUpToDate>false</LinksUpToDate>
  <CharactersWithSpaces>7486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2012-05-19T23:50:00Z</dcterms:created>
  <dc:creator>Sun</dc:creator>
  <cp:lastModifiedBy>liu</cp:lastModifiedBy>
  <cp:lastPrinted>2012-05-20T00:25:00Z</cp:lastPrinted>
  <dcterms:modified xsi:type="dcterms:W3CDTF">2025-05-21T08:47:03Z</dcterms:modified>
  <dc:title>绩效评价报告编写提纲</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4AD487496D1F4D02BA0A5A4DA2AA49C8_13</vt:lpwstr>
  </property>
</Properties>
</file>