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51D6D">
      <w:pPr>
        <w:autoSpaceDE/>
        <w:autoSpaceDN/>
        <w:adjustRightInd w:val="0"/>
        <w:snapToGrid w:val="0"/>
        <w:rPr>
          <w:rFonts w:hint="default" w:ascii="Times New Roman" w:hAnsi="Times New Roman" w:eastAsia="方正小标宋简体" w:cs="Times New Roman"/>
          <w:b/>
          <w:sz w:val="44"/>
          <w:szCs w:val="44"/>
          <w:lang w:val="en-US"/>
        </w:rPr>
      </w:pPr>
    </w:p>
    <w:p w14:paraId="246257EF">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auto"/>
        <w:rPr>
          <w:rFonts w:hint="default" w:ascii="Times New Roman" w:hAnsi="Times New Roman" w:eastAsia="小标宋" w:cs="Times New Roman"/>
          <w:bCs/>
          <w:sz w:val="44"/>
          <w:szCs w:val="44"/>
          <w:lang w:val="en-US" w:eastAsia="zh-CN"/>
        </w:rPr>
      </w:pPr>
      <w:r>
        <w:rPr>
          <w:rFonts w:hint="default" w:ascii="Times New Roman" w:hAnsi="Times New Roman" w:eastAsia="小标宋" w:cs="Times New Roman"/>
          <w:bCs/>
          <w:sz w:val="44"/>
          <w:szCs w:val="44"/>
          <w:lang w:val="en-US" w:eastAsia="zh-CN"/>
        </w:rPr>
        <w:t>202</w:t>
      </w:r>
      <w:r>
        <w:rPr>
          <w:rFonts w:hint="eastAsia" w:ascii="Times New Roman" w:hAnsi="Times New Roman" w:eastAsia="小标宋" w:cs="Times New Roman"/>
          <w:bCs/>
          <w:sz w:val="44"/>
          <w:szCs w:val="44"/>
          <w:lang w:val="en-US" w:eastAsia="zh-CN"/>
        </w:rPr>
        <w:t>3</w:t>
      </w:r>
      <w:r>
        <w:rPr>
          <w:rFonts w:hint="default" w:ascii="Times New Roman" w:hAnsi="Times New Roman" w:eastAsia="小标宋" w:cs="Times New Roman"/>
          <w:bCs/>
          <w:sz w:val="44"/>
          <w:szCs w:val="44"/>
          <w:lang w:val="en-US" w:eastAsia="zh-CN"/>
        </w:rPr>
        <w:t>年永州市公共服务信息化运维</w:t>
      </w:r>
    </w:p>
    <w:p w14:paraId="6FED0A9C">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auto"/>
        <w:rPr>
          <w:rFonts w:hint="default" w:ascii="Times New Roman" w:hAnsi="Times New Roman" w:eastAsia="小标宋" w:cs="Times New Roman"/>
          <w:bCs/>
          <w:sz w:val="44"/>
          <w:szCs w:val="44"/>
          <w:lang w:val="en-US"/>
        </w:rPr>
      </w:pPr>
      <w:r>
        <w:rPr>
          <w:rFonts w:hint="default" w:ascii="Times New Roman" w:hAnsi="Times New Roman" w:eastAsia="小标宋" w:cs="Times New Roman"/>
          <w:bCs/>
          <w:sz w:val="44"/>
          <w:szCs w:val="44"/>
          <w:lang w:val="en-US" w:eastAsia="zh-CN"/>
        </w:rPr>
        <w:t>项目</w:t>
      </w:r>
      <w:r>
        <w:rPr>
          <w:rFonts w:hint="default" w:ascii="Times New Roman" w:hAnsi="Times New Roman" w:eastAsia="小标宋" w:cs="Times New Roman"/>
          <w:bCs/>
          <w:sz w:val="44"/>
          <w:szCs w:val="44"/>
          <w:lang w:val="en-US"/>
        </w:rPr>
        <w:t>绩效评价报告</w:t>
      </w:r>
    </w:p>
    <w:p w14:paraId="5664EA23">
      <w:pPr>
        <w:keepNext w:val="0"/>
        <w:keepLines w:val="0"/>
        <w:pageBreakBefore w:val="0"/>
        <w:widowControl w:val="0"/>
        <w:kinsoku/>
        <w:wordWrap/>
        <w:overflowPunct/>
        <w:topLinePunct w:val="0"/>
        <w:bidi w:val="0"/>
        <w:adjustRightInd w:val="0"/>
        <w:snapToGrid w:val="0"/>
        <w:ind w:firstLine="880"/>
        <w:textAlignment w:val="auto"/>
        <w:rPr>
          <w:rFonts w:hint="default" w:ascii="Times New Roman" w:hAnsi="Times New Roman" w:eastAsia="小标宋" w:cs="Times New Roman"/>
          <w:bCs/>
          <w:sz w:val="44"/>
          <w:szCs w:val="44"/>
        </w:rPr>
      </w:pPr>
    </w:p>
    <w:p w14:paraId="2C68C005">
      <w:pPr>
        <w:ind w:firstLine="640"/>
        <w:rPr>
          <w:rFonts w:hint="default" w:ascii="Times New Roman" w:hAnsi="Times New Roman" w:eastAsia="小标宋" w:cs="Times New Roman"/>
          <w:bCs/>
          <w:sz w:val="32"/>
          <w:szCs w:val="32"/>
        </w:rPr>
      </w:pPr>
    </w:p>
    <w:p w14:paraId="361FD8EB">
      <w:pPr>
        <w:ind w:firstLine="640"/>
        <w:rPr>
          <w:rFonts w:hint="default" w:ascii="Times New Roman" w:hAnsi="Times New Roman" w:eastAsia="小标宋" w:cs="Times New Roman"/>
          <w:bCs/>
          <w:sz w:val="32"/>
          <w:szCs w:val="32"/>
        </w:rPr>
      </w:pPr>
    </w:p>
    <w:p w14:paraId="74D14D5B">
      <w:pPr>
        <w:ind w:firstLine="640"/>
        <w:rPr>
          <w:rFonts w:hint="default" w:ascii="Times New Roman" w:hAnsi="Times New Roman" w:eastAsia="小标宋" w:cs="Times New Roman"/>
          <w:bCs/>
          <w:sz w:val="32"/>
          <w:szCs w:val="32"/>
        </w:rPr>
      </w:pPr>
    </w:p>
    <w:p w14:paraId="1C72C448">
      <w:pPr>
        <w:pStyle w:val="2"/>
        <w:rPr>
          <w:rFonts w:hint="default" w:ascii="Times New Roman" w:hAnsi="Times New Roman" w:eastAsia="小标宋" w:cs="Times New Roman"/>
          <w:bCs/>
          <w:sz w:val="32"/>
          <w:szCs w:val="32"/>
        </w:rPr>
      </w:pPr>
    </w:p>
    <w:p w14:paraId="668204C5">
      <w:pPr>
        <w:pStyle w:val="2"/>
        <w:rPr>
          <w:rFonts w:hint="default" w:ascii="Times New Roman" w:hAnsi="Times New Roman" w:eastAsia="小标宋" w:cs="Times New Roman"/>
          <w:bCs/>
          <w:sz w:val="32"/>
          <w:szCs w:val="32"/>
        </w:rPr>
      </w:pPr>
    </w:p>
    <w:p w14:paraId="5F045734">
      <w:pPr>
        <w:keepNext w:val="0"/>
        <w:keepLines w:val="0"/>
        <w:pageBreakBefore w:val="0"/>
        <w:widowControl w:val="0"/>
        <w:kinsoku/>
        <w:wordWrap/>
        <w:overflowPunct/>
        <w:topLinePunct w:val="0"/>
        <w:autoSpaceDE w:val="0"/>
        <w:autoSpaceDN w:val="0"/>
        <w:bidi w:val="0"/>
        <w:adjustRightInd w:val="0"/>
        <w:snapToGrid w:val="0"/>
        <w:spacing w:before="240" w:after="240" w:line="360" w:lineRule="auto"/>
        <w:ind w:left="0" w:leftChars="0" w:firstLine="641" w:firstLineChars="0"/>
        <w:jc w:val="both"/>
        <w:textAlignment w:val="auto"/>
        <w:rPr>
          <w:rFonts w:hint="default" w:ascii="Times New Roman" w:hAnsi="Times New Roman" w:eastAsia="仿宋_GB2312" w:cs="Times New Roman"/>
          <w:sz w:val="32"/>
          <w:u w:val="single"/>
          <w:lang w:val="en-US" w:eastAsia="zh-CN"/>
        </w:rPr>
      </w:pPr>
      <w:r>
        <w:rPr>
          <w:rFonts w:hint="default" w:ascii="Times New Roman" w:hAnsi="Times New Roman" w:eastAsia="仿宋_GB2312" w:cs="Times New Roman"/>
          <w:sz w:val="32"/>
        </w:rPr>
        <w:t>项目名称：</w:t>
      </w:r>
      <w:r>
        <w:rPr>
          <w:rFonts w:hint="eastAsia" w:ascii="Times New Roman" w:hAnsi="Times New Roman" w:eastAsia="仿宋_GB2312" w:cs="Times New Roman"/>
          <w:sz w:val="32"/>
          <w:u w:val="single"/>
          <w:lang w:val="zh-CN"/>
        </w:rPr>
        <w:t>永州市公共服务信息化运维项目</w:t>
      </w:r>
      <w:r>
        <w:rPr>
          <w:rFonts w:hint="default" w:ascii="Times New Roman" w:hAnsi="Times New Roman" w:eastAsia="仿宋_GB2312" w:cs="Times New Roman"/>
          <w:sz w:val="32"/>
          <w:u w:val="single"/>
          <w:lang w:val="zh-CN"/>
        </w:rPr>
        <w:t>绩效评价</w:t>
      </w:r>
    </w:p>
    <w:p w14:paraId="27A43E08">
      <w:pPr>
        <w:keepNext w:val="0"/>
        <w:keepLines w:val="0"/>
        <w:pageBreakBefore w:val="0"/>
        <w:widowControl w:val="0"/>
        <w:kinsoku/>
        <w:wordWrap/>
        <w:overflowPunct/>
        <w:topLinePunct w:val="0"/>
        <w:autoSpaceDE w:val="0"/>
        <w:autoSpaceDN w:val="0"/>
        <w:bidi w:val="0"/>
        <w:adjustRightInd w:val="0"/>
        <w:snapToGrid w:val="0"/>
        <w:spacing w:before="240" w:after="240" w:line="360" w:lineRule="auto"/>
        <w:ind w:left="0" w:leftChars="0" w:firstLine="641" w:firstLineChars="0"/>
        <w:jc w:val="both"/>
        <w:textAlignment w:val="auto"/>
        <w:outlineLvl w:val="9"/>
        <w:rPr>
          <w:rFonts w:hint="default" w:ascii="Times New Roman" w:hAnsi="Times New Roman" w:eastAsia="仿宋_GB2312" w:cs="Times New Roman"/>
          <w:b w:val="0"/>
          <w:bCs w:val="0"/>
          <w:sz w:val="32"/>
          <w:szCs w:val="22"/>
          <w:u w:val="single"/>
          <w:lang w:val="en-US" w:eastAsia="zh-CN" w:bidi="zh-CN"/>
        </w:rPr>
      </w:pPr>
      <w:r>
        <w:rPr>
          <w:rFonts w:hint="default" w:ascii="Times New Roman" w:hAnsi="Times New Roman" w:eastAsia="仿宋_GB2312" w:cs="Times New Roman"/>
          <w:b w:val="0"/>
          <w:bCs w:val="0"/>
          <w:sz w:val="32"/>
          <w:szCs w:val="22"/>
          <w:u w:val="none"/>
          <w:lang w:val="en-US" w:eastAsia="zh-CN" w:bidi="zh-CN"/>
        </w:rPr>
        <w:t>项目实施单位：</w:t>
      </w:r>
      <w:r>
        <w:rPr>
          <w:rFonts w:hint="default" w:ascii="Times New Roman" w:hAnsi="Times New Roman" w:eastAsia="仿宋_GB2312" w:cs="Times New Roman"/>
          <w:b w:val="0"/>
          <w:bCs w:val="0"/>
          <w:sz w:val="32"/>
          <w:szCs w:val="22"/>
          <w:u w:val="single"/>
          <w:lang w:val="en-US" w:eastAsia="zh-CN" w:bidi="zh-CN"/>
        </w:rPr>
        <w:t>永州市行政审批服务局</w:t>
      </w:r>
    </w:p>
    <w:p w14:paraId="479026AF">
      <w:pPr>
        <w:keepNext w:val="0"/>
        <w:keepLines w:val="0"/>
        <w:pageBreakBefore w:val="0"/>
        <w:widowControl w:val="0"/>
        <w:kinsoku/>
        <w:wordWrap/>
        <w:overflowPunct/>
        <w:topLinePunct w:val="0"/>
        <w:autoSpaceDE w:val="0"/>
        <w:autoSpaceDN w:val="0"/>
        <w:bidi w:val="0"/>
        <w:adjustRightInd w:val="0"/>
        <w:snapToGrid w:val="0"/>
        <w:spacing w:before="240" w:after="240" w:line="360" w:lineRule="auto"/>
        <w:ind w:firstLine="640"/>
        <w:jc w:val="both"/>
        <w:textAlignment w:val="auto"/>
        <w:rPr>
          <w:rFonts w:hint="default" w:ascii="Times New Roman" w:hAnsi="Times New Roman" w:eastAsia="仿宋_GB2312" w:cs="Times New Roman"/>
          <w:b w:val="0"/>
          <w:bCs w:val="0"/>
          <w:sz w:val="32"/>
          <w:szCs w:val="22"/>
          <w:u w:val="single"/>
          <w:lang w:val="en-US" w:eastAsia="zh-CN" w:bidi="zh-CN"/>
        </w:rPr>
      </w:pPr>
      <w:r>
        <w:rPr>
          <w:rFonts w:hint="default" w:ascii="Times New Roman" w:hAnsi="Times New Roman" w:eastAsia="仿宋_GB2312" w:cs="Times New Roman"/>
          <w:b w:val="0"/>
          <w:bCs w:val="0"/>
          <w:sz w:val="32"/>
          <w:szCs w:val="22"/>
          <w:u w:val="none"/>
          <w:lang w:val="en-US" w:eastAsia="zh-CN" w:bidi="zh-CN"/>
        </w:rPr>
        <w:t>项目评价资金</w:t>
      </w:r>
      <w:r>
        <w:rPr>
          <w:rFonts w:hint="default" w:ascii="Times New Roman" w:hAnsi="Times New Roman" w:eastAsia="仿宋_GB2312" w:cs="Times New Roman"/>
          <w:b w:val="0"/>
          <w:bCs w:val="0"/>
          <w:sz w:val="32"/>
          <w:szCs w:val="22"/>
          <w:highlight w:val="none"/>
          <w:u w:val="none"/>
          <w:lang w:val="en-US" w:eastAsia="zh-CN" w:bidi="zh-CN"/>
        </w:rPr>
        <w:t>：</w:t>
      </w:r>
      <w:r>
        <w:rPr>
          <w:rFonts w:hint="eastAsia" w:ascii="Times New Roman" w:hAnsi="Times New Roman" w:eastAsia="仿宋_GB2312" w:cs="Times New Roman"/>
          <w:b w:val="0"/>
          <w:bCs w:val="0"/>
          <w:sz w:val="32"/>
          <w:szCs w:val="22"/>
          <w:highlight w:val="none"/>
          <w:u w:val="single"/>
          <w:lang w:val="en-US" w:eastAsia="zh-CN" w:bidi="zh-CN"/>
        </w:rPr>
        <w:t>5412.69</w:t>
      </w:r>
      <w:r>
        <w:rPr>
          <w:rFonts w:hint="default" w:ascii="Times New Roman" w:hAnsi="Times New Roman" w:eastAsia="仿宋_GB2312" w:cs="Times New Roman"/>
          <w:b w:val="0"/>
          <w:bCs w:val="0"/>
          <w:sz w:val="32"/>
          <w:szCs w:val="22"/>
          <w:highlight w:val="none"/>
          <w:u w:val="single"/>
          <w:lang w:val="en-US" w:eastAsia="zh-CN" w:bidi="zh-CN"/>
        </w:rPr>
        <w:t>万元</w:t>
      </w:r>
    </w:p>
    <w:p w14:paraId="79F38EC7">
      <w:pPr>
        <w:keepNext w:val="0"/>
        <w:keepLines w:val="0"/>
        <w:pageBreakBefore w:val="0"/>
        <w:widowControl w:val="0"/>
        <w:kinsoku/>
        <w:wordWrap/>
        <w:overflowPunct/>
        <w:topLinePunct w:val="0"/>
        <w:autoSpaceDE w:val="0"/>
        <w:autoSpaceDN w:val="0"/>
        <w:bidi w:val="0"/>
        <w:adjustRightInd w:val="0"/>
        <w:snapToGrid w:val="0"/>
        <w:spacing w:before="240" w:after="240" w:line="360" w:lineRule="auto"/>
        <w:ind w:firstLine="640" w:firstLineChars="200"/>
        <w:jc w:val="both"/>
        <w:textAlignment w:val="auto"/>
        <w:rPr>
          <w:rFonts w:hint="default" w:ascii="Times New Roman" w:hAnsi="Times New Roman" w:eastAsia="仿宋_GB2312" w:cs="Times New Roman"/>
          <w:b w:val="0"/>
          <w:bCs w:val="0"/>
          <w:sz w:val="32"/>
          <w:szCs w:val="22"/>
          <w:u w:val="single"/>
          <w:lang w:val="en-US" w:eastAsia="zh-CN" w:bidi="zh-CN"/>
        </w:rPr>
      </w:pPr>
      <w:r>
        <w:rPr>
          <w:rFonts w:hint="default" w:ascii="Times New Roman" w:hAnsi="Times New Roman" w:eastAsia="仿宋_GB2312" w:cs="Times New Roman"/>
          <w:b w:val="0"/>
          <w:bCs w:val="0"/>
          <w:sz w:val="32"/>
          <w:szCs w:val="22"/>
          <w:u w:val="none"/>
          <w:lang w:val="en-US" w:eastAsia="zh-CN" w:bidi="zh-CN"/>
        </w:rPr>
        <w:t>项目评价机构：</w:t>
      </w:r>
      <w:r>
        <w:rPr>
          <w:rFonts w:hint="default" w:ascii="Times New Roman" w:hAnsi="Times New Roman" w:eastAsia="仿宋_GB2312" w:cs="Times New Roman"/>
          <w:b w:val="0"/>
          <w:bCs w:val="0"/>
          <w:sz w:val="32"/>
          <w:szCs w:val="22"/>
          <w:u w:val="single"/>
          <w:lang w:val="en-US" w:eastAsia="zh-CN" w:bidi="zh-CN"/>
        </w:rPr>
        <w:t>湖南</w:t>
      </w:r>
      <w:r>
        <w:rPr>
          <w:rFonts w:hint="eastAsia" w:ascii="Times New Roman" w:hAnsi="Times New Roman" w:eastAsia="仿宋_GB2312" w:cs="Times New Roman"/>
          <w:b w:val="0"/>
          <w:bCs w:val="0"/>
          <w:sz w:val="32"/>
          <w:szCs w:val="22"/>
          <w:u w:val="single"/>
          <w:lang w:val="en-US" w:eastAsia="zh-CN" w:bidi="zh-CN"/>
        </w:rPr>
        <w:t>省</w:t>
      </w:r>
      <w:r>
        <w:rPr>
          <w:rFonts w:hint="default" w:ascii="Times New Roman" w:hAnsi="Times New Roman" w:eastAsia="仿宋_GB2312" w:cs="Times New Roman"/>
          <w:b w:val="0"/>
          <w:bCs w:val="0"/>
          <w:sz w:val="32"/>
          <w:szCs w:val="22"/>
          <w:u w:val="single"/>
          <w:lang w:val="en-US" w:eastAsia="zh-CN" w:bidi="zh-CN"/>
        </w:rPr>
        <w:t>效政管理咨询有限公司</w:t>
      </w:r>
    </w:p>
    <w:p w14:paraId="23439416">
      <w:pPr>
        <w:keepNext w:val="0"/>
        <w:keepLines w:val="0"/>
        <w:pageBreakBefore w:val="0"/>
        <w:widowControl w:val="0"/>
        <w:kinsoku/>
        <w:wordWrap/>
        <w:overflowPunct/>
        <w:topLinePunct w:val="0"/>
        <w:autoSpaceDE w:val="0"/>
        <w:autoSpaceDN w:val="0"/>
        <w:bidi w:val="0"/>
        <w:adjustRightInd w:val="0"/>
        <w:snapToGrid w:val="0"/>
        <w:spacing w:before="240" w:after="240" w:line="360" w:lineRule="auto"/>
        <w:ind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项目评价</w:t>
      </w:r>
      <w:r>
        <w:rPr>
          <w:rFonts w:hint="default" w:ascii="Times New Roman" w:hAnsi="Times New Roman" w:eastAsia="仿宋_GB2312" w:cs="Times New Roman"/>
          <w:sz w:val="32"/>
        </w:rPr>
        <w:t>委托单位：</w:t>
      </w:r>
      <w:r>
        <w:rPr>
          <w:rFonts w:hint="default" w:ascii="Times New Roman" w:hAnsi="Times New Roman" w:eastAsia="仿宋_GB2312" w:cs="Times New Roman"/>
          <w:sz w:val="32"/>
          <w:u w:val="single"/>
          <w:lang w:val="en-US" w:eastAsia="zh-CN"/>
        </w:rPr>
        <w:t>永州市</w:t>
      </w:r>
      <w:r>
        <w:rPr>
          <w:rFonts w:hint="default" w:ascii="Times New Roman" w:hAnsi="Times New Roman" w:eastAsia="仿宋_GB2312" w:cs="Times New Roman"/>
          <w:sz w:val="32"/>
          <w:u w:val="single"/>
        </w:rPr>
        <w:t>财政局</w:t>
      </w:r>
    </w:p>
    <w:p w14:paraId="62C1CAB6">
      <w:pPr>
        <w:snapToGrid w:val="0"/>
        <w:spacing w:line="620" w:lineRule="exact"/>
        <w:ind w:firstLine="640" w:firstLineChars="200"/>
        <w:rPr>
          <w:rFonts w:hint="default" w:ascii="Times New Roman" w:hAnsi="Times New Roman" w:eastAsia="仿宋_GB2312" w:cs="Times New Roman"/>
          <w:sz w:val="32"/>
          <w:u w:val="single"/>
          <w:lang w:val="en-US" w:eastAsia="zh-CN"/>
        </w:rPr>
      </w:pPr>
    </w:p>
    <w:p w14:paraId="14044043">
      <w:pPr>
        <w:pStyle w:val="2"/>
        <w:rPr>
          <w:rFonts w:hint="default" w:ascii="Times New Roman" w:hAnsi="Times New Roman" w:eastAsia="仿宋_GB2312" w:cs="Times New Roman"/>
          <w:sz w:val="32"/>
          <w:u w:val="single"/>
          <w:lang w:val="en-US" w:eastAsia="zh-CN"/>
        </w:rPr>
      </w:pPr>
    </w:p>
    <w:p w14:paraId="0EC3A5FC">
      <w:pPr>
        <w:pStyle w:val="2"/>
        <w:rPr>
          <w:rFonts w:hint="default" w:ascii="Times New Roman" w:hAnsi="Times New Roman" w:eastAsia="仿宋_GB2312" w:cs="Times New Roman"/>
          <w:sz w:val="32"/>
          <w:u w:val="single"/>
          <w:lang w:val="en-US" w:eastAsia="zh-CN"/>
        </w:rPr>
      </w:pPr>
    </w:p>
    <w:p w14:paraId="3093A360">
      <w:pPr>
        <w:pStyle w:val="2"/>
        <w:rPr>
          <w:rFonts w:hint="default" w:ascii="Times New Roman" w:hAnsi="Times New Roman" w:eastAsia="仿宋_GB2312" w:cs="Times New Roman"/>
          <w:sz w:val="32"/>
          <w:u w:val="single"/>
          <w:lang w:val="en-US" w:eastAsia="zh-CN"/>
        </w:rPr>
      </w:pPr>
    </w:p>
    <w:p w14:paraId="4617E737">
      <w:pPr>
        <w:snapToGrid w:val="0"/>
        <w:spacing w:line="620" w:lineRule="exact"/>
        <w:jc w:val="center"/>
        <w:outlineLvl w:val="9"/>
        <w:rPr>
          <w:rFonts w:hint="default" w:ascii="Times New Roman" w:hAnsi="Times New Roman" w:eastAsia="仿宋_GB2312" w:cs="Times New Roman"/>
          <w:sz w:val="32"/>
          <w:u w:val="none"/>
        </w:rPr>
      </w:pPr>
      <w:bookmarkStart w:id="0" w:name="_Toc4707"/>
      <w:bookmarkStart w:id="1" w:name="_Toc5467"/>
      <w:bookmarkStart w:id="2" w:name="_Toc24227"/>
      <w:r>
        <w:rPr>
          <w:rFonts w:hint="default" w:ascii="Times New Roman" w:hAnsi="Times New Roman" w:eastAsia="仿宋_GB2312" w:cs="Times New Roman"/>
          <w:sz w:val="32"/>
          <w:u w:val="none"/>
          <w:lang w:val="en-US" w:eastAsia="zh-CN"/>
        </w:rPr>
        <w:t>湖南</w:t>
      </w:r>
      <w:r>
        <w:rPr>
          <w:rFonts w:hint="eastAsia" w:ascii="Times New Roman" w:hAnsi="Times New Roman" w:eastAsia="仿宋_GB2312" w:cs="Times New Roman"/>
          <w:sz w:val="32"/>
          <w:u w:val="none"/>
          <w:lang w:val="en-US" w:eastAsia="zh-CN"/>
        </w:rPr>
        <w:t>省</w:t>
      </w:r>
      <w:r>
        <w:rPr>
          <w:rFonts w:hint="default" w:ascii="Times New Roman" w:hAnsi="Times New Roman" w:eastAsia="仿宋_GB2312" w:cs="Times New Roman"/>
          <w:sz w:val="32"/>
          <w:u w:val="none"/>
          <w:lang w:val="en-US" w:eastAsia="zh-CN"/>
        </w:rPr>
        <w:t>效政管理</w:t>
      </w:r>
      <w:r>
        <w:rPr>
          <w:rFonts w:hint="default" w:ascii="Times New Roman" w:hAnsi="Times New Roman" w:eastAsia="仿宋_GB2312" w:cs="Times New Roman"/>
          <w:sz w:val="32"/>
          <w:u w:val="none"/>
        </w:rPr>
        <w:t>咨询有限公司</w:t>
      </w:r>
      <w:bookmarkEnd w:id="0"/>
      <w:bookmarkEnd w:id="1"/>
      <w:bookmarkEnd w:id="2"/>
    </w:p>
    <w:p w14:paraId="7021D9E4">
      <w:pPr>
        <w:spacing w:line="600" w:lineRule="exact"/>
        <w:jc w:val="center"/>
        <w:outlineLvl w:val="9"/>
        <w:rPr>
          <w:rFonts w:hint="default" w:ascii="Times New Roman" w:hAnsi="Times New Roman" w:eastAsia="仿宋" w:cs="Times New Roman"/>
          <w:bCs/>
          <w:w w:val="95"/>
          <w:sz w:val="32"/>
          <w:szCs w:val="32"/>
          <w:lang w:val="en-US" w:eastAsia="zh-CN"/>
        </w:rPr>
      </w:pPr>
      <w:r>
        <w:rPr>
          <w:rFonts w:hint="eastAsia" w:ascii="Times New Roman" w:hAnsi="Times New Roman" w:eastAsia="仿宋" w:cs="Times New Roman"/>
          <w:bCs/>
          <w:w w:val="95"/>
          <w:sz w:val="32"/>
          <w:szCs w:val="32"/>
          <w:lang w:val="en-US" w:eastAsia="zh-CN"/>
        </w:rPr>
        <w:t>二○二五</w:t>
      </w:r>
      <w:r>
        <w:rPr>
          <w:rFonts w:hint="default" w:ascii="Times New Roman" w:hAnsi="Times New Roman" w:eastAsia="仿宋" w:cs="Times New Roman"/>
          <w:bCs/>
          <w:w w:val="95"/>
          <w:sz w:val="32"/>
          <w:szCs w:val="32"/>
          <w:lang w:val="en-US" w:eastAsia="zh-CN"/>
        </w:rPr>
        <w:t>年</w:t>
      </w:r>
      <w:r>
        <w:rPr>
          <w:rFonts w:hint="eastAsia" w:ascii="Times New Roman" w:hAnsi="Times New Roman" w:eastAsia="仿宋" w:cs="Times New Roman"/>
          <w:bCs/>
          <w:w w:val="95"/>
          <w:sz w:val="32"/>
          <w:szCs w:val="32"/>
          <w:lang w:val="en-US" w:eastAsia="zh-CN"/>
        </w:rPr>
        <w:t>一</w:t>
      </w:r>
      <w:r>
        <w:rPr>
          <w:rFonts w:hint="default" w:ascii="Times New Roman" w:hAnsi="Times New Roman" w:eastAsia="仿宋" w:cs="Times New Roman"/>
          <w:bCs/>
          <w:w w:val="95"/>
          <w:sz w:val="32"/>
          <w:szCs w:val="32"/>
          <w:lang w:val="en-US" w:eastAsia="zh-CN"/>
        </w:rPr>
        <w:t>月</w:t>
      </w:r>
    </w:p>
    <w:p w14:paraId="7F8462A0">
      <w:pPr>
        <w:pStyle w:val="15"/>
        <w:ind w:firstLine="880"/>
        <w:rPr>
          <w:rFonts w:hint="default" w:ascii="Times New Roman" w:hAnsi="Times New Roman" w:cs="Times New Roman"/>
        </w:rPr>
        <w:sectPr>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eastAsia" w:ascii="仿宋_GB2312" w:hAnsi="仿宋_GB2312" w:eastAsia="仿宋_GB2312" w:cs="仿宋_GB2312"/>
          <w:b/>
          <w:bCs/>
          <w:sz w:val="32"/>
          <w:szCs w:val="32"/>
          <w:lang w:val="zh-CN" w:eastAsia="zh-CN" w:bidi="zh-CN"/>
        </w:rPr>
        <w:id w:val="147454793"/>
        <w15:color w:val="DBDBDB"/>
        <w:docPartObj>
          <w:docPartGallery w:val="Table of Contents"/>
          <w:docPartUnique/>
        </w:docPartObj>
      </w:sdtPr>
      <w:sdtEndPr>
        <w:rPr>
          <w:rFonts w:hint="default" w:ascii="Times New Roman" w:hAnsi="Times New Roman" w:eastAsia="仿宋_GB2312" w:cs="Times New Roman"/>
          <w:b/>
          <w:bCs/>
          <w:sz w:val="32"/>
          <w:szCs w:val="32"/>
          <w:lang w:val="en-US" w:eastAsia="zh-CN" w:bidi="zh-CN"/>
        </w:rPr>
      </w:sdtEndPr>
      <w:sdtContent>
        <w:p w14:paraId="3CDD06D9">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14:paraId="3E1C1863">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fldChar w:fldCharType="begin"/>
          </w:r>
          <w:r>
            <w:rPr>
              <w:rFonts w:hint="default" w:ascii="Times New Roman" w:hAnsi="Times New Roman" w:eastAsia="仿宋_GB2312" w:cs="Times New Roman"/>
              <w:b w:val="0"/>
              <w:bCs w:val="0"/>
              <w:sz w:val="32"/>
              <w:szCs w:val="32"/>
              <w:lang w:val="en-US" w:eastAsia="zh-CN"/>
            </w:rPr>
            <w:instrText xml:space="preserve">TOC \o "1-2" \h \u </w:instrText>
          </w:r>
          <w:r>
            <w:rPr>
              <w:rFonts w:hint="default" w:ascii="Times New Roman" w:hAnsi="Times New Roman" w:eastAsia="仿宋_GB2312" w:cs="Times New Roman"/>
              <w:b w:val="0"/>
              <w:bCs w:val="0"/>
              <w:sz w:val="32"/>
              <w:szCs w:val="32"/>
              <w:lang w:val="en-US" w:eastAsia="zh-CN"/>
            </w:rPr>
            <w:fldChar w:fldCharType="separate"/>
          </w: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_Toc12382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rPr>
            <w:t>一、项目基本情况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_Toc12382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528CA977">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_Toc17550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rPr>
            <w:t>（一）项目背景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79A87469">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_Toc9944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rPr>
            <w:t>（二）项目主要建设内容及实施情况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_Toc9944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1F7A996">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_Toc29662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rPr>
            <w:t>（三）项目预算绩效目标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4AFCFA6">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_Toc32720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rPr>
            <w:t>（四）项目资金</w:t>
          </w:r>
          <w:r>
            <w:rPr>
              <w:rFonts w:hint="default" w:ascii="Times New Roman" w:hAnsi="Times New Roman" w:eastAsia="仿宋_GB2312" w:cs="Times New Roman"/>
              <w:sz w:val="32"/>
              <w:szCs w:val="32"/>
              <w:highlight w:val="none"/>
              <w:lang w:val="en-US" w:eastAsia="zh-CN"/>
            </w:rPr>
            <w:t>基本</w:t>
          </w:r>
          <w:r>
            <w:rPr>
              <w:rFonts w:hint="default" w:ascii="Times New Roman" w:hAnsi="Times New Roman" w:eastAsia="仿宋_GB2312" w:cs="Times New Roman"/>
              <w:sz w:val="32"/>
              <w:szCs w:val="32"/>
              <w:highlight w:val="none"/>
            </w:rPr>
            <w:t>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_Toc32720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2DBDB81D">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_Toc22237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组织及管理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_Toc22237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5311C318">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_Toc9531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kern w:val="44"/>
              <w:sz w:val="32"/>
              <w:szCs w:val="32"/>
              <w:lang w:val="en-US" w:eastAsia="zh-CN" w:bidi="ar-SA"/>
            </w:rPr>
            <w:t>二、绩效评价工作情况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C963DD7">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_Toc13056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caps/>
              <w:sz w:val="32"/>
              <w:szCs w:val="32"/>
            </w:rPr>
            <w:t>（一）评价对象与范围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_Toc13056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A51A5E3">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_Toc1223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lang w:val="en-US" w:eastAsia="zh-CN"/>
            </w:rPr>
            <w:t>（二）指标体系及评价标准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6C83373">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_Toc11550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caps/>
              <w:sz w:val="32"/>
              <w:szCs w:val="32"/>
            </w:rPr>
            <w:t>（三）评价组织实施与评价方法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_Toc11550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367AF338">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_Toc28230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kern w:val="44"/>
              <w:sz w:val="32"/>
              <w:szCs w:val="32"/>
              <w:lang w:val="en-US" w:eastAsia="zh-CN" w:bidi="ar-SA"/>
            </w:rPr>
            <w:t>三、项目主要绩效及评价结论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_Toc28230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890BC62">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_Toc690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kern w:val="44"/>
              <w:sz w:val="32"/>
              <w:szCs w:val="32"/>
              <w:lang w:val="en-US" w:eastAsia="zh-CN" w:bidi="ar-SA"/>
            </w:rPr>
            <w:t>四、绩效评价指标分析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322A0F44">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_Toc27253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eastAsia="zh-CN"/>
            </w:rPr>
            <w:t>（一）项目决策</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B0FCF3C">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_Toc32267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eastAsia="zh-CN"/>
            </w:rPr>
            <w:t>（二）项目过程</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_Toc32267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C1D9AEA">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_Toc29915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lang w:eastAsia="zh-CN"/>
            </w:rPr>
            <w:t>（三）项目产出</w:t>
          </w:r>
          <w:r>
            <w:rPr>
              <w:rFonts w:hint="default" w:ascii="Times New Roman" w:hAnsi="Times New Roman" w:eastAsia="仿宋_GB2312" w:cs="Times New Roman"/>
              <w:sz w:val="32"/>
              <w:szCs w:val="32"/>
              <w:highlight w:val="none"/>
              <w:lang w:val="en-US" w:eastAsia="zh-CN"/>
            </w:rPr>
            <w:t>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_Toc29915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3E446398">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_Toc1314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lang w:eastAsia="zh-CN"/>
            </w:rPr>
            <w:t>（四）项目效益</w:t>
          </w:r>
          <w:r>
            <w:rPr>
              <w:rFonts w:hint="default" w:ascii="Times New Roman" w:hAnsi="Times New Roman" w:eastAsia="仿宋_GB2312" w:cs="Times New Roman"/>
              <w:sz w:val="32"/>
              <w:szCs w:val="32"/>
              <w:highlight w:val="none"/>
              <w:lang w:val="en-US" w:eastAsia="zh-CN"/>
            </w:rPr>
            <w:t>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7D66F057">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_Toc6622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rPr>
            <w:t>五、主要绩效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_Toc6622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5FE391B">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_Toc24552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rPr>
            <w:t>（一）超额完成“湘易办”超级服务端建设运营工作任务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_Toc24552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75B8CC99">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_Toc16957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（二）</w:t>
          </w:r>
          <w:r>
            <w:rPr>
              <w:rFonts w:hint="default" w:ascii="Times New Roman" w:hAnsi="Times New Roman" w:eastAsia="仿宋_GB2312" w:cs="Times New Roman"/>
              <w:sz w:val="32"/>
              <w:szCs w:val="32"/>
              <w:lang w:val="en-US" w:eastAsia="zh-CN"/>
            </w:rPr>
            <w:t>提高社会安全保障能力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_Toc16957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679EEFC7">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_Toc31313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（三）</w:t>
          </w:r>
          <w:r>
            <w:rPr>
              <w:rFonts w:hint="default" w:ascii="Times New Roman" w:hAnsi="Times New Roman" w:eastAsia="仿宋_GB2312" w:cs="Times New Roman"/>
              <w:sz w:val="32"/>
              <w:szCs w:val="32"/>
              <w:lang w:val="en-US" w:eastAsia="zh-CN"/>
            </w:rPr>
            <w:t>提高社会治理服务精细化水平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_Toc31313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55BCC26C">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_Toc32652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（四）</w:t>
          </w:r>
          <w:r>
            <w:rPr>
              <w:rFonts w:hint="default" w:ascii="Times New Roman" w:hAnsi="Times New Roman" w:eastAsia="仿宋_GB2312" w:cs="Times New Roman"/>
              <w:sz w:val="32"/>
              <w:szCs w:val="32"/>
              <w:highlight w:val="none"/>
              <w:lang w:val="en-US" w:eastAsia="zh-CN"/>
            </w:rPr>
            <w:t>推进政务信息化互通共享建设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8A0DDAA">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_Toc18278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rPr>
            <w:t>、主要问题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_Toc18278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6B0A1E2">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_Toc2410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绩效管理意识不强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_Toc2410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AA3F0EC">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_Toc22042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（二）</w:t>
          </w:r>
          <w:r>
            <w:rPr>
              <w:rFonts w:hint="default" w:ascii="Times New Roman" w:hAnsi="Times New Roman" w:eastAsia="仿宋_GB2312" w:cs="Times New Roman"/>
              <w:sz w:val="32"/>
              <w:szCs w:val="32"/>
              <w:lang w:val="en-US" w:eastAsia="zh-CN"/>
            </w:rPr>
            <w:t>统筹管理机制待完善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_Toc22042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65A266D9">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_Toc22916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（三）</w:t>
          </w:r>
          <w:r>
            <w:rPr>
              <w:rFonts w:hint="default" w:ascii="Times New Roman" w:hAnsi="Times New Roman" w:eastAsia="仿宋_GB2312" w:cs="Times New Roman"/>
              <w:sz w:val="32"/>
              <w:szCs w:val="32"/>
              <w:lang w:val="en-US" w:eastAsia="zh-CN"/>
            </w:rPr>
            <w:t>项目建设管理不规范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_Toc22916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5A952DDC">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_Toc28102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（四）</w:t>
          </w:r>
          <w:r>
            <w:rPr>
              <w:rFonts w:hint="default" w:ascii="Times New Roman" w:hAnsi="Times New Roman" w:eastAsia="仿宋_GB2312" w:cs="Times New Roman"/>
              <w:sz w:val="32"/>
              <w:szCs w:val="32"/>
              <w:lang w:val="en-US" w:eastAsia="zh-CN"/>
            </w:rPr>
            <w:t>主管部门后续监管不到位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_Toc28102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2104AE5D">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_Toc1195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（五）</w:t>
          </w:r>
          <w:r>
            <w:rPr>
              <w:rFonts w:hint="default" w:ascii="Times New Roman" w:hAnsi="Times New Roman" w:eastAsia="仿宋_GB2312" w:cs="Times New Roman"/>
              <w:sz w:val="32"/>
              <w:szCs w:val="32"/>
              <w:lang w:val="en-US" w:eastAsia="zh-CN"/>
            </w:rPr>
            <w:t>信息化资产管理权责未厘清</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C087EE7">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_Toc30576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（六）</w:t>
          </w:r>
          <w:r>
            <w:rPr>
              <w:rFonts w:hint="default" w:ascii="Times New Roman" w:hAnsi="Times New Roman" w:eastAsia="仿宋_GB2312" w:cs="Times New Roman"/>
              <w:sz w:val="32"/>
              <w:szCs w:val="32"/>
              <w:highlight w:val="none"/>
              <w:lang w:val="en-US" w:eastAsia="zh-CN" w:bidi="ar-SA"/>
            </w:rPr>
            <w:t>信息化数据共享供需对接不够充分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_Toc30576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EF7D158">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_Toc8570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（七）政府采购管理不规范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_Toc8570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9A6B6A5">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_Toc25153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（八）</w:t>
          </w:r>
          <w:r>
            <w:rPr>
              <w:rFonts w:hint="default" w:ascii="Times New Roman" w:hAnsi="Times New Roman" w:eastAsia="仿宋_GB2312" w:cs="Times New Roman"/>
              <w:sz w:val="32"/>
              <w:szCs w:val="32"/>
              <w:lang w:val="en-US" w:eastAsia="zh-CN"/>
            </w:rPr>
            <w:t>合同管理不规范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_Toc25153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579819C">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_Toc20841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rPr>
            <w:t>、相关建议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_Toc20841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ECA1EEA">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_Toc25831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提高</w:t>
          </w:r>
          <w:r>
            <w:rPr>
              <w:rFonts w:hint="default" w:ascii="Times New Roman" w:hAnsi="Times New Roman" w:eastAsia="仿宋_GB2312" w:cs="Times New Roman"/>
              <w:sz w:val="32"/>
              <w:szCs w:val="32"/>
            </w:rPr>
            <w:t>预算绩效管理意识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_Toc25831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4EE5FFED">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_Toc26433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（二）完善统筹管理机制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_Toc26433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0A8A8F6E">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_Toc19112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（三）规范项目建设管理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_Toc19112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76309F2">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_Toc15938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（四）</w:t>
          </w:r>
          <w:r>
            <w:rPr>
              <w:rFonts w:hint="default" w:ascii="Times New Roman" w:hAnsi="Times New Roman" w:eastAsia="仿宋_GB2312" w:cs="Times New Roman"/>
              <w:sz w:val="32"/>
              <w:szCs w:val="32"/>
              <w:highlight w:val="none"/>
              <w:lang w:val="en-US" w:eastAsia="zh-CN" w:bidi="ar-SA"/>
            </w:rPr>
            <w:t>强化主管部门监管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_Toc15938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2749932A">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_Toc12917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（五）加强信息化安全保障能力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_Toc12917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70B88962">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_Toc12165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（六）制定行业数据激励机制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355FBEAA">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_Toc5960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（七）深化数据高效共享</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_Toc5960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13EAA2BC">
          <w:pPr>
            <w:pStyle w:val="17"/>
            <w:keepNext w:val="0"/>
            <w:keepLines w:val="0"/>
            <w:pageBreakBefore w:val="0"/>
            <w:widowControl w:val="0"/>
            <w:tabs>
              <w:tab w:val="right" w:leader="dot" w:pos="8306"/>
            </w:tabs>
            <w:kinsoku/>
            <w:wordWrap/>
            <w:overflowPunct/>
            <w:topLinePunct w:val="0"/>
            <w:autoSpaceDE w:val="0"/>
            <w:autoSpaceDN w:val="0"/>
            <w:bidi w:val="0"/>
            <w:spacing w:before="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_Toc16220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sz w:val="32"/>
              <w:szCs w:val="32"/>
              <w:lang w:val="en-US" w:eastAsia="zh-CN" w:bidi="ar-SA"/>
            </w:rPr>
            <w:t>（八）抓好合同及采购管理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_Toc16220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63AF246A">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_Toc29818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kern w:val="2"/>
              <w:sz w:val="32"/>
              <w:szCs w:val="32"/>
              <w:lang w:val="en-US" w:eastAsia="zh-CN" w:bidi="ar-SA"/>
            </w:rPr>
            <w:t>附件1：项目绩效评价指标体系评分表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_Toc29818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7D7DDE03">
          <w:pPr>
            <w:pStyle w:val="15"/>
            <w:keepNext w:val="0"/>
            <w:keepLines w:val="0"/>
            <w:pageBreakBefore w:val="0"/>
            <w:widowControl w:val="0"/>
            <w:tabs>
              <w:tab w:val="right" w:leader="dot" w:pos="8306"/>
              <w:tab w:val="clear" w:pos="8296"/>
            </w:tabs>
            <w:kinsoku/>
            <w:wordWrap/>
            <w:overflowPunct/>
            <w:topLinePunct w:val="0"/>
            <w:autoSpaceDE w:val="0"/>
            <w:autoSpaceDN w:val="0"/>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fldChar w:fldCharType="begin"/>
          </w:r>
          <w:r>
            <w:rPr>
              <w:rFonts w:hint="default" w:ascii="Times New Roman" w:hAnsi="Times New Roman" w:eastAsia="仿宋_GB2312" w:cs="Times New Roman"/>
              <w:bCs w:val="0"/>
              <w:sz w:val="32"/>
              <w:szCs w:val="32"/>
              <w:lang w:val="en-US" w:eastAsia="zh-CN"/>
            </w:rPr>
            <w:instrText xml:space="preserve"> HYPERLINK \l _Toc10940 </w:instrText>
          </w:r>
          <w:r>
            <w:rPr>
              <w:rFonts w:hint="default" w:ascii="Times New Roman" w:hAnsi="Times New Roman" w:eastAsia="仿宋_GB2312" w:cs="Times New Roman"/>
              <w:bCs w:val="0"/>
              <w:sz w:val="32"/>
              <w:szCs w:val="32"/>
              <w:lang w:val="en-US" w:eastAsia="zh-CN"/>
            </w:rPr>
            <w:fldChar w:fldCharType="separate"/>
          </w:r>
          <w:r>
            <w:rPr>
              <w:rFonts w:hint="default" w:ascii="Times New Roman" w:hAnsi="Times New Roman" w:eastAsia="仿宋_GB2312" w:cs="Times New Roman"/>
              <w:kern w:val="2"/>
              <w:sz w:val="32"/>
              <w:szCs w:val="32"/>
              <w:lang w:val="en-US" w:eastAsia="zh-CN" w:bidi="ar-SA"/>
            </w:rPr>
            <w:t>附件2：2023年永州市公共服务信息化运维项目问题清单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_Toc10940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lang w:val="en-US" w:eastAsia="zh-CN"/>
            </w:rPr>
            <w:fldChar w:fldCharType="end"/>
          </w:r>
        </w:p>
        <w:p w14:paraId="6C1833AC">
          <w:pPr>
            <w:keepNext w:val="0"/>
            <w:keepLines w:val="0"/>
            <w:pageBreakBefore w:val="0"/>
            <w:widowControl w:val="0"/>
            <w:kinsoku/>
            <w:wordWrap/>
            <w:overflowPunct/>
            <w:topLinePunct w:val="0"/>
            <w:autoSpaceDE w:val="0"/>
            <w:autoSpaceDN w:val="0"/>
            <w:bidi w:val="0"/>
            <w:adjustRightInd w:val="0"/>
            <w:snapToGrid w:val="0"/>
            <w:spacing w:line="600" w:lineRule="exact"/>
            <w:ind w:left="0"/>
            <w:jc w:val="both"/>
            <w:textAlignment w:val="auto"/>
            <w:rPr>
              <w:rFonts w:hint="default" w:ascii="Times New Roman" w:hAnsi="Times New Roman" w:eastAsia="仿宋_GB2312" w:cs="Times New Roman"/>
              <w:bCs/>
              <w:sz w:val="32"/>
              <w:szCs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6" w:charSpace="0"/>
            </w:sectPr>
          </w:pPr>
          <w:r>
            <w:rPr>
              <w:rFonts w:hint="default" w:ascii="Times New Roman" w:hAnsi="Times New Roman" w:eastAsia="仿宋_GB2312" w:cs="Times New Roman"/>
              <w:bCs w:val="0"/>
              <w:sz w:val="32"/>
              <w:szCs w:val="32"/>
              <w:lang w:val="en-US" w:eastAsia="zh-CN"/>
            </w:rPr>
            <w:fldChar w:fldCharType="end"/>
          </w:r>
        </w:p>
      </w:sdtContent>
    </w:sdt>
    <w:p w14:paraId="5E0B7FDF">
      <w:pPr>
        <w:keepNext w:val="0"/>
        <w:keepLines w:val="0"/>
        <w:pageBreakBefore w:val="0"/>
        <w:widowControl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2023年永州市公共服务信息化运维</w:t>
      </w:r>
    </w:p>
    <w:p w14:paraId="557C2DCA">
      <w:pPr>
        <w:keepNext w:val="0"/>
        <w:keepLines w:val="0"/>
        <w:pageBreakBefore w:val="0"/>
        <w:widowControl w:val="0"/>
        <w:kinsoku/>
        <w:wordWrap/>
        <w:overflowPunct/>
        <w:topLinePunct w:val="0"/>
        <w:bidi w:val="0"/>
        <w:adjustRightInd w:val="0"/>
        <w:snapToGrid w:val="0"/>
        <w:spacing w:line="620" w:lineRule="exact"/>
        <w:jc w:val="center"/>
        <w:textAlignment w:val="auto"/>
        <w:outlineLvl w:val="9"/>
        <w:rPr>
          <w:rFonts w:hint="default" w:ascii="Times New Roman" w:hAnsi="Times New Roman" w:eastAsia="小标宋" w:cs="Times New Roman"/>
          <w:bCs/>
          <w:sz w:val="44"/>
          <w:szCs w:val="44"/>
          <w:lang w:val="en-US"/>
        </w:rPr>
      </w:pPr>
      <w:bookmarkStart w:id="3" w:name="_Toc28385"/>
      <w:bookmarkStart w:id="4" w:name="_Toc7921"/>
      <w:bookmarkStart w:id="5" w:name="_Toc8815"/>
      <w:r>
        <w:rPr>
          <w:rFonts w:hint="eastAsia" w:ascii="方正小标宋简体" w:hAnsi="方正小标宋简体" w:eastAsia="方正小标宋简体" w:cs="方正小标宋简体"/>
          <w:bCs/>
          <w:sz w:val="44"/>
          <w:szCs w:val="44"/>
          <w:lang w:val="en-US" w:eastAsia="zh-CN"/>
        </w:rPr>
        <w:t>项目</w:t>
      </w:r>
      <w:r>
        <w:rPr>
          <w:rFonts w:hint="eastAsia" w:ascii="方正小标宋简体" w:hAnsi="方正小标宋简体" w:eastAsia="方正小标宋简体" w:cs="方正小标宋简体"/>
          <w:bCs/>
          <w:sz w:val="44"/>
          <w:szCs w:val="44"/>
          <w:lang w:val="en-US"/>
        </w:rPr>
        <w:t>绩效评价报告</w:t>
      </w:r>
      <w:bookmarkEnd w:id="3"/>
      <w:bookmarkEnd w:id="4"/>
      <w:bookmarkEnd w:id="5"/>
    </w:p>
    <w:p w14:paraId="01BCC112">
      <w:pPr>
        <w:pStyle w:val="2"/>
        <w:rPr>
          <w:rFonts w:hint="default"/>
          <w:lang w:val="en-US"/>
        </w:rPr>
      </w:pPr>
    </w:p>
    <w:p w14:paraId="56430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snapToGrid w:val="0"/>
        <w:spacing w:before="0" w:beforeAutospacing="0" w:after="0" w:afterAutospacing="0" w:line="600" w:lineRule="atLeast"/>
        <w:ind w:left="0" w:right="0" w:firstLine="640" w:firstLineChars="200"/>
        <w:jc w:val="both"/>
        <w:textAlignment w:val="auto"/>
        <w:outlineLvl w:val="9"/>
        <w:rPr>
          <w:rFonts w:hint="default" w:ascii="Times New Roman" w:hAnsi="Times New Roman" w:eastAsia="仿宋_GB2312" w:cs="Times New Roman"/>
          <w:b w:val="0"/>
          <w:sz w:val="32"/>
          <w:szCs w:val="22"/>
          <w:lang w:val="en-US" w:eastAsia="zh-CN" w:bidi="zh-CN"/>
        </w:rPr>
      </w:pPr>
      <w:bookmarkStart w:id="6" w:name="_Toc1208"/>
      <w:bookmarkStart w:id="7" w:name="_Toc25396"/>
      <w:r>
        <w:rPr>
          <w:rFonts w:hint="default" w:ascii="Times New Roman" w:hAnsi="Times New Roman" w:eastAsia="仿宋_GB2312" w:cs="Times New Roman"/>
          <w:b w:val="0"/>
          <w:sz w:val="32"/>
          <w:szCs w:val="32"/>
          <w:lang w:val="en-US" w:eastAsia="zh-CN" w:bidi="zh-CN"/>
        </w:rPr>
        <w:t>按照《关于全面实施预算绩效管理的意见》（中发〔2018〕34号）、《中共湖南省委办公厅湖南省人民政府办公厅关于全面实施预算绩效管理的实施意见》（湘办发〔2019〕10号）、《财政部关于印发&lt;项目支出绩效评价管理办法&gt;的通知》（财预〔2020〕10号）、《湖南省预算支出绩效评价管理办法》（湘财绩〔2020〕7号）、《永州市财政局关于转发&lt;湖南省财政厅关于印发&lt;湖南省预算支出绩效评价管理办法&gt;的通知》（永财绩〔2020〕5号）和</w:t>
      </w:r>
      <w:r>
        <w:rPr>
          <w:rFonts w:hint="default" w:ascii="Times New Roman" w:hAnsi="Times New Roman" w:eastAsia="仿宋_GB2312" w:cs="Times New Roman"/>
          <w:b w:val="0"/>
          <w:sz w:val="32"/>
          <w:szCs w:val="32"/>
          <w:highlight w:val="none"/>
          <w:lang w:val="en-US" w:eastAsia="zh-CN" w:bidi="zh-CN"/>
        </w:rPr>
        <w:t>《永州市财政局关于开展2023年度市级预算支出重点项目绩效运行监控工作的通知》文件要求，湖南省效政管理咨询有限公司受永州市财政局的</w:t>
      </w:r>
      <w:r>
        <w:rPr>
          <w:rFonts w:hint="default" w:ascii="Times New Roman" w:hAnsi="Times New Roman" w:eastAsia="仿宋_GB2312" w:cs="Times New Roman"/>
          <w:b w:val="0"/>
          <w:sz w:val="32"/>
          <w:szCs w:val="32"/>
          <w:lang w:val="en-US" w:eastAsia="zh-CN" w:bidi="zh-CN"/>
        </w:rPr>
        <w:t>委托，对2023年永州市公共服务信息化运维项目进行重点绩效评价。评价工作组通过对项目执行情况的相关数据和资料进行收集、汇总分析，再结合社会调查和访谈成果，最终形成《2023年永州市公共服务信息化运维项目绩效评价报告》。现将有关情况汇报如下：</w:t>
      </w:r>
      <w:bookmarkEnd w:id="6"/>
      <w:bookmarkEnd w:id="7"/>
    </w:p>
    <w:p w14:paraId="13769EB8">
      <w:pPr>
        <w:pStyle w:val="3"/>
        <w:keepNext/>
        <w:keepLines/>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default" w:ascii="Times New Roman" w:hAnsi="Times New Roman" w:cs="Times New Roman"/>
          <w:lang w:val="en-US"/>
        </w:rPr>
      </w:pPr>
      <w:bookmarkStart w:id="8" w:name="_Toc24099"/>
      <w:bookmarkStart w:id="9" w:name="_Toc31069"/>
      <w:bookmarkStart w:id="10" w:name="_Toc18923"/>
      <w:bookmarkStart w:id="11" w:name="_Toc12382"/>
      <w:bookmarkStart w:id="12" w:name="_Toc25247"/>
      <w:r>
        <w:rPr>
          <w:rFonts w:hint="default" w:ascii="Times New Roman" w:hAnsi="Times New Roman" w:cs="Times New Roman"/>
          <w:lang w:val="en-US"/>
        </w:rPr>
        <w:t>一、项目</w:t>
      </w:r>
      <w:bookmarkStart w:id="13" w:name="_Toc533579706"/>
      <w:bookmarkStart w:id="14" w:name="项目背景"/>
      <w:r>
        <w:rPr>
          <w:rFonts w:hint="default" w:ascii="Times New Roman" w:hAnsi="Times New Roman" w:cs="Times New Roman"/>
          <w:lang w:val="en-US"/>
        </w:rPr>
        <w:t>基本情况</w:t>
      </w:r>
      <w:bookmarkEnd w:id="8"/>
      <w:bookmarkEnd w:id="9"/>
      <w:bookmarkEnd w:id="10"/>
      <w:bookmarkEnd w:id="11"/>
      <w:bookmarkEnd w:id="12"/>
    </w:p>
    <w:p w14:paraId="5F999214">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321" w:firstLineChars="100"/>
        <w:textAlignment w:val="auto"/>
        <w:rPr>
          <w:rFonts w:hint="default" w:ascii="Times New Roman" w:hAnsi="Times New Roman" w:cs="Times New Roman"/>
          <w:highlight w:val="none"/>
        </w:rPr>
      </w:pPr>
      <w:bookmarkStart w:id="15" w:name="_Toc29911"/>
      <w:bookmarkStart w:id="16" w:name="_Toc17550"/>
      <w:bookmarkStart w:id="17" w:name="_Toc873"/>
      <w:bookmarkStart w:id="18" w:name="_Toc3447"/>
      <w:bookmarkStart w:id="19" w:name="_Toc3008"/>
      <w:r>
        <w:rPr>
          <w:rFonts w:hint="default" w:ascii="Times New Roman" w:hAnsi="Times New Roman" w:cs="Times New Roman"/>
          <w:highlight w:val="none"/>
        </w:rPr>
        <w:t>（一）项目</w:t>
      </w:r>
      <w:bookmarkEnd w:id="13"/>
      <w:r>
        <w:rPr>
          <w:rFonts w:hint="default" w:ascii="Times New Roman" w:hAnsi="Times New Roman" w:cs="Times New Roman"/>
          <w:highlight w:val="none"/>
        </w:rPr>
        <w:t>背景</w:t>
      </w:r>
      <w:bookmarkEnd w:id="15"/>
      <w:bookmarkEnd w:id="16"/>
      <w:bookmarkEnd w:id="17"/>
      <w:bookmarkEnd w:id="18"/>
      <w:bookmarkEnd w:id="19"/>
    </w:p>
    <w:bookmarkEnd w:id="14"/>
    <w:p w14:paraId="483738AB">
      <w:pPr>
        <w:keepNext w:val="0"/>
        <w:keepLines w:val="0"/>
        <w:pageBreakBefore w:val="0"/>
        <w:widowControl w:val="0"/>
        <w:kinsoku/>
        <w:wordWrap/>
        <w:overflowPunct w:val="0"/>
        <w:topLinePunct w:val="0"/>
        <w:autoSpaceDE w:val="0"/>
        <w:autoSpaceDN w:val="0"/>
        <w:bidi w:val="0"/>
        <w:adjustRightInd/>
        <w:snapToGrid w:val="0"/>
        <w:spacing w:line="600" w:lineRule="exact"/>
        <w:ind w:firstLine="640" w:firstLineChars="200"/>
        <w:jc w:val="both"/>
        <w:textAlignment w:val="auto"/>
        <w:rPr>
          <w:rFonts w:hint="default" w:ascii="Times New Roman" w:hAnsi="Times New Roman" w:eastAsia="仿宋_GB2312" w:cs="Times New Roman"/>
          <w:sz w:val="32"/>
          <w:szCs w:val="22"/>
          <w:lang w:val="zh-CN" w:eastAsia="zh-CN" w:bidi="zh-CN"/>
        </w:rPr>
      </w:pPr>
      <w:r>
        <w:rPr>
          <w:rFonts w:hint="default" w:ascii="Times New Roman" w:hAnsi="Times New Roman" w:eastAsia="仿宋_GB2312" w:cs="Times New Roman"/>
          <w:sz w:val="32"/>
          <w:szCs w:val="22"/>
          <w:lang w:val="en-US" w:eastAsia="zh-CN" w:bidi="zh-CN"/>
        </w:rPr>
        <w:t>近年来，永州市坚持以信息产业为引领，强化智慧城市体制机制建设，加快推进产业转型升级，致力于打造“智慧永州”，全面推进智慧政务、智慧交通、智慧旅游、智慧医疗、智慧教育、智慧食药安全等项目建设。随着华为、甲骨文、阿里巴巴等一批国际知名IT企业集群式落户，全市统一的电子政务公共平台（云计算中心）、政务数据中心、社会治理、城市管理和公共服务一体化综合应用平台等初步构建成型，创新城市社区网格化社会防控体系，建</w:t>
      </w:r>
      <w:r>
        <w:rPr>
          <w:rFonts w:hint="eastAsia" w:ascii="仿宋_GB2312" w:hAnsi="仿宋_GB2312" w:eastAsia="仿宋_GB2312" w:cs="仿宋_GB2312"/>
          <w:sz w:val="32"/>
          <w:szCs w:val="22"/>
          <w:lang w:val="en-US" w:eastAsia="zh-CN" w:bidi="zh-CN"/>
        </w:rPr>
        <w:t>立了基于社区的“一站式”基层综合服务平台，持续推进</w:t>
      </w:r>
      <w:r>
        <w:rPr>
          <w:rFonts w:hint="default" w:ascii="Times New Roman" w:hAnsi="Times New Roman" w:eastAsia="仿宋_GB2312" w:cs="Times New Roman"/>
          <w:sz w:val="32"/>
          <w:szCs w:val="22"/>
          <w:lang w:val="en-US" w:eastAsia="zh-CN" w:bidi="zh-CN"/>
        </w:rPr>
        <w:t>公共服务事项下放社区，提高社区公共服务水平。</w:t>
      </w:r>
    </w:p>
    <w:p w14:paraId="7B15F9BD">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321" w:firstLineChars="100"/>
        <w:textAlignment w:val="auto"/>
        <w:rPr>
          <w:rFonts w:hint="default" w:ascii="Times New Roman" w:hAnsi="Times New Roman" w:cs="Times New Roman"/>
        </w:rPr>
      </w:pPr>
      <w:bookmarkStart w:id="20" w:name="_Toc21632"/>
      <w:bookmarkStart w:id="21" w:name="_Toc1782"/>
      <w:bookmarkStart w:id="22" w:name="_Toc14427"/>
      <w:bookmarkStart w:id="23" w:name="_Toc9944"/>
      <w:bookmarkStart w:id="24" w:name="_Toc27457"/>
      <w:bookmarkStart w:id="25" w:name="项目预算"/>
      <w:r>
        <w:rPr>
          <w:rFonts w:hint="default" w:ascii="Times New Roman" w:hAnsi="Times New Roman" w:cs="Times New Roman"/>
        </w:rPr>
        <w:t>（二）项目主要建设内容及实施情况</w:t>
      </w:r>
      <w:bookmarkEnd w:id="20"/>
      <w:bookmarkEnd w:id="21"/>
      <w:bookmarkEnd w:id="22"/>
      <w:bookmarkEnd w:id="23"/>
      <w:bookmarkEnd w:id="24"/>
    </w:p>
    <w:p w14:paraId="1A9235E8">
      <w:pPr>
        <w:keepNext w:val="0"/>
        <w:keepLines w:val="0"/>
        <w:pageBreakBefore w:val="0"/>
        <w:widowControl w:val="0"/>
        <w:kinsoku/>
        <w:wordWrap/>
        <w:overflowPunct w:val="0"/>
        <w:topLinePunct w:val="0"/>
        <w:autoSpaceDE w:val="0"/>
        <w:autoSpaceDN w:val="0"/>
        <w:bidi w:val="0"/>
        <w:adjustRightInd/>
        <w:snapToGrid w:val="0"/>
        <w:spacing w:line="600" w:lineRule="exact"/>
        <w:ind w:firstLine="640" w:firstLineChars="200"/>
        <w:jc w:val="both"/>
        <w:textAlignment w:val="auto"/>
        <w:rPr>
          <w:rFonts w:hint="default" w:ascii="Times New Roman" w:hAnsi="Times New Roman" w:eastAsia="仿宋_GB2312" w:cs="Times New Roman"/>
          <w:sz w:val="32"/>
          <w:highlight w:val="yellow"/>
          <w:lang w:eastAsia="zh-CN"/>
        </w:rPr>
      </w:pPr>
      <w:r>
        <w:rPr>
          <w:rFonts w:hint="default" w:ascii="Times New Roman" w:hAnsi="Times New Roman" w:eastAsia="仿宋_GB2312" w:cs="Times New Roman"/>
          <w:sz w:val="32"/>
          <w:szCs w:val="22"/>
          <w:lang w:val="en-US" w:eastAsia="zh-CN" w:bidi="zh-CN"/>
        </w:rPr>
        <w:t>该项目包括三个方面内容：一是信息化平台建设，主要是数字永州指挥中心与市应急指挥中心系统互通项目、永州市“湘易办”旗舰店建设及推广应用项目、涉M高清电视会议系统设备（涉M）等；</w:t>
      </w:r>
      <w:r>
        <w:rPr>
          <w:rFonts w:hint="default" w:ascii="Times New Roman" w:hAnsi="Times New Roman" w:eastAsia="仿宋_GB2312" w:cs="Times New Roman"/>
          <w:sz w:val="32"/>
          <w:szCs w:val="22"/>
          <w:highlight w:val="none"/>
          <w:lang w:val="en-US" w:eastAsia="zh-CN" w:bidi="zh-CN"/>
        </w:rPr>
        <w:t>二是配套设施租赁</w:t>
      </w:r>
      <w:r>
        <w:rPr>
          <w:rFonts w:hint="eastAsia" w:ascii="Times New Roman" w:hAnsi="Times New Roman" w:eastAsia="仿宋_GB2312" w:cs="Times New Roman"/>
          <w:sz w:val="32"/>
          <w:szCs w:val="22"/>
          <w:highlight w:val="none"/>
          <w:lang w:val="en-US" w:eastAsia="zh-CN" w:bidi="zh-CN"/>
        </w:rPr>
        <w:t>及服务采购</w:t>
      </w:r>
      <w:r>
        <w:rPr>
          <w:rFonts w:hint="default" w:ascii="Times New Roman" w:hAnsi="Times New Roman" w:eastAsia="仿宋_GB2312" w:cs="Times New Roman"/>
          <w:sz w:val="32"/>
          <w:szCs w:val="22"/>
          <w:highlight w:val="none"/>
          <w:lang w:val="en-US" w:eastAsia="zh-CN" w:bidi="zh-CN"/>
        </w:rPr>
        <w:t>，主要是市政务云计算中心机房租赁</w:t>
      </w:r>
      <w:r>
        <w:rPr>
          <w:rFonts w:hint="eastAsia" w:ascii="Times New Roman" w:hAnsi="Times New Roman" w:eastAsia="仿宋_GB2312" w:cs="Times New Roman"/>
          <w:sz w:val="32"/>
          <w:szCs w:val="22"/>
          <w:highlight w:val="none"/>
          <w:lang w:val="en-US" w:eastAsia="zh-CN" w:bidi="zh-CN"/>
        </w:rPr>
        <w:t>、</w:t>
      </w:r>
      <w:r>
        <w:rPr>
          <w:rFonts w:hint="default" w:ascii="Times New Roman" w:hAnsi="Times New Roman" w:eastAsia="仿宋_GB2312" w:cs="Times New Roman"/>
          <w:sz w:val="32"/>
          <w:szCs w:val="22"/>
          <w:highlight w:val="none"/>
          <w:lang w:val="en-US" w:eastAsia="zh-CN" w:bidi="zh-CN"/>
        </w:rPr>
        <w:t>电子政务外网网络租赁</w:t>
      </w:r>
      <w:r>
        <w:rPr>
          <w:rFonts w:hint="eastAsia" w:ascii="Times New Roman" w:hAnsi="Times New Roman" w:eastAsia="仿宋_GB2312" w:cs="Times New Roman"/>
          <w:sz w:val="32"/>
          <w:szCs w:val="22"/>
          <w:highlight w:val="none"/>
          <w:lang w:val="en-US" w:eastAsia="zh-CN" w:bidi="zh-CN"/>
        </w:rPr>
        <w:t>、“互联网+政务服务”短信服务、永州市云计算服务项目、电信电路服务业务费用</w:t>
      </w:r>
      <w:r>
        <w:rPr>
          <w:rFonts w:hint="default" w:ascii="Times New Roman" w:hAnsi="Times New Roman" w:eastAsia="仿宋_GB2312" w:cs="Times New Roman"/>
          <w:sz w:val="32"/>
          <w:szCs w:val="22"/>
          <w:highlight w:val="none"/>
          <w:lang w:val="en-US" w:eastAsia="zh-CN" w:bidi="zh-CN"/>
        </w:rPr>
        <w:t>；三是</w:t>
      </w:r>
      <w:r>
        <w:rPr>
          <w:rFonts w:hint="eastAsia" w:ascii="Times New Roman" w:hAnsi="Times New Roman" w:eastAsia="仿宋_GB2312" w:cs="Times New Roman"/>
          <w:sz w:val="32"/>
          <w:szCs w:val="22"/>
          <w:highlight w:val="none"/>
          <w:lang w:val="en-US" w:eastAsia="zh-CN" w:bidi="zh-CN"/>
        </w:rPr>
        <w:t>信息化项目运维</w:t>
      </w:r>
      <w:r>
        <w:rPr>
          <w:rFonts w:hint="default" w:ascii="Times New Roman" w:hAnsi="Times New Roman" w:eastAsia="仿宋_GB2312" w:cs="Times New Roman"/>
          <w:sz w:val="32"/>
          <w:szCs w:val="22"/>
          <w:highlight w:val="none"/>
          <w:lang w:val="en-US" w:eastAsia="zh-CN" w:bidi="zh-CN"/>
        </w:rPr>
        <w:t>，主要是永州市政府门户网站运维</w:t>
      </w:r>
      <w:r>
        <w:rPr>
          <w:rFonts w:hint="eastAsia" w:ascii="Times New Roman" w:hAnsi="Times New Roman" w:eastAsia="仿宋_GB2312" w:cs="Times New Roman"/>
          <w:sz w:val="32"/>
          <w:szCs w:val="22"/>
          <w:highlight w:val="none"/>
          <w:lang w:val="en-US" w:eastAsia="zh-CN" w:bidi="zh-CN"/>
        </w:rPr>
        <w:t>、永州智慧政协（二期）项目、“智慧永州”一期、二期项目、永州市公共安全视频监控建设联网应用项目（雪亮工程）</w:t>
      </w:r>
      <w:r>
        <w:rPr>
          <w:rFonts w:hint="default" w:ascii="Times New Roman" w:hAnsi="Times New Roman" w:eastAsia="仿宋_GB2312" w:cs="Times New Roman"/>
          <w:sz w:val="32"/>
          <w:szCs w:val="22"/>
          <w:highlight w:val="none"/>
          <w:lang w:val="en-US" w:eastAsia="zh-CN" w:bidi="zh-CN"/>
        </w:rPr>
        <w:t>。</w:t>
      </w:r>
    </w:p>
    <w:p w14:paraId="72945553">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321" w:firstLineChars="100"/>
        <w:textAlignment w:val="auto"/>
        <w:rPr>
          <w:rFonts w:hint="default" w:ascii="Times New Roman" w:hAnsi="Times New Roman" w:cs="Times New Roman"/>
        </w:rPr>
      </w:pPr>
      <w:bookmarkStart w:id="26" w:name="_Toc25527"/>
      <w:bookmarkStart w:id="27" w:name="项目预算绩效目标及指标"/>
      <w:bookmarkStart w:id="28" w:name="_Toc820"/>
      <w:bookmarkStart w:id="29" w:name="_Toc5464"/>
      <w:bookmarkStart w:id="30" w:name="_Toc24741"/>
      <w:bookmarkStart w:id="31" w:name="_Toc29662"/>
      <w:r>
        <w:rPr>
          <w:rFonts w:hint="default" w:ascii="Times New Roman" w:hAnsi="Times New Roman" w:cs="Times New Roman"/>
        </w:rPr>
        <w:t>（三）项目预算绩效目标</w:t>
      </w:r>
      <w:bookmarkEnd w:id="26"/>
      <w:bookmarkEnd w:id="27"/>
      <w:bookmarkEnd w:id="28"/>
      <w:bookmarkEnd w:id="29"/>
      <w:bookmarkEnd w:id="30"/>
      <w:bookmarkEnd w:id="31"/>
    </w:p>
    <w:p w14:paraId="065C4883">
      <w:pPr>
        <w:pStyle w:val="5"/>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cs="Times New Roman"/>
        </w:rPr>
      </w:pPr>
      <w:bookmarkStart w:id="32" w:name="_Toc3828"/>
      <w:bookmarkStart w:id="33" w:name="_Toc26329"/>
      <w:bookmarkStart w:id="34" w:name="_Toc32287"/>
      <w:bookmarkStart w:id="35" w:name="_Toc7890"/>
      <w:bookmarkStart w:id="36" w:name="_Toc266"/>
      <w:bookmarkStart w:id="37" w:name="_Toc333"/>
      <w:bookmarkStart w:id="38" w:name="_Toc24046"/>
      <w:r>
        <w:rPr>
          <w:rFonts w:hint="default" w:ascii="Times New Roman" w:hAnsi="Times New Roman" w:cs="Times New Roman"/>
        </w:rPr>
        <w:t>1.总体绩效目标</w:t>
      </w:r>
      <w:bookmarkEnd w:id="32"/>
      <w:bookmarkEnd w:id="33"/>
      <w:bookmarkEnd w:id="34"/>
      <w:bookmarkEnd w:id="35"/>
      <w:bookmarkEnd w:id="36"/>
      <w:bookmarkEnd w:id="37"/>
      <w:bookmarkEnd w:id="38"/>
    </w:p>
    <w:p w14:paraId="15EB1790">
      <w:pPr>
        <w:keepNext w:val="0"/>
        <w:keepLines w:val="0"/>
        <w:pageBreakBefore w:val="0"/>
        <w:widowControl w:val="0"/>
        <w:kinsoku/>
        <w:wordWrap/>
        <w:overflowPunct w:val="0"/>
        <w:topLinePunct w:val="0"/>
        <w:autoSpaceDE w:val="0"/>
        <w:autoSpaceDN w:val="0"/>
        <w:bidi w:val="0"/>
        <w:adjustRightInd/>
        <w:snapToGrid w:val="0"/>
        <w:spacing w:line="600" w:lineRule="exact"/>
        <w:ind w:firstLine="640" w:firstLineChars="200"/>
        <w:jc w:val="both"/>
        <w:textAlignment w:val="auto"/>
        <w:rPr>
          <w:rFonts w:hint="default" w:ascii="Times New Roman" w:hAnsi="Times New Roman" w:eastAsia="仿宋_GB2312" w:cs="Times New Roman"/>
          <w:sz w:val="32"/>
          <w:szCs w:val="22"/>
          <w:lang w:val="zh-CN" w:eastAsia="zh-CN" w:bidi="zh-CN"/>
        </w:rPr>
      </w:pPr>
      <w:r>
        <w:rPr>
          <w:rFonts w:hint="default" w:ascii="Times New Roman" w:hAnsi="Times New Roman" w:eastAsia="仿宋_GB2312" w:cs="Times New Roman"/>
          <w:sz w:val="32"/>
          <w:szCs w:val="22"/>
          <w:lang w:val="zh-CN" w:eastAsia="zh-CN" w:bidi="zh-CN"/>
        </w:rPr>
        <w:t>建设以云计算中心和政务数据中心为基础的电子政务公共平台，为智慧永州综合应用及电子政务集约化发展提供基础设施及基础资源支撑。</w:t>
      </w:r>
      <w:r>
        <w:rPr>
          <w:rFonts w:hint="default" w:ascii="Times New Roman" w:hAnsi="Times New Roman" w:eastAsia="仿宋_GB2312" w:cs="Times New Roman"/>
          <w:sz w:val="32"/>
          <w:szCs w:val="22"/>
          <w:highlight w:val="none"/>
          <w:lang w:val="zh-CN" w:eastAsia="zh-CN" w:bidi="zh-CN"/>
        </w:rPr>
        <w:t>以数字城管为突破口</w:t>
      </w:r>
      <w:r>
        <w:rPr>
          <w:rFonts w:hint="default" w:ascii="Times New Roman" w:hAnsi="Times New Roman" w:eastAsia="仿宋_GB2312" w:cs="Times New Roman"/>
          <w:sz w:val="32"/>
          <w:szCs w:val="22"/>
          <w:lang w:val="zh-CN" w:eastAsia="zh-CN" w:bidi="zh-CN"/>
        </w:rPr>
        <w:t>，推进电子政务、公共服务、社会治理三位一体的数字化网络平台建设，实现信息化支撑、网格化管理和全程化服务。整合资源，以基础数据库及信息交换共享平台建设为基础，不断推进政务协同、信息共享和服务应用，全面提升公共服务水平。以智慧城市建设为契机，通过建设实施一批标杆性综合应用项目，服务永州经济社会发展，提升城市发展软实力。促进互联互通和信息共享，避免重复建设，增强信息安全与运维保障能力。加强标准建设，规范运作。加强和规范各级综治组织、平台建设、网格建设及服务管理工作标准，规范工作流程、工作制度，不断提高服务管理水平。加强整合资源，力量下移。通过信息资源目录体系和信息交换共享平台建设，实现部门之间信息交换和汇集整合，为各部门业务应用提供基础数据共享服务，支撑全市政务管理和服务应用的基础信息共享交换</w:t>
      </w:r>
      <w:r>
        <w:rPr>
          <w:rFonts w:hint="eastAsia" w:ascii="Times New Roman" w:hAnsi="Times New Roman" w:eastAsia="仿宋_GB2312" w:cs="Times New Roman"/>
          <w:sz w:val="32"/>
          <w:szCs w:val="22"/>
          <w:lang w:val="zh-CN" w:eastAsia="zh-CN" w:bidi="zh-CN"/>
        </w:rPr>
        <w:t>。</w:t>
      </w:r>
    </w:p>
    <w:p w14:paraId="49002694">
      <w:pPr>
        <w:pStyle w:val="5"/>
        <w:pageBreakBefore w:val="0"/>
        <w:widowControl w:val="0"/>
        <w:kinsoku/>
        <w:wordWrap/>
        <w:overflowPunct/>
        <w:topLinePunct w:val="0"/>
        <w:autoSpaceDE/>
        <w:autoSpaceDN/>
        <w:bidi w:val="0"/>
        <w:adjustRightInd w:val="0"/>
        <w:snapToGrid w:val="0"/>
        <w:spacing w:line="600" w:lineRule="exact"/>
        <w:ind w:firstLine="643"/>
        <w:jc w:val="both"/>
        <w:textAlignment w:val="auto"/>
        <w:rPr>
          <w:rFonts w:hint="default" w:ascii="Times New Roman" w:hAnsi="Times New Roman" w:cs="Times New Roman"/>
        </w:rPr>
      </w:pPr>
      <w:bookmarkStart w:id="39" w:name="_Toc2416"/>
      <w:bookmarkStart w:id="40" w:name="_Toc1737"/>
      <w:bookmarkStart w:id="41" w:name="_Toc13440"/>
      <w:bookmarkStart w:id="42" w:name="_Toc4626"/>
      <w:bookmarkStart w:id="43" w:name="_Toc32377"/>
      <w:bookmarkStart w:id="44" w:name="_Toc29696"/>
      <w:r>
        <w:rPr>
          <w:rFonts w:hint="default" w:ascii="Times New Roman" w:hAnsi="Times New Roman" w:cs="Times New Roman"/>
        </w:rPr>
        <w:t>2.年度绩效目标</w:t>
      </w:r>
      <w:bookmarkEnd w:id="39"/>
      <w:bookmarkEnd w:id="40"/>
      <w:bookmarkEnd w:id="41"/>
      <w:bookmarkEnd w:id="42"/>
      <w:bookmarkEnd w:id="43"/>
      <w:bookmarkEnd w:id="44"/>
    </w:p>
    <w:p w14:paraId="5B9A33E1">
      <w:pPr>
        <w:keepNext w:val="0"/>
        <w:keepLines w:val="0"/>
        <w:pageBreakBefore w:val="0"/>
        <w:widowControl w:val="0"/>
        <w:kinsoku/>
        <w:wordWrap/>
        <w:overflowPunct w:val="0"/>
        <w:topLinePunct w:val="0"/>
        <w:autoSpaceDE w:val="0"/>
        <w:autoSpaceDN w:val="0"/>
        <w:bidi w:val="0"/>
        <w:adjustRightInd/>
        <w:snapToGrid w:val="0"/>
        <w:spacing w:line="600" w:lineRule="exact"/>
        <w:ind w:firstLine="640" w:firstLineChars="200"/>
        <w:jc w:val="both"/>
        <w:textAlignment w:val="auto"/>
        <w:rPr>
          <w:rFonts w:hint="default" w:ascii="Times New Roman" w:hAnsi="Times New Roman" w:eastAsia="仿宋_GB2312" w:cs="Times New Roman"/>
          <w:sz w:val="32"/>
          <w:szCs w:val="22"/>
          <w:lang w:val="zh-CN" w:eastAsia="zh-CN" w:bidi="zh-CN"/>
        </w:rPr>
      </w:pPr>
      <w:r>
        <w:rPr>
          <w:rFonts w:hint="default" w:ascii="Times New Roman" w:hAnsi="Times New Roman" w:eastAsia="仿宋_GB2312" w:cs="Times New Roman"/>
          <w:sz w:val="32"/>
          <w:szCs w:val="22"/>
          <w:lang w:val="zh-CN" w:eastAsia="zh-CN" w:bidi="zh-CN"/>
        </w:rPr>
        <w:t>保障电子政务外网线路正常运行，保障云计算中心机房正常运转，保证信息化项目正常运转</w:t>
      </w:r>
      <w:r>
        <w:rPr>
          <w:rFonts w:hint="eastAsia" w:ascii="Times New Roman" w:hAnsi="Times New Roman" w:eastAsia="仿宋_GB2312" w:cs="Times New Roman"/>
          <w:sz w:val="32"/>
          <w:szCs w:val="22"/>
          <w:lang w:val="zh-CN" w:eastAsia="zh-CN" w:bidi="zh-CN"/>
        </w:rPr>
        <w:t>。在数字永州指挥中心实现应急指挥功能，与市应急指挥中心系统互通、互为备份，做到“能看、能听、能说、能指挥”的目标；</w:t>
      </w:r>
      <w:r>
        <w:rPr>
          <w:rFonts w:hint="eastAsia" w:ascii="Times New Roman" w:hAnsi="Times New Roman" w:eastAsia="仿宋_GB2312" w:cs="Times New Roman"/>
          <w:sz w:val="32"/>
          <w:szCs w:val="22"/>
          <w:lang w:val="en-US" w:eastAsia="zh-CN" w:bidi="zh-CN"/>
        </w:rPr>
        <w:t>深入推进全市网络与信息系统安全等级保护工作；实现政协履职与互联网深度融合；</w:t>
      </w:r>
      <w:r>
        <w:rPr>
          <w:rFonts w:hint="default" w:ascii="Times New Roman" w:hAnsi="Times New Roman" w:eastAsia="仿宋_GB2312" w:cs="Times New Roman"/>
          <w:sz w:val="32"/>
          <w:szCs w:val="22"/>
          <w:lang w:val="zh-CN" w:eastAsia="zh-CN" w:bidi="zh-CN"/>
        </w:rPr>
        <w:t>确保人口、空间地理、房屋、法人、城市部件、经济信息六大基础数据库数据清洗更新共享应用工作，持续社会治安</w:t>
      </w:r>
      <w:r>
        <w:rPr>
          <w:rFonts w:hint="default" w:ascii="Times New Roman" w:hAnsi="Times New Roman" w:eastAsia="仿宋_GB2312" w:cs="Times New Roman"/>
          <w:sz w:val="32"/>
          <w:szCs w:val="22"/>
          <w:highlight w:val="none"/>
          <w:lang w:val="zh-CN" w:eastAsia="zh-CN" w:bidi="zh-CN"/>
        </w:rPr>
        <w:t>、计划生育</w:t>
      </w:r>
      <w:r>
        <w:rPr>
          <w:rFonts w:hint="default" w:ascii="Times New Roman" w:hAnsi="Times New Roman" w:eastAsia="仿宋_GB2312" w:cs="Times New Roman"/>
          <w:sz w:val="32"/>
          <w:szCs w:val="22"/>
          <w:lang w:val="zh-CN" w:eastAsia="zh-CN" w:bidi="zh-CN"/>
        </w:rPr>
        <w:t>、信访维稳、环境生态保护、安全监管、区域经济指标等基础数据整合，并进行大数据</w:t>
      </w:r>
      <w:r>
        <w:rPr>
          <w:rFonts w:hint="eastAsia" w:ascii="Times New Roman" w:hAnsi="Times New Roman" w:eastAsia="仿宋_GB2312" w:cs="Times New Roman"/>
          <w:sz w:val="32"/>
          <w:szCs w:val="22"/>
          <w:lang w:val="zh-CN" w:eastAsia="zh-CN" w:bidi="zh-CN"/>
        </w:rPr>
        <w:t>智能</w:t>
      </w:r>
      <w:r>
        <w:rPr>
          <w:rFonts w:hint="default" w:ascii="Times New Roman" w:hAnsi="Times New Roman" w:eastAsia="仿宋_GB2312" w:cs="Times New Roman"/>
          <w:sz w:val="32"/>
          <w:szCs w:val="22"/>
          <w:lang w:val="zh-CN" w:eastAsia="zh-CN" w:bidi="zh-CN"/>
        </w:rPr>
        <w:t>分析，为政府宏观调控决策提供数据支撑；为智慧永州一、二期项目提供云机房，支撑智慧永州一、二期项目的建设和应用，机房及配套设施部署满足智慧永州及电子政务公共平台的建设需要</w:t>
      </w:r>
      <w:r>
        <w:rPr>
          <w:rFonts w:hint="eastAsia" w:ascii="仿宋_GB2312" w:hAnsi="仿宋_GB2312" w:eastAsia="仿宋_GB2312" w:cs="仿宋_GB2312"/>
          <w:sz w:val="32"/>
          <w:szCs w:val="22"/>
          <w:lang w:val="zh-CN" w:eastAsia="zh-CN" w:bidi="zh-CN"/>
        </w:rPr>
        <w:t>；“湘易办”旗舰店建</w:t>
      </w:r>
      <w:r>
        <w:rPr>
          <w:rFonts w:hint="default" w:ascii="Times New Roman" w:hAnsi="Times New Roman" w:eastAsia="仿宋_GB2312" w:cs="Times New Roman"/>
          <w:sz w:val="32"/>
          <w:szCs w:val="22"/>
          <w:lang w:val="zh-CN" w:eastAsia="zh-CN" w:bidi="zh-CN"/>
        </w:rPr>
        <w:t>设及推广应用项</w:t>
      </w:r>
      <w:r>
        <w:rPr>
          <w:rFonts w:hint="eastAsia" w:ascii="仿宋_GB2312" w:hAnsi="仿宋_GB2312" w:eastAsia="仿宋_GB2312" w:cs="仿宋_GB2312"/>
          <w:sz w:val="32"/>
          <w:szCs w:val="22"/>
          <w:lang w:val="zh-CN" w:eastAsia="zh-CN" w:bidi="zh-CN"/>
        </w:rPr>
        <w:t>目“一网通办”</w:t>
      </w:r>
      <w:r>
        <w:rPr>
          <w:rFonts w:hint="default" w:ascii="Times New Roman" w:hAnsi="Times New Roman" w:eastAsia="仿宋_GB2312" w:cs="Times New Roman"/>
          <w:sz w:val="32"/>
          <w:szCs w:val="22"/>
          <w:lang w:val="zh-CN" w:eastAsia="zh-CN" w:bidi="zh-CN"/>
        </w:rPr>
        <w:t>事项达到700项，集成可应用的电子证照种类达到80类</w:t>
      </w:r>
      <w:r>
        <w:rPr>
          <w:rFonts w:hint="eastAsia" w:ascii="仿宋_GB2312" w:hAnsi="仿宋_GB2312" w:eastAsia="仿宋_GB2312" w:cs="仿宋_GB2312"/>
          <w:sz w:val="32"/>
          <w:szCs w:val="22"/>
          <w:lang w:val="zh-CN" w:eastAsia="zh-CN" w:bidi="zh-CN"/>
        </w:rPr>
        <w:t>，“湘易办”</w:t>
      </w:r>
      <w:r>
        <w:rPr>
          <w:rFonts w:hint="default" w:ascii="Times New Roman" w:hAnsi="Times New Roman" w:eastAsia="仿宋_GB2312" w:cs="Times New Roman"/>
          <w:sz w:val="32"/>
          <w:szCs w:val="22"/>
          <w:lang w:val="zh-CN" w:eastAsia="zh-CN" w:bidi="zh-CN"/>
        </w:rPr>
        <w:t>用户数量达到230万用户</w:t>
      </w:r>
      <w:r>
        <w:rPr>
          <w:rFonts w:hint="eastAsia" w:ascii="Times New Roman" w:hAnsi="Times New Roman" w:eastAsia="仿宋_GB2312" w:cs="Times New Roman"/>
          <w:sz w:val="32"/>
          <w:szCs w:val="22"/>
          <w:lang w:val="zh-CN" w:eastAsia="zh-CN" w:bidi="zh-CN"/>
        </w:rPr>
        <w:t>。</w:t>
      </w:r>
    </w:p>
    <w:p w14:paraId="6E0D3B72">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321" w:firstLineChars="100"/>
        <w:textAlignment w:val="auto"/>
        <w:rPr>
          <w:rFonts w:hint="default" w:ascii="Times New Roman" w:hAnsi="Times New Roman" w:cs="Times New Roman"/>
          <w:highlight w:val="none"/>
        </w:rPr>
      </w:pPr>
      <w:bookmarkStart w:id="45" w:name="_Toc32452"/>
      <w:bookmarkStart w:id="46" w:name="_Toc32722"/>
      <w:bookmarkStart w:id="47" w:name="_Toc31689"/>
      <w:bookmarkStart w:id="48" w:name="_Toc7679"/>
      <w:bookmarkStart w:id="49" w:name="_Toc32720"/>
      <w:bookmarkStart w:id="50" w:name="项目资金管理情况"/>
      <w:r>
        <w:rPr>
          <w:rFonts w:hint="default" w:ascii="Times New Roman" w:hAnsi="Times New Roman" w:cs="Times New Roman"/>
          <w:highlight w:val="none"/>
        </w:rPr>
        <w:t>（四）项目资金</w:t>
      </w:r>
      <w:r>
        <w:rPr>
          <w:rFonts w:hint="default" w:ascii="Times New Roman" w:hAnsi="Times New Roman" w:cs="Times New Roman"/>
          <w:highlight w:val="none"/>
          <w:lang w:val="en-US" w:eastAsia="zh-CN"/>
        </w:rPr>
        <w:t>基本</w:t>
      </w:r>
      <w:r>
        <w:rPr>
          <w:rFonts w:hint="default" w:ascii="Times New Roman" w:hAnsi="Times New Roman" w:cs="Times New Roman"/>
          <w:highlight w:val="none"/>
        </w:rPr>
        <w:t>情况</w:t>
      </w:r>
      <w:bookmarkEnd w:id="45"/>
      <w:bookmarkEnd w:id="46"/>
      <w:bookmarkEnd w:id="47"/>
      <w:bookmarkEnd w:id="48"/>
      <w:bookmarkEnd w:id="49"/>
    </w:p>
    <w:bookmarkEnd w:id="50"/>
    <w:p w14:paraId="00A4AAFB">
      <w:pPr>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本次评价的永州市公共服务信息化运维项目安排预算5412.69万元，实际到位5412.69万元，资金到位率100%，截至2023年12月31日，实际支</w:t>
      </w:r>
      <w:r>
        <w:rPr>
          <w:rFonts w:hint="default" w:ascii="Times New Roman" w:hAnsi="Times New Roman" w:eastAsia="仿宋_GB2312" w:cs="Times New Roman"/>
          <w:sz w:val="32"/>
          <w:szCs w:val="32"/>
          <w:highlight w:val="none"/>
          <w:lang w:val="en-US" w:eastAsia="zh-CN" w:bidi="zh-CN"/>
        </w:rPr>
        <w:t>出2535.89万元</w:t>
      </w:r>
      <w:r>
        <w:rPr>
          <w:rFonts w:hint="default" w:ascii="Times New Roman" w:hAnsi="Times New Roman" w:eastAsia="仿宋_GB2312" w:cs="Times New Roman"/>
          <w:sz w:val="32"/>
          <w:szCs w:val="32"/>
          <w:lang w:val="en-US" w:eastAsia="zh-CN" w:bidi="zh-CN"/>
        </w:rPr>
        <w:t>；截至2024年3月底，实际支出5191.10万元，预算执行率95.91%，具体支出明细见下表：</w:t>
      </w:r>
    </w:p>
    <w:p w14:paraId="7D65230E">
      <w:pPr>
        <w:keepNext/>
        <w:keepLines/>
        <w:pageBreakBefore w:val="0"/>
        <w:widowControl w:val="0"/>
        <w:kinsoku/>
        <w:wordWrap/>
        <w:overflowPunct/>
        <w:topLinePunct w:val="0"/>
        <w:autoSpaceDE w:val="0"/>
        <w:autoSpaceDN w:val="0"/>
        <w:bidi w:val="0"/>
        <w:adjustRightInd/>
        <w:snapToGrid w:val="0"/>
        <w:spacing w:line="600" w:lineRule="exact"/>
        <w:jc w:val="center"/>
        <w:textAlignment w:val="auto"/>
        <w:outlineLvl w:val="9"/>
        <w:rPr>
          <w:rFonts w:hint="eastAsia" w:ascii="黑体" w:hAnsi="黑体" w:eastAsia="黑体" w:cs="黑体"/>
          <w:sz w:val="24"/>
          <w:szCs w:val="24"/>
          <w:lang w:val="en-US" w:eastAsia="zh-CN" w:bidi="zh-CN"/>
        </w:rPr>
      </w:pPr>
      <w:r>
        <w:rPr>
          <w:rFonts w:hint="eastAsia" w:ascii="黑体" w:hAnsi="黑体" w:eastAsia="黑体" w:cs="黑体"/>
          <w:sz w:val="24"/>
          <w:szCs w:val="24"/>
          <w:lang w:val="en-US" w:eastAsia="zh-CN" w:bidi="zh-CN"/>
        </w:rPr>
        <w:t>表1-1 永州市公共服务信息化运维项目支出明细表（截至2024-4-29）</w:t>
      </w:r>
    </w:p>
    <w:p w14:paraId="04EC9ACB">
      <w:pPr>
        <w:pStyle w:val="2"/>
        <w:jc w:val="right"/>
        <w:rPr>
          <w:rFonts w:hint="default" w:ascii="黑体" w:hAnsi="黑体" w:eastAsia="黑体" w:cs="黑体"/>
          <w:color w:val="auto"/>
          <w:sz w:val="24"/>
          <w:szCs w:val="24"/>
          <w:lang w:val="en-US" w:eastAsia="zh-CN" w:bidi="zh-CN"/>
        </w:rPr>
      </w:pPr>
      <w:r>
        <w:rPr>
          <w:rFonts w:hint="eastAsia" w:ascii="黑体" w:hAnsi="黑体" w:eastAsia="黑体" w:cs="黑体"/>
          <w:color w:val="auto"/>
          <w:sz w:val="24"/>
          <w:szCs w:val="24"/>
          <w:lang w:val="en-US" w:eastAsia="zh-CN" w:bidi="zh-CN"/>
        </w:rPr>
        <w:t>单位：万元</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2124"/>
        <w:gridCol w:w="1236"/>
        <w:gridCol w:w="1224"/>
        <w:gridCol w:w="1188"/>
        <w:gridCol w:w="912"/>
        <w:gridCol w:w="1093"/>
      </w:tblGrid>
      <w:tr w14:paraId="6D4C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70DBC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序号</w:t>
            </w:r>
          </w:p>
        </w:tc>
        <w:tc>
          <w:tcPr>
            <w:tcW w:w="212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8F5E2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项目名称</w:t>
            </w:r>
          </w:p>
        </w:tc>
        <w:tc>
          <w:tcPr>
            <w:tcW w:w="123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40939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指标金额</w:t>
            </w:r>
          </w:p>
        </w:tc>
        <w:tc>
          <w:tcPr>
            <w:tcW w:w="122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259B9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到位金额</w:t>
            </w:r>
          </w:p>
        </w:tc>
        <w:tc>
          <w:tcPr>
            <w:tcW w:w="118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DD4E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支付金额</w:t>
            </w:r>
          </w:p>
        </w:tc>
        <w:tc>
          <w:tcPr>
            <w:tcW w:w="91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36687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结余</w:t>
            </w:r>
          </w:p>
        </w:tc>
        <w:tc>
          <w:tcPr>
            <w:tcW w:w="10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D0606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备注</w:t>
            </w:r>
          </w:p>
        </w:tc>
      </w:tr>
      <w:tr w14:paraId="731C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C1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12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永州市政府门户网站运维</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823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48.60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30B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48.60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3AF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48.60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34A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DA0">
            <w:pPr>
              <w:rPr>
                <w:rFonts w:hint="default" w:ascii="Times New Roman" w:hAnsi="Times New Roman" w:eastAsia="仿宋_GB2312" w:cs="Times New Roman"/>
                <w:i w:val="0"/>
                <w:iCs w:val="0"/>
                <w:color w:val="000000"/>
                <w:sz w:val="21"/>
                <w:szCs w:val="21"/>
                <w:u w:val="none"/>
              </w:rPr>
            </w:pPr>
          </w:p>
        </w:tc>
      </w:tr>
      <w:tr w14:paraId="3704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66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E6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数字永州指挥中心与市应急指挥中心系统互通项目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9AB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27.12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F5C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4BD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27.12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450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4D0">
            <w:pPr>
              <w:rPr>
                <w:rFonts w:hint="default" w:ascii="Times New Roman" w:hAnsi="Times New Roman" w:eastAsia="仿宋_GB2312" w:cs="Times New Roman"/>
                <w:i w:val="0"/>
                <w:iCs w:val="0"/>
                <w:color w:val="000000"/>
                <w:sz w:val="21"/>
                <w:szCs w:val="21"/>
                <w:u w:val="none"/>
              </w:rPr>
            </w:pPr>
          </w:p>
        </w:tc>
      </w:tr>
      <w:tr w14:paraId="393D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CD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26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永州市“湘易办”旗舰店建设及推广应用项目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268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195.79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DF5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195.79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73F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166.20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E0F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29.59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2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其中28.26万元为电子证照尾款，1.33万元为协商核减金额</w:t>
            </w:r>
          </w:p>
        </w:tc>
      </w:tr>
      <w:tr w14:paraId="2992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DA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3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全市政府信息系统等级保护测评</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38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5E5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394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A2B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C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项目未完结</w:t>
            </w:r>
          </w:p>
        </w:tc>
      </w:tr>
      <w:tr w14:paraId="0F61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9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2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市政务云计算中心机房租赁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7C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FF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100.66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E2D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100.66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9A6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2ED">
            <w:pPr>
              <w:rPr>
                <w:rFonts w:hint="default" w:ascii="Times New Roman" w:hAnsi="Times New Roman" w:eastAsia="仿宋_GB2312" w:cs="Times New Roman"/>
                <w:i w:val="0"/>
                <w:iCs w:val="0"/>
                <w:color w:val="000000"/>
                <w:sz w:val="21"/>
                <w:szCs w:val="21"/>
                <w:u w:val="none"/>
              </w:rPr>
            </w:pPr>
          </w:p>
        </w:tc>
      </w:tr>
      <w:tr w14:paraId="5613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8F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F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电子政务外网网络租赁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69C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358.13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2AB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358.13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9C4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358.13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353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DD08">
            <w:pPr>
              <w:rPr>
                <w:rFonts w:hint="default" w:ascii="Times New Roman" w:hAnsi="Times New Roman" w:eastAsia="仿宋_GB2312" w:cs="Times New Roman"/>
                <w:i w:val="0"/>
                <w:iCs w:val="0"/>
                <w:color w:val="000000"/>
                <w:sz w:val="21"/>
                <w:szCs w:val="21"/>
                <w:u w:val="none"/>
              </w:rPr>
            </w:pPr>
          </w:p>
        </w:tc>
      </w:tr>
      <w:tr w14:paraId="0F6B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8F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“互联网+政务服务”短信服务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E7E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3A5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9AA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3CD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B26">
            <w:pPr>
              <w:rPr>
                <w:rFonts w:hint="default" w:ascii="Times New Roman" w:hAnsi="Times New Roman" w:eastAsia="仿宋_GB2312" w:cs="Times New Roman"/>
                <w:i w:val="0"/>
                <w:iCs w:val="0"/>
                <w:color w:val="000000"/>
                <w:sz w:val="21"/>
                <w:szCs w:val="21"/>
                <w:u w:val="none"/>
              </w:rPr>
            </w:pPr>
          </w:p>
        </w:tc>
      </w:tr>
      <w:tr w14:paraId="2067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B3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CB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市政府办公大楼电子政务内网机房普通密码设备换装（涉M）</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3E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E9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ED3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F79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1845">
            <w:pPr>
              <w:rPr>
                <w:rFonts w:hint="default" w:ascii="Times New Roman" w:hAnsi="Times New Roman" w:eastAsia="仿宋_GB2312" w:cs="Times New Roman"/>
                <w:i w:val="0"/>
                <w:iCs w:val="0"/>
                <w:color w:val="000000"/>
                <w:sz w:val="21"/>
                <w:szCs w:val="21"/>
                <w:u w:val="none"/>
              </w:rPr>
            </w:pPr>
          </w:p>
        </w:tc>
      </w:tr>
      <w:tr w14:paraId="43B1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1D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D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永州智慧政协（二期）项目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E4E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AE9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39D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22.14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FF7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DFA">
            <w:pPr>
              <w:rPr>
                <w:rFonts w:hint="default" w:ascii="Times New Roman" w:hAnsi="Times New Roman" w:eastAsia="仿宋_GB2312" w:cs="Times New Roman"/>
                <w:i w:val="0"/>
                <w:iCs w:val="0"/>
                <w:color w:val="000000"/>
                <w:sz w:val="21"/>
                <w:szCs w:val="21"/>
                <w:u w:val="none"/>
              </w:rPr>
            </w:pPr>
          </w:p>
        </w:tc>
      </w:tr>
      <w:tr w14:paraId="5271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33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F5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涉M高清电视会议系统设备（涉M）</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B3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9DF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0AB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FA5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10A5">
            <w:pPr>
              <w:rPr>
                <w:rFonts w:hint="default" w:ascii="Times New Roman" w:hAnsi="Times New Roman" w:eastAsia="仿宋_GB2312" w:cs="Times New Roman"/>
                <w:i w:val="0"/>
                <w:iCs w:val="0"/>
                <w:color w:val="000000"/>
                <w:sz w:val="21"/>
                <w:szCs w:val="21"/>
                <w:u w:val="none"/>
              </w:rPr>
            </w:pPr>
          </w:p>
        </w:tc>
      </w:tr>
      <w:tr w14:paraId="2F27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7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0C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永州市云计算服务项目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ADD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3,355.29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81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3,355.29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42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3,355.29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A82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D7A">
            <w:pPr>
              <w:rPr>
                <w:rFonts w:hint="default" w:ascii="Times New Roman" w:hAnsi="Times New Roman" w:eastAsia="仿宋_GB2312" w:cs="Times New Roman"/>
                <w:i w:val="0"/>
                <w:iCs w:val="0"/>
                <w:color w:val="000000"/>
                <w:sz w:val="21"/>
                <w:szCs w:val="21"/>
                <w:u w:val="none"/>
              </w:rPr>
            </w:pPr>
          </w:p>
        </w:tc>
      </w:tr>
      <w:tr w14:paraId="23CF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D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40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公共安全视频监控（雪亮工程）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878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34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E1B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513.00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318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DDF6">
            <w:pPr>
              <w:rPr>
                <w:rFonts w:hint="default" w:ascii="Times New Roman" w:hAnsi="Times New Roman" w:eastAsia="仿宋_GB2312" w:cs="Times New Roman"/>
                <w:i w:val="0"/>
                <w:iCs w:val="0"/>
                <w:color w:val="000000"/>
                <w:sz w:val="21"/>
                <w:szCs w:val="21"/>
                <w:u w:val="none"/>
              </w:rPr>
            </w:pPr>
          </w:p>
        </w:tc>
      </w:tr>
      <w:tr w14:paraId="578A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7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7A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智慧永州一期、二期项目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FE9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95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811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927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18B">
            <w:pPr>
              <w:rPr>
                <w:rFonts w:hint="default" w:ascii="Times New Roman" w:hAnsi="Times New Roman" w:eastAsia="仿宋_GB2312" w:cs="Times New Roman"/>
                <w:i w:val="0"/>
                <w:iCs w:val="0"/>
                <w:color w:val="000000"/>
                <w:sz w:val="21"/>
                <w:szCs w:val="21"/>
                <w:u w:val="none"/>
              </w:rPr>
            </w:pPr>
          </w:p>
        </w:tc>
      </w:tr>
      <w:tr w14:paraId="0E70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9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2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电信电路服务业务费用</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D14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18.96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627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18.96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18E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18.96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633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2B98">
            <w:pPr>
              <w:rPr>
                <w:rFonts w:hint="default" w:ascii="Times New Roman" w:hAnsi="Times New Roman" w:eastAsia="仿宋_GB2312" w:cs="Times New Roman"/>
                <w:i w:val="0"/>
                <w:iCs w:val="0"/>
                <w:color w:val="000000"/>
                <w:sz w:val="21"/>
                <w:szCs w:val="21"/>
                <w:u w:val="none"/>
              </w:rPr>
            </w:pPr>
          </w:p>
        </w:tc>
      </w:tr>
      <w:tr w14:paraId="2563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D1B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合计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020E">
            <w:pPr>
              <w:keepNext w:val="0"/>
              <w:keepLines w:val="0"/>
              <w:widowControl/>
              <w:suppressLineNumbers w:val="0"/>
              <w:jc w:val="righ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5,412.69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D80A">
            <w:pPr>
              <w:keepNext w:val="0"/>
              <w:keepLines w:val="0"/>
              <w:widowControl/>
              <w:suppressLineNumbers w:val="0"/>
              <w:jc w:val="righ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5,412.69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7C06">
            <w:pPr>
              <w:keepNext w:val="0"/>
              <w:keepLines w:val="0"/>
              <w:widowControl/>
              <w:suppressLineNumbers w:val="0"/>
              <w:jc w:val="righ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5,191.10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9CDA">
            <w:pPr>
              <w:keepNext w:val="0"/>
              <w:keepLines w:val="0"/>
              <w:widowControl/>
              <w:suppressLineNumbers w:val="0"/>
              <w:jc w:val="righ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221.59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0AD">
            <w:pPr>
              <w:rPr>
                <w:rFonts w:hint="default" w:ascii="Times New Roman" w:hAnsi="Times New Roman" w:eastAsia="仿宋_GB2312" w:cs="Times New Roman"/>
                <w:i w:val="0"/>
                <w:iCs w:val="0"/>
                <w:color w:val="000000"/>
                <w:sz w:val="21"/>
                <w:szCs w:val="21"/>
                <w:u w:val="none"/>
              </w:rPr>
            </w:pPr>
          </w:p>
        </w:tc>
      </w:tr>
    </w:tbl>
    <w:p w14:paraId="7D1998BE">
      <w:pPr>
        <w:pStyle w:val="2"/>
        <w:rPr>
          <w:rFonts w:hint="default"/>
          <w:lang w:val="en-US" w:eastAsia="zh-CN"/>
        </w:rPr>
      </w:pPr>
    </w:p>
    <w:bookmarkEnd w:id="25"/>
    <w:p w14:paraId="521E14DA">
      <w:pPr>
        <w:pStyle w:val="4"/>
        <w:keepNext w:val="0"/>
        <w:keepLines w:val="0"/>
        <w:pageBreakBefore w:val="0"/>
        <w:widowControl w:val="0"/>
        <w:kinsoku/>
        <w:wordWrap/>
        <w:overflowPunct/>
        <w:topLinePunct w:val="0"/>
        <w:autoSpaceDE w:val="0"/>
        <w:autoSpaceDN w:val="0"/>
        <w:bidi w:val="0"/>
        <w:adjustRightInd/>
        <w:snapToGrid w:val="0"/>
        <w:spacing w:line="600" w:lineRule="exact"/>
        <w:ind w:firstLine="321" w:firstLineChars="100"/>
        <w:textAlignment w:val="auto"/>
        <w:rPr>
          <w:rFonts w:hint="default" w:ascii="Times New Roman" w:hAnsi="Times New Roman" w:eastAsia="仿宋_GB2312" w:cs="Times New Roman"/>
          <w:sz w:val="32"/>
          <w:szCs w:val="32"/>
          <w:highlight w:val="none"/>
          <w:lang w:val="en-US" w:eastAsia="zh-CN"/>
        </w:rPr>
      </w:pPr>
      <w:bookmarkStart w:id="51" w:name="_Toc22237"/>
      <w:bookmarkStart w:id="52" w:name="_Toc22287"/>
      <w:bookmarkStart w:id="53" w:name="_Toc7134"/>
      <w:bookmarkStart w:id="54" w:name="_Toc1049"/>
      <w:bookmarkStart w:id="55" w:name="_Toc19589"/>
      <w:bookmarkStart w:id="56" w:name="绩效评价工作情况"/>
      <w:r>
        <w:rPr>
          <w:rFonts w:hint="default" w:ascii="Times New Roman" w:hAnsi="Times New Roman" w:cs="Times New Roman"/>
          <w:highlight w:val="none"/>
        </w:rPr>
        <w:t>（</w:t>
      </w:r>
      <w:r>
        <w:rPr>
          <w:rFonts w:hint="default" w:ascii="Times New Roman" w:hAnsi="Times New Roman" w:cs="Times New Roman"/>
          <w:highlight w:val="none"/>
          <w:lang w:val="en-US" w:eastAsia="zh-CN"/>
        </w:rPr>
        <w:t>五</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组织及管理</w:t>
      </w:r>
      <w:bookmarkEnd w:id="51"/>
      <w:bookmarkEnd w:id="52"/>
      <w:bookmarkEnd w:id="53"/>
      <w:bookmarkEnd w:id="54"/>
    </w:p>
    <w:p w14:paraId="553ACA0D">
      <w:pPr>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_GB2312" w:cs="Times New Roman"/>
          <w:b w:val="0"/>
          <w:bCs/>
          <w:sz w:val="32"/>
          <w:szCs w:val="22"/>
          <w:lang w:val="zh-CN" w:eastAsia="zh-CN" w:bidi="zh-CN"/>
        </w:rPr>
      </w:pPr>
      <w:r>
        <w:rPr>
          <w:rFonts w:hint="eastAsia" w:ascii="Times New Roman" w:hAnsi="Times New Roman" w:eastAsia="仿宋_GB2312" w:cs="Times New Roman"/>
          <w:b w:val="0"/>
          <w:bCs/>
          <w:sz w:val="32"/>
          <w:szCs w:val="22"/>
          <w:lang w:val="en-US" w:eastAsia="zh-CN" w:bidi="zh-CN"/>
        </w:rPr>
        <w:t>项目主管部门分别为永州市行政审批服务局、永州市人民政府办公室、中国人民政治协商会议湖南省永州市委员会以及中国共产党永州市委员会办公室、</w:t>
      </w:r>
      <w:r>
        <w:rPr>
          <w:rFonts w:hint="default" w:ascii="Times New Roman" w:hAnsi="Times New Roman" w:eastAsia="仿宋_GB2312" w:cs="Times New Roman"/>
          <w:b w:val="0"/>
          <w:bCs/>
          <w:sz w:val="32"/>
          <w:szCs w:val="22"/>
          <w:lang w:val="zh-CN" w:eastAsia="zh-CN" w:bidi="zh-CN"/>
        </w:rPr>
        <w:t>永州市行政审批服务局是</w:t>
      </w:r>
      <w:r>
        <w:rPr>
          <w:rFonts w:hint="eastAsia" w:ascii="Times New Roman" w:hAnsi="Times New Roman" w:eastAsia="仿宋_GB2312" w:cs="Times New Roman"/>
          <w:b w:val="0"/>
          <w:bCs/>
          <w:sz w:val="32"/>
          <w:szCs w:val="22"/>
          <w:lang w:val="en-US" w:eastAsia="zh-CN" w:bidi="zh-CN"/>
        </w:rPr>
        <w:t>市政务数据</w:t>
      </w:r>
      <w:r>
        <w:rPr>
          <w:rFonts w:hint="default" w:ascii="Times New Roman" w:hAnsi="Times New Roman" w:eastAsia="仿宋_GB2312" w:cs="Times New Roman"/>
          <w:b w:val="0"/>
          <w:bCs/>
          <w:sz w:val="32"/>
          <w:szCs w:val="22"/>
          <w:lang w:val="zh-CN" w:eastAsia="zh-CN" w:bidi="zh-CN"/>
        </w:rPr>
        <w:t>主管部门，</w:t>
      </w:r>
      <w:r>
        <w:rPr>
          <w:rFonts w:hint="eastAsia" w:ascii="Times New Roman" w:hAnsi="Times New Roman" w:eastAsia="仿宋_GB2312" w:cs="Times New Roman"/>
          <w:b w:val="0"/>
          <w:bCs/>
          <w:sz w:val="32"/>
          <w:szCs w:val="22"/>
          <w:lang w:val="en-US" w:eastAsia="zh-CN" w:bidi="zh-CN"/>
        </w:rPr>
        <w:t>负责统筹全市政务数据管理工作，组织实施政务数据共享应用工作</w:t>
      </w:r>
      <w:r>
        <w:rPr>
          <w:rFonts w:hint="default" w:ascii="Times New Roman" w:hAnsi="Times New Roman" w:eastAsia="仿宋_GB2312" w:cs="Times New Roman"/>
          <w:b w:val="0"/>
          <w:bCs/>
          <w:sz w:val="32"/>
          <w:szCs w:val="22"/>
          <w:lang w:val="zh-CN" w:eastAsia="zh-CN" w:bidi="zh-CN"/>
        </w:rPr>
        <w:t>以及项目的统筹管理、验收及考核等相关工作。</w:t>
      </w:r>
    </w:p>
    <w:p w14:paraId="578BC240">
      <w:pPr>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_GB2312" w:cs="Times New Roman"/>
          <w:b w:val="0"/>
          <w:bCs/>
          <w:sz w:val="32"/>
          <w:szCs w:val="22"/>
          <w:lang w:val="zh-CN" w:eastAsia="zh-CN" w:bidi="zh-CN"/>
        </w:rPr>
      </w:pPr>
      <w:r>
        <w:rPr>
          <w:rFonts w:hint="default" w:ascii="Times New Roman" w:hAnsi="Times New Roman" w:eastAsia="仿宋_GB2312" w:cs="Times New Roman"/>
          <w:b w:val="0"/>
          <w:bCs/>
          <w:sz w:val="32"/>
          <w:szCs w:val="22"/>
          <w:lang w:val="zh-CN" w:eastAsia="zh-CN" w:bidi="zh-CN"/>
        </w:rPr>
        <w:t>永州市财政局负责项目预算的审核及批复，项目资金的审核及拨付，负责对项目资金使用及管理情况进行监督，负责项目绩效目标审核、绩效考核等。</w:t>
      </w:r>
    </w:p>
    <w:p w14:paraId="0DC2ACEE">
      <w:pPr>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_GB2312" w:cs="Times New Roman"/>
          <w:b w:val="0"/>
          <w:bCs/>
          <w:sz w:val="32"/>
          <w:szCs w:val="22"/>
          <w:lang w:val="zh-CN" w:eastAsia="zh-CN" w:bidi="zh-CN"/>
        </w:rPr>
      </w:pPr>
      <w:r>
        <w:rPr>
          <w:rFonts w:hint="default" w:ascii="Times New Roman" w:hAnsi="Times New Roman" w:eastAsia="仿宋_GB2312" w:cs="Times New Roman"/>
          <w:b w:val="0"/>
          <w:bCs/>
          <w:sz w:val="32"/>
          <w:szCs w:val="22"/>
          <w:lang w:val="zh-CN" w:eastAsia="zh-CN" w:bidi="zh-CN"/>
        </w:rPr>
        <w:t>永州市市直单位为</w:t>
      </w:r>
      <w:r>
        <w:rPr>
          <w:rFonts w:hint="eastAsia" w:ascii="Times New Roman" w:hAnsi="Times New Roman" w:eastAsia="仿宋_GB2312" w:cs="Times New Roman"/>
          <w:b w:val="0"/>
          <w:bCs/>
          <w:sz w:val="32"/>
          <w:szCs w:val="22"/>
          <w:lang w:val="en-US" w:eastAsia="zh-CN" w:bidi="zh-CN"/>
        </w:rPr>
        <w:t>该项目</w:t>
      </w:r>
      <w:r>
        <w:rPr>
          <w:rFonts w:hint="default" w:ascii="Times New Roman" w:hAnsi="Times New Roman" w:eastAsia="仿宋_GB2312" w:cs="Times New Roman"/>
          <w:b w:val="0"/>
          <w:bCs/>
          <w:sz w:val="32"/>
          <w:szCs w:val="22"/>
          <w:lang w:val="zh-CN" w:eastAsia="zh-CN" w:bidi="zh-CN"/>
        </w:rPr>
        <w:t>云服务</w:t>
      </w:r>
      <w:r>
        <w:rPr>
          <w:rFonts w:hint="eastAsia" w:ascii="Times New Roman" w:hAnsi="Times New Roman" w:eastAsia="仿宋_GB2312" w:cs="Times New Roman"/>
          <w:b w:val="0"/>
          <w:bCs/>
          <w:sz w:val="32"/>
          <w:szCs w:val="22"/>
          <w:lang w:val="en-US" w:eastAsia="zh-CN" w:bidi="zh-CN"/>
        </w:rPr>
        <w:t>及信息化系统</w:t>
      </w:r>
      <w:r>
        <w:rPr>
          <w:rFonts w:hint="default" w:ascii="Times New Roman" w:hAnsi="Times New Roman" w:eastAsia="仿宋_GB2312" w:cs="Times New Roman"/>
          <w:b w:val="0"/>
          <w:bCs/>
          <w:sz w:val="32"/>
          <w:szCs w:val="22"/>
          <w:lang w:val="zh-CN" w:eastAsia="zh-CN" w:bidi="zh-CN"/>
        </w:rPr>
        <w:t>实际使用单位，是项目的实际受益对象。</w:t>
      </w:r>
    </w:p>
    <w:p w14:paraId="76CA99A7">
      <w:pPr>
        <w:keepNext/>
        <w:keepLines/>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黑体" w:cs="Times New Roman"/>
          <w:kern w:val="44"/>
          <w:sz w:val="32"/>
          <w:szCs w:val="28"/>
          <w:lang w:val="en-US" w:eastAsia="zh-CN" w:bidi="ar-SA"/>
        </w:rPr>
      </w:pPr>
      <w:bookmarkStart w:id="57" w:name="_Toc15226"/>
      <w:bookmarkStart w:id="58" w:name="_Toc1163"/>
      <w:bookmarkStart w:id="59" w:name="_Toc11065"/>
      <w:bookmarkStart w:id="60" w:name="_Toc3581"/>
      <w:bookmarkStart w:id="61" w:name="_Toc10708"/>
      <w:bookmarkStart w:id="62" w:name="_Toc12690"/>
      <w:bookmarkStart w:id="63" w:name="_Toc23728"/>
      <w:bookmarkStart w:id="64" w:name="_Toc9531"/>
      <w:bookmarkStart w:id="65" w:name="_Toc27423"/>
      <w:r>
        <w:rPr>
          <w:rFonts w:hint="default" w:ascii="Times New Roman" w:hAnsi="Times New Roman" w:eastAsia="黑体" w:cs="Times New Roman"/>
          <w:kern w:val="44"/>
          <w:sz w:val="32"/>
          <w:szCs w:val="28"/>
          <w:lang w:val="en-US" w:eastAsia="zh-CN" w:bidi="ar-SA"/>
        </w:rPr>
        <w:t>二、绩效评价工作情况</w:t>
      </w:r>
      <w:bookmarkEnd w:id="57"/>
      <w:bookmarkEnd w:id="58"/>
      <w:bookmarkEnd w:id="59"/>
      <w:bookmarkEnd w:id="60"/>
      <w:bookmarkEnd w:id="61"/>
      <w:bookmarkEnd w:id="62"/>
      <w:bookmarkEnd w:id="63"/>
      <w:bookmarkEnd w:id="64"/>
      <w:bookmarkEnd w:id="65"/>
    </w:p>
    <w:p w14:paraId="57637D43">
      <w:pPr>
        <w:pageBreakBefore w:val="0"/>
        <w:widowControl w:val="0"/>
        <w:kinsoku/>
        <w:wordWrap/>
        <w:topLinePunct w:val="0"/>
        <w:bidi w:val="0"/>
        <w:adjustRightInd w:val="0"/>
        <w:snapToGrid w:val="0"/>
        <w:spacing w:line="600" w:lineRule="exact"/>
        <w:ind w:firstLine="643" w:firstLineChars="200"/>
        <w:textAlignment w:val="auto"/>
        <w:outlineLvl w:val="1"/>
        <w:rPr>
          <w:rFonts w:hint="default" w:ascii="Times New Roman" w:hAnsi="Times New Roman" w:eastAsia="楷体" w:cs="Times New Roman"/>
          <w:b/>
          <w:caps/>
          <w:sz w:val="32"/>
          <w:szCs w:val="32"/>
        </w:rPr>
      </w:pPr>
      <w:bookmarkStart w:id="66" w:name="_Toc19663"/>
      <w:bookmarkStart w:id="67" w:name="_Toc13056"/>
      <w:bookmarkStart w:id="68" w:name="_Toc14651"/>
      <w:bookmarkStart w:id="69" w:name="_Toc26441"/>
      <w:bookmarkStart w:id="70" w:name="_Toc30356"/>
      <w:bookmarkStart w:id="71" w:name="_Toc15520"/>
      <w:r>
        <w:rPr>
          <w:rFonts w:hint="default" w:ascii="Times New Roman" w:hAnsi="Times New Roman" w:eastAsia="楷体" w:cs="Times New Roman"/>
          <w:b/>
          <w:caps/>
          <w:sz w:val="32"/>
          <w:szCs w:val="32"/>
        </w:rPr>
        <w:t>（一）评价对象与范围</w:t>
      </w:r>
      <w:bookmarkEnd w:id="66"/>
      <w:bookmarkEnd w:id="67"/>
      <w:bookmarkEnd w:id="68"/>
      <w:bookmarkEnd w:id="69"/>
      <w:bookmarkEnd w:id="70"/>
      <w:bookmarkEnd w:id="71"/>
    </w:p>
    <w:p w14:paraId="4BE066A2">
      <w:pPr>
        <w:pStyle w:val="11"/>
        <w:pageBreakBefore w:val="0"/>
        <w:widowControl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highlight w:val="none"/>
          <w:lang w:val="en-US"/>
        </w:rPr>
      </w:pPr>
      <w:r>
        <w:rPr>
          <w:rFonts w:hint="default" w:ascii="Times New Roman" w:hAnsi="Times New Roman" w:eastAsia="仿宋_GB2312" w:cs="Times New Roman"/>
          <w:b/>
          <w:bCs/>
          <w:kern w:val="0"/>
          <w:sz w:val="32"/>
          <w:szCs w:val="32"/>
          <w:lang w:bidi="zh-CN"/>
        </w:rPr>
        <w:t>评价对象与范围。</w:t>
      </w:r>
      <w:r>
        <w:rPr>
          <w:rFonts w:hint="default" w:ascii="Times New Roman" w:hAnsi="Times New Roman" w:eastAsia="仿宋_GB2312" w:cs="Times New Roman"/>
          <w:kern w:val="0"/>
          <w:sz w:val="32"/>
          <w:szCs w:val="32"/>
          <w:lang w:bidi="zh-CN"/>
        </w:rPr>
        <w:t>本次绩效评价对象为</w:t>
      </w:r>
      <w:r>
        <w:rPr>
          <w:rFonts w:hint="eastAsia" w:ascii="Times New Roman" w:hAnsi="Times New Roman" w:cs="Times New Roman"/>
          <w:kern w:val="0"/>
          <w:sz w:val="32"/>
          <w:szCs w:val="32"/>
          <w:lang w:val="en-US" w:bidi="zh-CN"/>
        </w:rPr>
        <w:t>2023年</w:t>
      </w:r>
      <w:r>
        <w:rPr>
          <w:rFonts w:hint="eastAsia" w:ascii="Times New Roman" w:hAnsi="Times New Roman" w:cs="Times New Roman"/>
          <w:sz w:val="32"/>
          <w:szCs w:val="32"/>
          <w:lang w:val="en-US" w:eastAsia="zh-CN"/>
        </w:rPr>
        <w:t>永州市公共服务信息化运维项目</w:t>
      </w:r>
      <w:r>
        <w:rPr>
          <w:rFonts w:hint="default" w:ascii="Times New Roman" w:hAnsi="Times New Roman" w:eastAsia="仿宋_GB2312" w:cs="Times New Roman"/>
          <w:kern w:val="0"/>
          <w:sz w:val="32"/>
          <w:szCs w:val="32"/>
          <w:lang w:bidi="zh-CN"/>
        </w:rPr>
        <w:t>，</w:t>
      </w:r>
      <w:r>
        <w:rPr>
          <w:rFonts w:hint="default" w:ascii="Times New Roman" w:hAnsi="Times New Roman" w:cs="Times New Roman"/>
          <w:kern w:val="0"/>
          <w:sz w:val="32"/>
          <w:szCs w:val="32"/>
          <w:lang w:val="en-US" w:bidi="zh-CN"/>
        </w:rPr>
        <w:t>评价</w:t>
      </w:r>
      <w:r>
        <w:rPr>
          <w:rFonts w:hint="default" w:ascii="Times New Roman" w:hAnsi="Times New Roman" w:eastAsia="仿宋_GB2312" w:cs="Times New Roman"/>
          <w:kern w:val="0"/>
          <w:sz w:val="32"/>
          <w:szCs w:val="32"/>
          <w:lang w:bidi="zh-CN"/>
        </w:rPr>
        <w:t>范围为</w:t>
      </w:r>
      <w:r>
        <w:rPr>
          <w:rFonts w:hint="default" w:ascii="Times New Roman" w:hAnsi="Times New Roman" w:cs="Times New Roman"/>
          <w:kern w:val="2"/>
          <w:sz w:val="32"/>
          <w:szCs w:val="32"/>
          <w:highlight w:val="none"/>
          <w:lang w:val="en-US" w:eastAsia="zh-CN" w:bidi="ar-SA"/>
        </w:rPr>
        <w:t>项目预算资金</w:t>
      </w:r>
      <w:r>
        <w:rPr>
          <w:rFonts w:hint="eastAsia" w:ascii="Times New Roman" w:hAnsi="Times New Roman" w:cs="Times New Roman"/>
          <w:kern w:val="2"/>
          <w:sz w:val="32"/>
          <w:szCs w:val="32"/>
          <w:highlight w:val="none"/>
          <w:lang w:val="en-US" w:eastAsia="zh-CN" w:bidi="ar-SA"/>
        </w:rPr>
        <w:t>5412.69</w:t>
      </w:r>
      <w:r>
        <w:rPr>
          <w:rFonts w:hint="default" w:ascii="Times New Roman" w:hAnsi="Times New Roman" w:eastAsia="仿宋_GB2312" w:cs="Times New Roman"/>
          <w:kern w:val="2"/>
          <w:sz w:val="32"/>
          <w:szCs w:val="32"/>
          <w:highlight w:val="none"/>
          <w:lang w:val="en-US" w:eastAsia="zh-CN" w:bidi="ar-SA"/>
        </w:rPr>
        <w:t>万</w:t>
      </w:r>
      <w:r>
        <w:rPr>
          <w:rFonts w:hint="default" w:ascii="Times New Roman" w:hAnsi="Times New Roman" w:eastAsia="仿宋_GB2312" w:cs="Times New Roman"/>
          <w:kern w:val="2"/>
          <w:sz w:val="32"/>
          <w:szCs w:val="32"/>
          <w:lang w:val="en-US" w:eastAsia="zh-CN" w:bidi="ar-SA"/>
        </w:rPr>
        <w:t>元</w:t>
      </w:r>
      <w:r>
        <w:rPr>
          <w:rFonts w:hint="default" w:ascii="Times New Roman" w:hAnsi="Times New Roman" w:cs="Times New Roman"/>
          <w:kern w:val="2"/>
          <w:sz w:val="32"/>
          <w:szCs w:val="32"/>
          <w:highlight w:val="none"/>
          <w:lang w:val="en-US" w:eastAsia="zh-CN" w:bidi="ar-SA"/>
        </w:rPr>
        <w:t>。</w:t>
      </w:r>
    </w:p>
    <w:p w14:paraId="48F262EA">
      <w:pPr>
        <w:pStyle w:val="4"/>
        <w:pageBreakBefore w:val="0"/>
        <w:widowControl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cs="Times New Roman"/>
          <w:color w:val="auto"/>
          <w:szCs w:val="32"/>
          <w:highlight w:val="none"/>
          <w:lang w:val="en-US" w:eastAsia="zh-CN"/>
        </w:rPr>
      </w:pPr>
      <w:bookmarkStart w:id="72" w:name="_Toc9561"/>
      <w:bookmarkStart w:id="73" w:name="_Toc271011888"/>
      <w:bookmarkStart w:id="74" w:name="_Toc3984"/>
      <w:bookmarkStart w:id="75" w:name="_Toc24698"/>
      <w:bookmarkStart w:id="76" w:name="_Toc18539_WPSOffice_Level2"/>
      <w:bookmarkStart w:id="77" w:name="_Toc30266"/>
      <w:bookmarkStart w:id="78" w:name="_Toc18832"/>
      <w:bookmarkStart w:id="79" w:name="_Toc23011"/>
      <w:bookmarkStart w:id="80" w:name="_Toc1699"/>
      <w:bookmarkStart w:id="81" w:name="_Toc447109801"/>
      <w:bookmarkStart w:id="82" w:name="_Toc1223"/>
      <w:bookmarkStart w:id="83" w:name="_Toc26172981"/>
      <w:r>
        <w:rPr>
          <w:rFonts w:hint="default" w:ascii="Times New Roman" w:hAnsi="Times New Roman" w:cs="Times New Roman"/>
          <w:color w:val="auto"/>
          <w:szCs w:val="32"/>
          <w:highlight w:val="none"/>
          <w:lang w:val="en-US" w:eastAsia="zh-CN"/>
        </w:rPr>
        <w:t>（二）指标体系及评价标准</w:t>
      </w:r>
      <w:bookmarkEnd w:id="72"/>
      <w:bookmarkEnd w:id="73"/>
      <w:bookmarkEnd w:id="74"/>
      <w:bookmarkEnd w:id="75"/>
      <w:bookmarkEnd w:id="76"/>
      <w:bookmarkEnd w:id="77"/>
      <w:bookmarkEnd w:id="78"/>
      <w:bookmarkEnd w:id="79"/>
      <w:bookmarkEnd w:id="80"/>
      <w:bookmarkEnd w:id="81"/>
      <w:bookmarkEnd w:id="82"/>
      <w:bookmarkEnd w:id="83"/>
    </w:p>
    <w:p w14:paraId="2272470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right="0" w:firstLine="640" w:firstLineChars="200"/>
        <w:jc w:val="both"/>
        <w:textAlignment w:val="auto"/>
        <w:outlineLvl w:val="9"/>
        <w:rPr>
          <w:rFonts w:hint="default" w:ascii="Times New Roman" w:hAnsi="Times New Roman" w:cs="Times New Roman"/>
          <w:kern w:val="2"/>
          <w:sz w:val="32"/>
          <w:szCs w:val="32"/>
          <w:lang w:val="en-US" w:eastAsia="zh-CN" w:bidi="ar-SA"/>
        </w:rPr>
      </w:pPr>
      <w:bookmarkStart w:id="84" w:name="_Toc16654"/>
      <w:r>
        <w:rPr>
          <w:rFonts w:hint="default" w:ascii="Times New Roman" w:hAnsi="Times New Roman" w:eastAsia="仿宋_GB2312" w:cs="Times New Roman"/>
          <w:kern w:val="0"/>
          <w:sz w:val="32"/>
          <w:szCs w:val="32"/>
          <w:lang w:val="en-US" w:eastAsia="zh-CN" w:bidi="zh-CN"/>
        </w:rPr>
        <w:t>评价指标体系和评价标准</w:t>
      </w:r>
      <w:bookmarkEnd w:id="84"/>
      <w:r>
        <w:rPr>
          <w:rFonts w:hint="eastAsia" w:ascii="Times New Roman" w:hAnsi="Times New Roman" w:eastAsia="仿宋_GB2312" w:cs="Times New Roman"/>
          <w:kern w:val="0"/>
          <w:sz w:val="32"/>
          <w:szCs w:val="32"/>
          <w:lang w:val="en-US" w:eastAsia="zh-CN" w:bidi="zh-CN"/>
        </w:rPr>
        <w:t>。</w:t>
      </w:r>
      <w:r>
        <w:rPr>
          <w:rFonts w:hint="default" w:ascii="Times New Roman" w:hAnsi="Times New Roman" w:eastAsia="仿宋_GB2312" w:cs="Times New Roman"/>
          <w:kern w:val="0"/>
          <w:sz w:val="32"/>
          <w:szCs w:val="32"/>
          <w:lang w:val="en-US" w:eastAsia="zh-CN" w:bidi="zh-CN"/>
        </w:rPr>
        <w:t>根据《湖南省预算支出绩效评价管理办法》（湘财绩〔2020〕7号）等文件要求，结合项目特点，研究制定项目支出绩效评价指标体系。指标体系共设</w:t>
      </w:r>
      <w:r>
        <w:rPr>
          <w:rFonts w:hint="eastAsia" w:ascii="Times New Roman" w:hAnsi="Times New Roman" w:eastAsia="仿宋_GB2312" w:cs="Times New Roman"/>
          <w:kern w:val="0"/>
          <w:sz w:val="32"/>
          <w:szCs w:val="32"/>
          <w:lang w:val="en-US" w:eastAsia="zh-CN" w:bidi="zh-CN"/>
        </w:rPr>
        <w:t>3</w:t>
      </w:r>
      <w:r>
        <w:rPr>
          <w:rFonts w:hint="default" w:ascii="Times New Roman" w:hAnsi="Times New Roman" w:eastAsia="仿宋_GB2312" w:cs="Times New Roman"/>
          <w:kern w:val="0"/>
          <w:sz w:val="32"/>
          <w:szCs w:val="32"/>
          <w:lang w:val="en-US" w:eastAsia="zh-CN" w:bidi="zh-CN"/>
        </w:rPr>
        <w:t>个一级指标、</w:t>
      </w:r>
      <w:r>
        <w:rPr>
          <w:rFonts w:hint="eastAsia" w:ascii="Times New Roman" w:hAnsi="Times New Roman" w:eastAsia="仿宋_GB2312" w:cs="Times New Roman"/>
          <w:kern w:val="0"/>
          <w:sz w:val="32"/>
          <w:szCs w:val="32"/>
          <w:lang w:val="en-US" w:eastAsia="zh-CN" w:bidi="zh-CN"/>
        </w:rPr>
        <w:t>8</w:t>
      </w:r>
      <w:r>
        <w:rPr>
          <w:rFonts w:hint="default" w:ascii="Times New Roman" w:hAnsi="Times New Roman" w:eastAsia="仿宋_GB2312" w:cs="Times New Roman"/>
          <w:kern w:val="0"/>
          <w:sz w:val="32"/>
          <w:szCs w:val="32"/>
          <w:lang w:val="en-US" w:eastAsia="zh-CN" w:bidi="zh-CN"/>
        </w:rPr>
        <w:t>个二级指标和2</w:t>
      </w:r>
      <w:r>
        <w:rPr>
          <w:rFonts w:hint="eastAsia" w:ascii="Times New Roman" w:hAnsi="Times New Roman" w:eastAsia="仿宋_GB2312" w:cs="Times New Roman"/>
          <w:kern w:val="0"/>
          <w:sz w:val="32"/>
          <w:szCs w:val="32"/>
          <w:lang w:val="en-US" w:eastAsia="zh-CN" w:bidi="zh-CN"/>
        </w:rPr>
        <w:t>7</w:t>
      </w:r>
      <w:r>
        <w:rPr>
          <w:rFonts w:hint="default" w:ascii="Times New Roman" w:hAnsi="Times New Roman" w:eastAsia="仿宋_GB2312" w:cs="Times New Roman"/>
          <w:kern w:val="0"/>
          <w:sz w:val="32"/>
          <w:szCs w:val="32"/>
          <w:lang w:val="en-US" w:eastAsia="zh-CN" w:bidi="zh-CN"/>
        </w:rPr>
        <w:t>个三级指标，总分值设定为100分。同时，本次绩效评价结果采取评分和评级相结合的方式，综合绩效级别评定标准划分为四档，具体为：90（含）-100分为优、80（含）-90分为良、60（含）-80分为较差、60分以下为差。</w:t>
      </w:r>
    </w:p>
    <w:p w14:paraId="36BE999E">
      <w:pPr>
        <w:pageBreakBefore w:val="0"/>
        <w:widowControl w:val="0"/>
        <w:kinsoku/>
        <w:wordWrap/>
        <w:topLinePunct w:val="0"/>
        <w:bidi w:val="0"/>
        <w:adjustRightInd w:val="0"/>
        <w:snapToGrid w:val="0"/>
        <w:spacing w:line="600" w:lineRule="exact"/>
        <w:ind w:firstLine="643" w:firstLineChars="200"/>
        <w:textAlignment w:val="auto"/>
        <w:outlineLvl w:val="1"/>
        <w:rPr>
          <w:rFonts w:hint="default" w:ascii="Times New Roman" w:hAnsi="Times New Roman" w:eastAsia="楷体" w:cs="Times New Roman"/>
          <w:b/>
          <w:caps/>
          <w:sz w:val="32"/>
          <w:szCs w:val="32"/>
        </w:rPr>
      </w:pPr>
      <w:bookmarkStart w:id="85" w:name="_Toc11550"/>
      <w:bookmarkStart w:id="86" w:name="_Toc9781"/>
      <w:bookmarkStart w:id="87" w:name="_Toc7686"/>
      <w:bookmarkStart w:id="88" w:name="_Toc28407"/>
      <w:bookmarkStart w:id="89" w:name="_Toc25362"/>
      <w:bookmarkStart w:id="90" w:name="_Toc19256"/>
      <w:r>
        <w:rPr>
          <w:rFonts w:hint="default" w:ascii="Times New Roman" w:hAnsi="Times New Roman" w:eastAsia="楷体" w:cs="Times New Roman"/>
          <w:b/>
          <w:caps/>
          <w:sz w:val="32"/>
          <w:szCs w:val="32"/>
        </w:rPr>
        <w:t>（三）评价组织实施与评价方法</w:t>
      </w:r>
      <w:bookmarkEnd w:id="85"/>
      <w:bookmarkEnd w:id="86"/>
      <w:bookmarkEnd w:id="87"/>
      <w:bookmarkEnd w:id="88"/>
      <w:bookmarkEnd w:id="89"/>
      <w:bookmarkEnd w:id="90"/>
    </w:p>
    <w:p w14:paraId="4A3B9377">
      <w:pPr>
        <w:pageBreakBefore w:val="0"/>
        <w:widowControl w:val="0"/>
        <w:kinsoku/>
        <w:wordWrap/>
        <w:topLinePunct w:val="0"/>
        <w:bidi w:val="0"/>
        <w:adjustRightInd w:val="0"/>
        <w:snapToGrid w:val="0"/>
        <w:spacing w:line="600" w:lineRule="exact"/>
        <w:ind w:firstLine="643" w:firstLineChars="200"/>
        <w:textAlignment w:val="auto"/>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b/>
          <w:bCs/>
          <w:kern w:val="0"/>
          <w:sz w:val="32"/>
          <w:szCs w:val="32"/>
          <w:lang w:bidi="zh-CN"/>
        </w:rPr>
        <w:t>1.评价组织实施。</w:t>
      </w:r>
    </w:p>
    <w:p w14:paraId="23CBD342">
      <w:pPr>
        <w:pageBreakBefore w:val="0"/>
        <w:widowControl w:val="0"/>
        <w:kinsoku/>
        <w:wordWrap/>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（1）前期准备。组建评价工作组，明确任务分工。了解项目情况，与</w:t>
      </w:r>
      <w:r>
        <w:rPr>
          <w:rFonts w:hint="default" w:ascii="Times New Roman" w:hAnsi="Times New Roman" w:eastAsia="仿宋_GB2312" w:cs="Times New Roman"/>
          <w:kern w:val="0"/>
          <w:sz w:val="32"/>
          <w:szCs w:val="32"/>
          <w:lang w:val="en-US" w:bidi="zh-CN"/>
        </w:rPr>
        <w:t>永州市行政审批</w:t>
      </w:r>
      <w:r>
        <w:rPr>
          <w:rFonts w:hint="eastAsia" w:ascii="Times New Roman" w:hAnsi="Times New Roman" w:eastAsia="仿宋_GB2312" w:cs="Times New Roman"/>
          <w:kern w:val="0"/>
          <w:sz w:val="32"/>
          <w:szCs w:val="32"/>
          <w:lang w:val="en-US" w:bidi="zh-CN"/>
        </w:rPr>
        <w:t>服务</w:t>
      </w:r>
      <w:r>
        <w:rPr>
          <w:rFonts w:hint="default" w:ascii="Times New Roman" w:hAnsi="Times New Roman" w:eastAsia="仿宋_GB2312" w:cs="Times New Roman"/>
          <w:kern w:val="0"/>
          <w:sz w:val="32"/>
          <w:szCs w:val="32"/>
          <w:lang w:val="en-US" w:bidi="zh-CN"/>
        </w:rPr>
        <w:t>局</w:t>
      </w:r>
      <w:r>
        <w:rPr>
          <w:rFonts w:hint="eastAsia" w:ascii="Times New Roman" w:hAnsi="Times New Roman" w:eastAsia="仿宋_GB2312" w:cs="Times New Roman"/>
          <w:kern w:val="0"/>
          <w:sz w:val="32"/>
          <w:szCs w:val="32"/>
          <w:lang w:val="en-US" w:bidi="zh-CN"/>
        </w:rPr>
        <w:t>、永州市人民政府办公室、中国人民政治协商会议湖南省永州市委员会以及中国共产党永州市委员会办公室</w:t>
      </w:r>
      <w:r>
        <w:rPr>
          <w:rFonts w:hint="default" w:ascii="Times New Roman" w:hAnsi="Times New Roman" w:eastAsia="仿宋_GB2312" w:cs="Times New Roman"/>
          <w:kern w:val="0"/>
          <w:sz w:val="32"/>
          <w:szCs w:val="32"/>
          <w:lang w:bidi="zh-CN"/>
        </w:rPr>
        <w:t>进行项目沟通。收集、整理分析项目资料。设计绩效评价指标体系，明确评价思路、评价重点、调研安排、工作流程等内容。</w:t>
      </w:r>
    </w:p>
    <w:p w14:paraId="64889B1F">
      <w:pPr>
        <w:pageBreakBefore w:val="0"/>
        <w:widowControl w:val="0"/>
        <w:kinsoku/>
        <w:wordWrap/>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（2）组织实施。评价工作组按照评价</w:t>
      </w:r>
      <w:r>
        <w:rPr>
          <w:rFonts w:hint="default" w:ascii="Times New Roman" w:hAnsi="Times New Roman" w:eastAsia="仿宋_GB2312" w:cs="Times New Roman"/>
          <w:kern w:val="0"/>
          <w:sz w:val="32"/>
          <w:szCs w:val="32"/>
          <w:lang w:val="en-US" w:bidi="zh-CN"/>
        </w:rPr>
        <w:t>工作流程</w:t>
      </w:r>
      <w:r>
        <w:rPr>
          <w:rFonts w:hint="default" w:ascii="Times New Roman" w:hAnsi="Times New Roman" w:eastAsia="仿宋_GB2312" w:cs="Times New Roman"/>
          <w:kern w:val="0"/>
          <w:sz w:val="32"/>
          <w:szCs w:val="32"/>
          <w:lang w:bidi="zh-CN"/>
        </w:rPr>
        <w:t>，检查项目财务管理制度、资金支付流程等方面的合规性，对其资金信息进行复核及核实。向项目单位发放数据采集表，由相关人员进行填写，并交由项目组收集汇总，</w:t>
      </w:r>
      <w:r>
        <w:rPr>
          <w:rFonts w:hint="default" w:ascii="Times New Roman" w:hAnsi="Times New Roman" w:eastAsia="仿宋_GB2312" w:cs="Times New Roman"/>
          <w:kern w:val="0"/>
          <w:sz w:val="32"/>
          <w:szCs w:val="32"/>
          <w:lang w:val="en-US" w:bidi="zh-CN"/>
        </w:rPr>
        <w:t>并</w:t>
      </w:r>
      <w:r>
        <w:rPr>
          <w:rFonts w:hint="default" w:ascii="Times New Roman" w:hAnsi="Times New Roman" w:eastAsia="仿宋_GB2312" w:cs="Times New Roman"/>
          <w:kern w:val="0"/>
          <w:sz w:val="32"/>
          <w:szCs w:val="32"/>
          <w:lang w:bidi="zh-CN"/>
        </w:rPr>
        <w:t>对填报数据进行抽样复核，确保数据准确性。</w:t>
      </w:r>
    </w:p>
    <w:p w14:paraId="49F4470B">
      <w:pPr>
        <w:pageBreakBefore w:val="0"/>
        <w:widowControl w:val="0"/>
        <w:kinsoku/>
        <w:wordWrap/>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（3）分析评价。评价工作组根据现场调研情况，结合数据资料分析和</w:t>
      </w:r>
      <w:r>
        <w:rPr>
          <w:rFonts w:hint="default" w:ascii="Times New Roman" w:hAnsi="Times New Roman" w:eastAsia="仿宋_GB2312" w:cs="Times New Roman"/>
          <w:kern w:val="0"/>
          <w:sz w:val="32"/>
          <w:szCs w:val="32"/>
          <w:lang w:val="en-US" w:bidi="zh-CN"/>
        </w:rPr>
        <w:t>单位</w:t>
      </w:r>
      <w:r>
        <w:rPr>
          <w:rFonts w:hint="default" w:ascii="Times New Roman" w:hAnsi="Times New Roman" w:eastAsia="仿宋_GB2312" w:cs="Times New Roman"/>
          <w:kern w:val="0"/>
          <w:sz w:val="32"/>
          <w:szCs w:val="32"/>
          <w:lang w:bidi="zh-CN"/>
        </w:rPr>
        <w:t>意见征询等，对项目决策、过程、产出和效益情况进行综合分析，形成初步结论。根据反馈意见进行修改，形成绩效评价报告。</w:t>
      </w:r>
    </w:p>
    <w:p w14:paraId="399DFA16">
      <w:pPr>
        <w:pageBreakBefore w:val="0"/>
        <w:widowControl w:val="0"/>
        <w:kinsoku/>
        <w:wordWrap/>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kern w:val="2"/>
          <w:sz w:val="32"/>
          <w:szCs w:val="28"/>
          <w:lang w:val="en-US" w:eastAsia="zh-CN" w:bidi="ar-SA"/>
        </w:rPr>
      </w:pPr>
      <w:r>
        <w:rPr>
          <w:rFonts w:hint="default" w:ascii="Times New Roman" w:hAnsi="Times New Roman" w:eastAsia="仿宋_GB2312" w:cs="Times New Roman"/>
          <w:b/>
          <w:bCs/>
          <w:kern w:val="0"/>
          <w:sz w:val="32"/>
          <w:szCs w:val="32"/>
          <w:lang w:bidi="zh-CN"/>
        </w:rPr>
        <w:t>2.评价方法。</w:t>
      </w:r>
      <w:r>
        <w:rPr>
          <w:rFonts w:hint="default" w:ascii="Times New Roman" w:hAnsi="Times New Roman" w:eastAsia="仿宋_GB2312" w:cs="Times New Roman"/>
          <w:kern w:val="0"/>
          <w:sz w:val="32"/>
          <w:szCs w:val="32"/>
          <w:lang w:bidi="zh-CN"/>
        </w:rPr>
        <w:t>本次评价采取定性评价和定量评价、现场调研和非现场评价相结合的方式，通过政策研究、资料核查、比较分析、专家座谈、问卷调查、电话访谈等多种方法，获取更加全面的数据和信息，对项目进行客观分析和评价</w:t>
      </w:r>
      <w:r>
        <w:rPr>
          <w:rFonts w:hint="default" w:ascii="Times New Roman" w:hAnsi="Times New Roman" w:eastAsia="仿宋_GB2312" w:cs="Times New Roman"/>
          <w:kern w:val="2"/>
          <w:sz w:val="32"/>
          <w:szCs w:val="28"/>
          <w:lang w:val="en-US" w:eastAsia="zh-CN" w:bidi="ar-SA"/>
        </w:rPr>
        <w:t>。</w:t>
      </w:r>
    </w:p>
    <w:p w14:paraId="5574F788">
      <w:pPr>
        <w:keepNext/>
        <w:keepLines/>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黑体" w:cs="Times New Roman"/>
          <w:kern w:val="44"/>
          <w:sz w:val="32"/>
          <w:szCs w:val="28"/>
          <w:lang w:val="en-US" w:eastAsia="zh-CN" w:bidi="ar-SA"/>
        </w:rPr>
      </w:pPr>
      <w:bookmarkStart w:id="91" w:name="_Toc20760"/>
      <w:bookmarkStart w:id="92" w:name="_Toc13626"/>
      <w:bookmarkStart w:id="93" w:name="_Toc6854"/>
      <w:bookmarkStart w:id="94" w:name="_Toc30180"/>
      <w:bookmarkStart w:id="95" w:name="_Toc14409"/>
      <w:bookmarkStart w:id="96" w:name="_Toc28230"/>
      <w:bookmarkStart w:id="97" w:name="_Toc17165"/>
      <w:bookmarkStart w:id="98" w:name="_Toc30399"/>
      <w:r>
        <w:rPr>
          <w:rFonts w:hint="default" w:ascii="Times New Roman" w:hAnsi="Times New Roman" w:eastAsia="黑体" w:cs="Times New Roman"/>
          <w:kern w:val="44"/>
          <w:sz w:val="32"/>
          <w:szCs w:val="28"/>
          <w:lang w:val="en-US" w:eastAsia="zh-CN" w:bidi="ar-SA"/>
        </w:rPr>
        <w:t>三、</w:t>
      </w:r>
      <w:bookmarkEnd w:id="91"/>
      <w:bookmarkEnd w:id="92"/>
      <w:bookmarkEnd w:id="93"/>
      <w:r>
        <w:rPr>
          <w:rFonts w:hint="default" w:ascii="Times New Roman" w:hAnsi="Times New Roman" w:eastAsia="黑体" w:cs="Times New Roman"/>
          <w:kern w:val="44"/>
          <w:sz w:val="32"/>
          <w:szCs w:val="28"/>
          <w:lang w:val="en-US" w:eastAsia="zh-CN" w:bidi="ar-SA"/>
        </w:rPr>
        <w:t>项目主要绩效及评价结论</w:t>
      </w:r>
      <w:bookmarkEnd w:id="94"/>
      <w:bookmarkEnd w:id="95"/>
      <w:bookmarkEnd w:id="96"/>
      <w:bookmarkEnd w:id="97"/>
      <w:bookmarkEnd w:id="98"/>
    </w:p>
    <w:p w14:paraId="35D1FE8D">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bidi="en-US"/>
        </w:rPr>
      </w:pPr>
      <w:r>
        <w:rPr>
          <w:rFonts w:hint="default" w:ascii="Times New Roman" w:hAnsi="Times New Roman" w:eastAsia="仿宋_GB2312" w:cs="Times New Roman"/>
          <w:color w:val="auto"/>
          <w:sz w:val="32"/>
          <w:szCs w:val="32"/>
          <w:highlight w:val="none"/>
          <w:lang w:bidi="en-US"/>
        </w:rPr>
        <w:t>通过数据采集、问卷调查及现场访谈，</w:t>
      </w:r>
      <w:r>
        <w:rPr>
          <w:rFonts w:hint="default" w:ascii="Times New Roman" w:hAnsi="Times New Roman" w:cs="Times New Roman"/>
          <w:color w:val="auto"/>
          <w:sz w:val="32"/>
          <w:szCs w:val="32"/>
          <w:highlight w:val="none"/>
          <w:lang w:eastAsia="zh-CN" w:bidi="en-US"/>
        </w:rPr>
        <w:t>项目组</w:t>
      </w:r>
      <w:r>
        <w:rPr>
          <w:rFonts w:hint="default" w:ascii="Times New Roman" w:hAnsi="Times New Roman" w:eastAsia="仿宋_GB2312" w:cs="Times New Roman"/>
          <w:color w:val="auto"/>
          <w:sz w:val="32"/>
          <w:szCs w:val="32"/>
          <w:highlight w:val="none"/>
          <w:lang w:bidi="en-US"/>
        </w:rPr>
        <w:t>对</w:t>
      </w:r>
      <w:r>
        <w:rPr>
          <w:rFonts w:hint="eastAsia" w:ascii="Times New Roman" w:hAnsi="Times New Roman" w:cs="Times New Roman"/>
          <w:color w:val="auto"/>
          <w:sz w:val="32"/>
          <w:szCs w:val="32"/>
          <w:highlight w:val="none"/>
          <w:lang w:eastAsia="zh-CN" w:bidi="en-US"/>
        </w:rPr>
        <w:t>永州市公共服务信息化运维项目</w:t>
      </w:r>
      <w:r>
        <w:rPr>
          <w:rFonts w:hint="default" w:ascii="Times New Roman" w:hAnsi="Times New Roman" w:eastAsia="仿宋_GB2312" w:cs="Times New Roman"/>
          <w:color w:val="auto"/>
          <w:sz w:val="32"/>
          <w:szCs w:val="32"/>
          <w:highlight w:val="none"/>
          <w:lang w:bidi="en-US"/>
        </w:rPr>
        <w:t>建立了一套绩效评价指标体系，对该项目进行客观评价，最终评价得分</w:t>
      </w:r>
      <w:r>
        <w:rPr>
          <w:rFonts w:hint="eastAsia" w:ascii="Times New Roman" w:hAnsi="Times New Roman" w:cs="Times New Roman"/>
          <w:color w:val="auto"/>
          <w:sz w:val="32"/>
          <w:szCs w:val="32"/>
          <w:highlight w:val="none"/>
          <w:lang w:val="en-US" w:eastAsia="zh-CN" w:bidi="en-US"/>
        </w:rPr>
        <w:t>82.46</w:t>
      </w:r>
      <w:r>
        <w:rPr>
          <w:rFonts w:hint="default" w:ascii="Times New Roman" w:hAnsi="Times New Roman" w:eastAsia="仿宋_GB2312" w:cs="Times New Roman"/>
          <w:color w:val="auto"/>
          <w:sz w:val="32"/>
          <w:szCs w:val="32"/>
          <w:highlight w:val="none"/>
          <w:lang w:bidi="en-US"/>
        </w:rPr>
        <w:t>分，评价等级为“</w:t>
      </w:r>
      <w:r>
        <w:rPr>
          <w:rFonts w:hint="eastAsia" w:ascii="Times New Roman" w:hAnsi="Times New Roman" w:cs="Times New Roman"/>
          <w:color w:val="auto"/>
          <w:sz w:val="32"/>
          <w:szCs w:val="32"/>
          <w:highlight w:val="none"/>
          <w:lang w:val="en-US" w:eastAsia="zh-CN" w:bidi="en-US"/>
        </w:rPr>
        <w:t>良</w:t>
      </w:r>
      <w:r>
        <w:rPr>
          <w:rFonts w:hint="default" w:ascii="Times New Roman" w:hAnsi="Times New Roman" w:eastAsia="仿宋_GB2312" w:cs="Times New Roman"/>
          <w:color w:val="auto"/>
          <w:sz w:val="32"/>
          <w:szCs w:val="32"/>
          <w:highlight w:val="none"/>
          <w:lang w:bidi="en-US"/>
        </w:rPr>
        <w:t>”</w:t>
      </w:r>
      <w:r>
        <w:rPr>
          <w:rStyle w:val="25"/>
          <w:rFonts w:hint="default" w:ascii="Times New Roman" w:hAnsi="Times New Roman" w:eastAsia="仿宋_GB2312" w:cs="Times New Roman"/>
          <w:color w:val="auto"/>
          <w:sz w:val="32"/>
          <w:szCs w:val="32"/>
          <w:highlight w:val="none"/>
          <w:lang w:bidi="en-US"/>
        </w:rPr>
        <w:footnoteReference w:id="0"/>
      </w:r>
      <w:r>
        <w:rPr>
          <w:rFonts w:hint="default" w:ascii="Times New Roman" w:hAnsi="Times New Roman" w:cs="Times New Roman"/>
          <w:color w:val="auto"/>
          <w:sz w:val="32"/>
          <w:szCs w:val="32"/>
          <w:highlight w:val="none"/>
          <w:lang w:eastAsia="zh-CN" w:bidi="en-US"/>
        </w:rPr>
        <w:t>（</w:t>
      </w:r>
      <w:r>
        <w:rPr>
          <w:rFonts w:hint="default" w:ascii="Times New Roman" w:hAnsi="Times New Roman" w:eastAsia="仿宋_GB2312" w:cs="Times New Roman"/>
          <w:color w:val="auto"/>
          <w:sz w:val="32"/>
          <w:szCs w:val="32"/>
          <w:highlight w:val="none"/>
          <w:lang w:bidi="en-US"/>
        </w:rPr>
        <w:t>详见下表</w:t>
      </w:r>
      <w:r>
        <w:rPr>
          <w:rFonts w:hint="default" w:ascii="Times New Roman" w:hAnsi="Times New Roman" w:cs="Times New Roman"/>
          <w:color w:val="auto"/>
          <w:sz w:val="32"/>
          <w:szCs w:val="32"/>
          <w:highlight w:val="none"/>
          <w:lang w:eastAsia="zh-CN" w:bidi="en-US"/>
        </w:rPr>
        <w:t>）</w:t>
      </w:r>
      <w:r>
        <w:rPr>
          <w:rFonts w:hint="default" w:ascii="Times New Roman" w:hAnsi="Times New Roman" w:eastAsia="仿宋_GB2312" w:cs="Times New Roman"/>
          <w:color w:val="auto"/>
          <w:sz w:val="32"/>
          <w:szCs w:val="32"/>
          <w:highlight w:val="none"/>
          <w:lang w:bidi="en-US"/>
        </w:rPr>
        <w:t>。</w:t>
      </w:r>
    </w:p>
    <w:p w14:paraId="56CE70E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黑体" w:cs="Times New Roman"/>
          <w:bCs/>
          <w:sz w:val="24"/>
          <w:szCs w:val="24"/>
        </w:rPr>
      </w:pPr>
      <w:bookmarkStart w:id="99" w:name="_Toc6973"/>
      <w:bookmarkStart w:id="100" w:name="_Toc27669"/>
      <w:r>
        <w:rPr>
          <w:rFonts w:hint="eastAsia" w:ascii="Times New Roman" w:hAnsi="Times New Roman" w:eastAsia="黑体" w:cs="Times New Roman"/>
          <w:bCs/>
          <w:sz w:val="24"/>
          <w:szCs w:val="24"/>
          <w:lang w:val="en-US" w:eastAsia="zh-CN"/>
        </w:rPr>
        <w:t>3</w:t>
      </w:r>
      <w:r>
        <w:rPr>
          <w:rFonts w:hint="default" w:ascii="Times New Roman" w:hAnsi="Times New Roman" w:eastAsia="黑体" w:cs="Times New Roman"/>
          <w:bCs/>
          <w:sz w:val="24"/>
          <w:szCs w:val="24"/>
        </w:rPr>
        <w:t>-1绩效评价得分情况表</w:t>
      </w:r>
      <w:bookmarkEnd w:id="99"/>
      <w:bookmarkEnd w:id="10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5"/>
        <w:gridCol w:w="1703"/>
        <w:gridCol w:w="1705"/>
        <w:gridCol w:w="1706"/>
      </w:tblGrid>
      <w:tr w14:paraId="2469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703" w:type="dxa"/>
            <w:vAlign w:val="center"/>
          </w:tcPr>
          <w:p w14:paraId="4108B1D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一级指标</w:t>
            </w:r>
          </w:p>
        </w:tc>
        <w:tc>
          <w:tcPr>
            <w:tcW w:w="1705" w:type="dxa"/>
            <w:vAlign w:val="center"/>
          </w:tcPr>
          <w:p w14:paraId="17E8832F">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二级指标</w:t>
            </w:r>
          </w:p>
        </w:tc>
        <w:tc>
          <w:tcPr>
            <w:tcW w:w="1703" w:type="dxa"/>
            <w:vAlign w:val="center"/>
          </w:tcPr>
          <w:p w14:paraId="2E5637A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权重</w:t>
            </w:r>
          </w:p>
        </w:tc>
        <w:tc>
          <w:tcPr>
            <w:tcW w:w="1705" w:type="dxa"/>
            <w:vAlign w:val="center"/>
          </w:tcPr>
          <w:p w14:paraId="02C7BA9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得分</w:t>
            </w:r>
          </w:p>
        </w:tc>
        <w:tc>
          <w:tcPr>
            <w:tcW w:w="1706" w:type="dxa"/>
            <w:vAlign w:val="center"/>
          </w:tcPr>
          <w:p w14:paraId="3E816029">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得分率</w:t>
            </w:r>
          </w:p>
        </w:tc>
      </w:tr>
      <w:tr w14:paraId="0884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3" w:type="dxa"/>
            <w:vMerge w:val="restart"/>
            <w:vAlign w:val="center"/>
          </w:tcPr>
          <w:p w14:paraId="205BE72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项目决策</w:t>
            </w:r>
          </w:p>
        </w:tc>
        <w:tc>
          <w:tcPr>
            <w:tcW w:w="1705" w:type="dxa"/>
            <w:vAlign w:val="center"/>
          </w:tcPr>
          <w:p w14:paraId="1177E74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项目立项</w:t>
            </w:r>
          </w:p>
        </w:tc>
        <w:tc>
          <w:tcPr>
            <w:tcW w:w="1703" w:type="dxa"/>
            <w:vAlign w:val="center"/>
          </w:tcPr>
          <w:p w14:paraId="2A70F2C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705" w:type="dxa"/>
            <w:vAlign w:val="center"/>
          </w:tcPr>
          <w:p w14:paraId="151CAF1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706" w:type="dxa"/>
            <w:vAlign w:val="center"/>
          </w:tcPr>
          <w:p w14:paraId="491E7B6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83.33%</w:t>
            </w:r>
          </w:p>
        </w:tc>
      </w:tr>
      <w:tr w14:paraId="6E05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continue"/>
            <w:vAlign w:val="center"/>
          </w:tcPr>
          <w:p w14:paraId="2435D19A">
            <w:pPr>
              <w:jc w:val="center"/>
              <w:rPr>
                <w:rFonts w:hint="default" w:ascii="Times New Roman" w:hAnsi="Times New Roman" w:eastAsia="仿宋_GB2312" w:cs="Times New Roman"/>
                <w:color w:val="auto"/>
                <w:sz w:val="21"/>
                <w:szCs w:val="21"/>
                <w:highlight w:val="none"/>
              </w:rPr>
            </w:pPr>
          </w:p>
        </w:tc>
        <w:tc>
          <w:tcPr>
            <w:tcW w:w="1705" w:type="dxa"/>
            <w:vAlign w:val="center"/>
          </w:tcPr>
          <w:p w14:paraId="1D222561">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绩效目标</w:t>
            </w:r>
          </w:p>
        </w:tc>
        <w:tc>
          <w:tcPr>
            <w:tcW w:w="1703" w:type="dxa"/>
            <w:vAlign w:val="center"/>
          </w:tcPr>
          <w:p w14:paraId="7795A85A">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705" w:type="dxa"/>
            <w:vAlign w:val="center"/>
          </w:tcPr>
          <w:p w14:paraId="4837296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1706" w:type="dxa"/>
            <w:vAlign w:val="center"/>
          </w:tcPr>
          <w:p w14:paraId="50FB6B5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91.67%</w:t>
            </w:r>
          </w:p>
        </w:tc>
      </w:tr>
      <w:tr w14:paraId="15A1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703" w:type="dxa"/>
            <w:vMerge w:val="continue"/>
            <w:vAlign w:val="center"/>
          </w:tcPr>
          <w:p w14:paraId="1586681B">
            <w:pPr>
              <w:jc w:val="center"/>
              <w:rPr>
                <w:rFonts w:hint="default" w:ascii="Times New Roman" w:hAnsi="Times New Roman" w:eastAsia="仿宋_GB2312" w:cs="Times New Roman"/>
                <w:color w:val="auto"/>
                <w:sz w:val="21"/>
                <w:szCs w:val="21"/>
                <w:highlight w:val="none"/>
              </w:rPr>
            </w:pPr>
          </w:p>
        </w:tc>
        <w:tc>
          <w:tcPr>
            <w:tcW w:w="1705" w:type="dxa"/>
            <w:vAlign w:val="center"/>
          </w:tcPr>
          <w:p w14:paraId="316EDB3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资金投入</w:t>
            </w:r>
          </w:p>
        </w:tc>
        <w:tc>
          <w:tcPr>
            <w:tcW w:w="1703" w:type="dxa"/>
            <w:vAlign w:val="center"/>
          </w:tcPr>
          <w:p w14:paraId="6652E1B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705" w:type="dxa"/>
            <w:vAlign w:val="center"/>
          </w:tcPr>
          <w:p w14:paraId="129062C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706" w:type="dxa"/>
            <w:vAlign w:val="center"/>
          </w:tcPr>
          <w:p w14:paraId="208DF89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100.00%</w:t>
            </w:r>
          </w:p>
        </w:tc>
      </w:tr>
      <w:tr w14:paraId="5094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08" w:type="dxa"/>
            <w:gridSpan w:val="2"/>
            <w:vAlign w:val="top"/>
          </w:tcPr>
          <w:p w14:paraId="2AF01495">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小计</w:t>
            </w:r>
          </w:p>
        </w:tc>
        <w:tc>
          <w:tcPr>
            <w:tcW w:w="1703" w:type="dxa"/>
            <w:vAlign w:val="center"/>
          </w:tcPr>
          <w:p w14:paraId="13CF3B30">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14</w:t>
            </w:r>
          </w:p>
        </w:tc>
        <w:tc>
          <w:tcPr>
            <w:tcW w:w="1705" w:type="dxa"/>
            <w:vAlign w:val="center"/>
          </w:tcPr>
          <w:p w14:paraId="3B337D5A">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12.5</w:t>
            </w:r>
          </w:p>
        </w:tc>
        <w:tc>
          <w:tcPr>
            <w:tcW w:w="1706" w:type="dxa"/>
            <w:vAlign w:val="center"/>
          </w:tcPr>
          <w:p w14:paraId="28BBD4B2">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89.29%</w:t>
            </w:r>
          </w:p>
        </w:tc>
      </w:tr>
      <w:tr w14:paraId="6F7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03" w:type="dxa"/>
            <w:vMerge w:val="restart"/>
            <w:vAlign w:val="center"/>
          </w:tcPr>
          <w:p w14:paraId="507C2F1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项目过程</w:t>
            </w:r>
          </w:p>
        </w:tc>
        <w:tc>
          <w:tcPr>
            <w:tcW w:w="1705" w:type="dxa"/>
            <w:vAlign w:val="center"/>
          </w:tcPr>
          <w:p w14:paraId="2FF771B6">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资金管理</w:t>
            </w:r>
          </w:p>
        </w:tc>
        <w:tc>
          <w:tcPr>
            <w:tcW w:w="1703" w:type="dxa"/>
            <w:vAlign w:val="center"/>
          </w:tcPr>
          <w:p w14:paraId="3E220AD5">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705" w:type="dxa"/>
            <w:vAlign w:val="center"/>
          </w:tcPr>
          <w:p w14:paraId="0812B0B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5.92</w:t>
            </w:r>
          </w:p>
        </w:tc>
        <w:tc>
          <w:tcPr>
            <w:tcW w:w="1706" w:type="dxa"/>
            <w:vAlign w:val="center"/>
          </w:tcPr>
          <w:p w14:paraId="693D310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98.67%</w:t>
            </w:r>
          </w:p>
        </w:tc>
      </w:tr>
      <w:tr w14:paraId="54C7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Merge w:val="continue"/>
            <w:vAlign w:val="center"/>
          </w:tcPr>
          <w:p w14:paraId="514E9196">
            <w:pPr>
              <w:jc w:val="center"/>
              <w:rPr>
                <w:rFonts w:hint="default" w:ascii="Times New Roman" w:hAnsi="Times New Roman" w:eastAsia="仿宋_GB2312" w:cs="Times New Roman"/>
                <w:color w:val="auto"/>
                <w:sz w:val="21"/>
                <w:szCs w:val="21"/>
                <w:highlight w:val="none"/>
              </w:rPr>
            </w:pPr>
          </w:p>
        </w:tc>
        <w:tc>
          <w:tcPr>
            <w:tcW w:w="1705" w:type="dxa"/>
            <w:vAlign w:val="center"/>
          </w:tcPr>
          <w:p w14:paraId="56AC0D4F">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组织实施</w:t>
            </w:r>
          </w:p>
        </w:tc>
        <w:tc>
          <w:tcPr>
            <w:tcW w:w="1703" w:type="dxa"/>
            <w:vAlign w:val="center"/>
          </w:tcPr>
          <w:p w14:paraId="08F4503C">
            <w:pPr>
              <w:keepNext w:val="0"/>
              <w:keepLines w:val="0"/>
              <w:widowControl/>
              <w:suppressLineNumbers w:val="0"/>
              <w:jc w:val="center"/>
              <w:textAlignment w:val="center"/>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705" w:type="dxa"/>
            <w:vAlign w:val="center"/>
          </w:tcPr>
          <w:p w14:paraId="5F2902D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1706" w:type="dxa"/>
            <w:vAlign w:val="center"/>
          </w:tcPr>
          <w:p w14:paraId="25407F6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64.00%</w:t>
            </w:r>
          </w:p>
        </w:tc>
      </w:tr>
      <w:tr w14:paraId="6E89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08" w:type="dxa"/>
            <w:gridSpan w:val="2"/>
            <w:vAlign w:val="top"/>
          </w:tcPr>
          <w:p w14:paraId="52655E59">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小计</w:t>
            </w:r>
          </w:p>
        </w:tc>
        <w:tc>
          <w:tcPr>
            <w:tcW w:w="1703" w:type="dxa"/>
            <w:vAlign w:val="top"/>
          </w:tcPr>
          <w:p w14:paraId="424D3169">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16</w:t>
            </w:r>
          </w:p>
        </w:tc>
        <w:tc>
          <w:tcPr>
            <w:tcW w:w="1705" w:type="dxa"/>
            <w:vAlign w:val="top"/>
          </w:tcPr>
          <w:p w14:paraId="5B808E7A">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12.32</w:t>
            </w:r>
          </w:p>
        </w:tc>
        <w:tc>
          <w:tcPr>
            <w:tcW w:w="1706" w:type="dxa"/>
            <w:vAlign w:val="center"/>
          </w:tcPr>
          <w:p w14:paraId="4FAFC4DB">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77.00%</w:t>
            </w:r>
          </w:p>
        </w:tc>
      </w:tr>
      <w:tr w14:paraId="2DD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3" w:type="dxa"/>
            <w:vMerge w:val="restart"/>
            <w:vAlign w:val="center"/>
          </w:tcPr>
          <w:p w14:paraId="156AA9E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i w:val="0"/>
                <w:iCs w:val="0"/>
                <w:color w:val="000000"/>
                <w:kern w:val="0"/>
                <w:sz w:val="21"/>
                <w:szCs w:val="21"/>
                <w:u w:val="none"/>
                <w:lang w:val="en-US" w:eastAsia="zh-CN" w:bidi="ar"/>
              </w:rPr>
              <w:t>项目绩效</w:t>
            </w:r>
          </w:p>
        </w:tc>
        <w:tc>
          <w:tcPr>
            <w:tcW w:w="1705" w:type="dxa"/>
            <w:vAlign w:val="center"/>
          </w:tcPr>
          <w:p w14:paraId="58AF249F">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项目产出</w:t>
            </w:r>
          </w:p>
        </w:tc>
        <w:tc>
          <w:tcPr>
            <w:tcW w:w="1703" w:type="dxa"/>
            <w:vAlign w:val="center"/>
          </w:tcPr>
          <w:p w14:paraId="4B796E9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705" w:type="dxa"/>
            <w:vAlign w:val="center"/>
          </w:tcPr>
          <w:p w14:paraId="2E7D82C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31.2</w:t>
            </w:r>
          </w:p>
        </w:tc>
        <w:tc>
          <w:tcPr>
            <w:tcW w:w="1706" w:type="dxa"/>
            <w:vAlign w:val="center"/>
          </w:tcPr>
          <w:p w14:paraId="527E9D95">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78.00%</w:t>
            </w:r>
          </w:p>
        </w:tc>
      </w:tr>
      <w:tr w14:paraId="30CF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3" w:type="dxa"/>
            <w:vMerge w:val="continue"/>
            <w:vAlign w:val="center"/>
          </w:tcPr>
          <w:p w14:paraId="75DADBA6">
            <w:pPr>
              <w:jc w:val="center"/>
              <w:rPr>
                <w:rFonts w:hint="default" w:ascii="Times New Roman" w:hAnsi="Times New Roman" w:eastAsia="仿宋_GB2312" w:cs="Times New Roman"/>
                <w:color w:val="auto"/>
                <w:sz w:val="21"/>
                <w:szCs w:val="21"/>
                <w:highlight w:val="none"/>
              </w:rPr>
            </w:pPr>
          </w:p>
        </w:tc>
        <w:tc>
          <w:tcPr>
            <w:tcW w:w="1705" w:type="dxa"/>
            <w:vAlign w:val="center"/>
          </w:tcPr>
          <w:p w14:paraId="2DE9481B">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i w:val="0"/>
                <w:iCs w:val="0"/>
                <w:color w:val="000000"/>
                <w:kern w:val="0"/>
                <w:sz w:val="21"/>
                <w:szCs w:val="21"/>
                <w:u w:val="none"/>
                <w:lang w:val="en-US" w:eastAsia="zh-CN" w:bidi="ar"/>
              </w:rPr>
              <w:t>项目效益</w:t>
            </w:r>
          </w:p>
        </w:tc>
        <w:tc>
          <w:tcPr>
            <w:tcW w:w="1703" w:type="dxa"/>
            <w:vAlign w:val="top"/>
          </w:tcPr>
          <w:p w14:paraId="2241A97A">
            <w:pPr>
              <w:keepNext w:val="0"/>
              <w:keepLines w:val="0"/>
              <w:widowControl/>
              <w:suppressLineNumbers w:val="0"/>
              <w:jc w:val="center"/>
              <w:textAlignment w:val="top"/>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705" w:type="dxa"/>
            <w:vAlign w:val="center"/>
          </w:tcPr>
          <w:p w14:paraId="6532B19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706" w:type="dxa"/>
            <w:vAlign w:val="center"/>
          </w:tcPr>
          <w:p w14:paraId="31F1E28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85.00%</w:t>
            </w:r>
          </w:p>
        </w:tc>
      </w:tr>
      <w:tr w14:paraId="6F3E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3" w:type="dxa"/>
            <w:vMerge w:val="continue"/>
            <w:vAlign w:val="center"/>
          </w:tcPr>
          <w:p w14:paraId="3B986394">
            <w:pPr>
              <w:jc w:val="center"/>
              <w:rPr>
                <w:rFonts w:hint="default" w:ascii="Times New Roman" w:hAnsi="Times New Roman" w:eastAsia="仿宋_GB2312" w:cs="Times New Roman"/>
                <w:b/>
                <w:bCs/>
                <w:color w:val="auto"/>
                <w:sz w:val="21"/>
                <w:szCs w:val="21"/>
                <w:highlight w:val="none"/>
              </w:rPr>
            </w:pPr>
          </w:p>
        </w:tc>
        <w:tc>
          <w:tcPr>
            <w:tcW w:w="1705" w:type="dxa"/>
            <w:vAlign w:val="center"/>
          </w:tcPr>
          <w:p w14:paraId="608D37F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服务满意度</w:t>
            </w:r>
          </w:p>
        </w:tc>
        <w:tc>
          <w:tcPr>
            <w:tcW w:w="1703" w:type="dxa"/>
            <w:vAlign w:val="top"/>
          </w:tcPr>
          <w:p w14:paraId="7BFFFF1A">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705" w:type="dxa"/>
            <w:vAlign w:val="center"/>
          </w:tcPr>
          <w:p w14:paraId="179BDE59">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9.44</w:t>
            </w:r>
          </w:p>
        </w:tc>
        <w:tc>
          <w:tcPr>
            <w:tcW w:w="1706" w:type="dxa"/>
            <w:vAlign w:val="center"/>
          </w:tcPr>
          <w:p w14:paraId="5AA2827B">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94.40%</w:t>
            </w:r>
          </w:p>
        </w:tc>
      </w:tr>
      <w:tr w14:paraId="11B6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408" w:type="dxa"/>
            <w:gridSpan w:val="2"/>
            <w:vAlign w:val="top"/>
          </w:tcPr>
          <w:p w14:paraId="78193A68">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小计</w:t>
            </w:r>
          </w:p>
        </w:tc>
        <w:tc>
          <w:tcPr>
            <w:tcW w:w="1703" w:type="dxa"/>
            <w:vAlign w:val="top"/>
          </w:tcPr>
          <w:p w14:paraId="7A1B7260">
            <w:pPr>
              <w:keepNext w:val="0"/>
              <w:keepLines w:val="0"/>
              <w:widowControl/>
              <w:suppressLineNumbers w:val="0"/>
              <w:jc w:val="center"/>
              <w:textAlignment w:val="top"/>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i w:val="0"/>
                <w:iCs w:val="0"/>
                <w:color w:val="000000"/>
                <w:kern w:val="0"/>
                <w:sz w:val="21"/>
                <w:szCs w:val="21"/>
                <w:u w:val="none"/>
                <w:lang w:val="en-US" w:eastAsia="zh-CN" w:bidi="ar"/>
              </w:rPr>
              <w:t>70</w:t>
            </w:r>
          </w:p>
        </w:tc>
        <w:tc>
          <w:tcPr>
            <w:tcW w:w="1705" w:type="dxa"/>
            <w:vAlign w:val="center"/>
          </w:tcPr>
          <w:p w14:paraId="4BBE4903">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57.64</w:t>
            </w:r>
          </w:p>
        </w:tc>
        <w:tc>
          <w:tcPr>
            <w:tcW w:w="1706" w:type="dxa"/>
            <w:vAlign w:val="center"/>
          </w:tcPr>
          <w:p w14:paraId="664261EF">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82.34%</w:t>
            </w:r>
          </w:p>
        </w:tc>
      </w:tr>
      <w:tr w14:paraId="2D7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08" w:type="dxa"/>
            <w:gridSpan w:val="2"/>
            <w:vAlign w:val="top"/>
          </w:tcPr>
          <w:p w14:paraId="4457C01A">
            <w:pPr>
              <w:keepNext w:val="0"/>
              <w:keepLines w:val="0"/>
              <w:widowControl/>
              <w:suppressLineNumbers w:val="0"/>
              <w:jc w:val="center"/>
              <w:textAlignment w:val="top"/>
              <w:rPr>
                <w:rFonts w:hint="default" w:ascii="Times New Roman" w:hAnsi="Times New Roman" w:eastAsia="仿宋_GB2312" w:cs="Times New Roman"/>
                <w:b/>
                <w:bCs/>
                <w:i w:val="0"/>
                <w:iCs w:val="0"/>
                <w:color w:val="000000"/>
                <w:kern w:val="0"/>
                <w:sz w:val="21"/>
                <w:szCs w:val="21"/>
                <w:u w:val="none"/>
                <w:lang w:val="en-US" w:eastAsia="zh-CN" w:bidi="ar"/>
              </w:rPr>
            </w:pPr>
            <w:bookmarkStart w:id="101" w:name="_Toc288"/>
            <w:bookmarkStart w:id="102" w:name="_Toc15137"/>
            <w:bookmarkStart w:id="103" w:name="_Toc15827"/>
            <w:r>
              <w:rPr>
                <w:rFonts w:hint="default" w:ascii="Times New Roman" w:hAnsi="Times New Roman" w:eastAsia="仿宋_GB2312" w:cs="Times New Roman"/>
                <w:b/>
                <w:bCs/>
                <w:i w:val="0"/>
                <w:iCs w:val="0"/>
                <w:color w:val="000000"/>
                <w:kern w:val="0"/>
                <w:sz w:val="21"/>
                <w:szCs w:val="21"/>
                <w:u w:val="none"/>
                <w:lang w:val="en-US" w:eastAsia="zh-CN" w:bidi="ar"/>
              </w:rPr>
              <w:t>合计</w:t>
            </w:r>
          </w:p>
        </w:tc>
        <w:tc>
          <w:tcPr>
            <w:tcW w:w="1703" w:type="dxa"/>
            <w:vAlign w:val="top"/>
          </w:tcPr>
          <w:p w14:paraId="76D06F3B">
            <w:pPr>
              <w:keepNext w:val="0"/>
              <w:keepLines w:val="0"/>
              <w:widowControl/>
              <w:suppressLineNumbers w:val="0"/>
              <w:jc w:val="center"/>
              <w:textAlignment w:val="top"/>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100</w:t>
            </w:r>
          </w:p>
        </w:tc>
        <w:tc>
          <w:tcPr>
            <w:tcW w:w="1705" w:type="dxa"/>
            <w:vAlign w:val="center"/>
          </w:tcPr>
          <w:p w14:paraId="5A415F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82.46</w:t>
            </w:r>
          </w:p>
        </w:tc>
        <w:tc>
          <w:tcPr>
            <w:tcW w:w="1706" w:type="dxa"/>
            <w:vAlign w:val="center"/>
          </w:tcPr>
          <w:p w14:paraId="6325CA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82.46%</w:t>
            </w:r>
          </w:p>
        </w:tc>
      </w:tr>
    </w:tbl>
    <w:p w14:paraId="04716E27">
      <w:pPr>
        <w:keepNext/>
        <w:keepLines/>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0"/>
        <w:rPr>
          <w:rFonts w:hint="default" w:ascii="Times New Roman" w:hAnsi="Times New Roman" w:eastAsia="黑体" w:cs="Times New Roman"/>
          <w:kern w:val="44"/>
          <w:sz w:val="32"/>
          <w:szCs w:val="28"/>
          <w:lang w:val="en-US" w:eastAsia="zh-CN" w:bidi="ar-SA"/>
        </w:rPr>
      </w:pPr>
      <w:bookmarkStart w:id="104" w:name="_Toc17962"/>
      <w:bookmarkStart w:id="105" w:name="_Toc20273"/>
      <w:bookmarkStart w:id="106" w:name="_Toc690"/>
      <w:bookmarkStart w:id="107" w:name="_Toc8544"/>
      <w:r>
        <w:rPr>
          <w:rFonts w:hint="default" w:ascii="Times New Roman" w:hAnsi="Times New Roman" w:eastAsia="黑体" w:cs="Times New Roman"/>
          <w:kern w:val="44"/>
          <w:sz w:val="32"/>
          <w:szCs w:val="28"/>
          <w:lang w:val="en-US" w:eastAsia="zh-CN" w:bidi="ar-SA"/>
        </w:rPr>
        <w:t>四、绩效评价指标分析</w:t>
      </w:r>
      <w:bookmarkEnd w:id="101"/>
      <w:bookmarkEnd w:id="102"/>
      <w:bookmarkEnd w:id="103"/>
      <w:bookmarkEnd w:id="104"/>
      <w:bookmarkEnd w:id="105"/>
      <w:bookmarkEnd w:id="106"/>
      <w:bookmarkEnd w:id="107"/>
    </w:p>
    <w:p w14:paraId="28BC7CE7">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default" w:ascii="Times New Roman" w:hAnsi="Times New Roman" w:cs="Times New Roman"/>
          <w:szCs w:val="32"/>
          <w:lang w:val="en-US" w:eastAsia="zh-CN"/>
        </w:rPr>
      </w:pPr>
      <w:bookmarkStart w:id="108" w:name="_Toc78275952"/>
      <w:bookmarkStart w:id="109" w:name="_Toc24616"/>
      <w:bookmarkStart w:id="110" w:name="_Toc5240"/>
      <w:bookmarkStart w:id="111" w:name="_Toc27253"/>
      <w:bookmarkStart w:id="112" w:name="_Toc32700"/>
      <w:bookmarkStart w:id="113" w:name="_Toc16961"/>
      <w:bookmarkStart w:id="114" w:name="_Toc20234"/>
      <w:r>
        <w:rPr>
          <w:rFonts w:hint="default" w:ascii="Times New Roman" w:hAnsi="Times New Roman" w:cs="Times New Roman"/>
          <w:szCs w:val="32"/>
          <w:lang w:eastAsia="zh-CN"/>
        </w:rPr>
        <w:t>（一）项目决策</w:t>
      </w:r>
      <w:bookmarkEnd w:id="108"/>
      <w:bookmarkEnd w:id="109"/>
      <w:r>
        <w:rPr>
          <w:rFonts w:hint="default" w:ascii="Times New Roman" w:hAnsi="Times New Roman" w:cs="Times New Roman"/>
          <w:szCs w:val="32"/>
          <w:lang w:val="en-US" w:eastAsia="zh-CN"/>
        </w:rPr>
        <w:t>情况</w:t>
      </w:r>
      <w:bookmarkEnd w:id="110"/>
      <w:bookmarkEnd w:id="111"/>
      <w:bookmarkEnd w:id="112"/>
      <w:bookmarkEnd w:id="113"/>
      <w:bookmarkEnd w:id="114"/>
    </w:p>
    <w:p w14:paraId="26C03C17">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jc w:val="both"/>
        <w:textAlignment w:val="auto"/>
        <w:rPr>
          <w:rFonts w:hint="default" w:ascii="Times New Roman" w:hAnsi="Times New Roman" w:eastAsia="仿宋_GB2312" w:cs="Times New Roman"/>
          <w:bCs/>
          <w:color w:val="auto"/>
          <w:sz w:val="32"/>
          <w:szCs w:val="32"/>
          <w:highlight w:val="none"/>
          <w:lang w:val="en-US" w:eastAsia="zh-CN"/>
        </w:rPr>
      </w:pPr>
      <w:bookmarkStart w:id="115" w:name="_Toc78275953"/>
      <w:bookmarkStart w:id="116" w:name="_Toc15067"/>
      <w:bookmarkStart w:id="117" w:name="_Toc11525"/>
      <w:r>
        <w:rPr>
          <w:rFonts w:hint="default" w:ascii="Times New Roman" w:hAnsi="Times New Roman" w:cs="Times New Roman"/>
          <w:b/>
          <w:szCs w:val="32"/>
          <w:lang w:val="en-US" w:eastAsia="zh-Hans"/>
        </w:rPr>
        <w:t>项目立项</w:t>
      </w:r>
      <w:r>
        <w:rPr>
          <w:rFonts w:hint="eastAsia" w:ascii="Times New Roman" w:hAnsi="Times New Roman" w:cs="Times New Roman"/>
          <w:b/>
          <w:szCs w:val="32"/>
          <w:lang w:eastAsia="zh-CN"/>
        </w:rPr>
        <w:t>。</w:t>
      </w:r>
      <w:r>
        <w:rPr>
          <w:rFonts w:hint="default" w:ascii="Times New Roman" w:hAnsi="Times New Roman" w:eastAsia="仿宋_GB2312" w:cs="Times New Roman"/>
          <w:bCs/>
          <w:color w:val="auto"/>
          <w:sz w:val="32"/>
          <w:szCs w:val="32"/>
          <w:highlight w:val="none"/>
          <w:lang w:val="en-US" w:eastAsia="zh-Hans"/>
        </w:rPr>
        <w:t>本项目未单独制定信息化领域3-5年发展规划，但</w:t>
      </w:r>
      <w:r>
        <w:rPr>
          <w:rFonts w:hint="default" w:ascii="Times New Roman" w:hAnsi="Times New Roman" w:eastAsia="仿宋_GB2312" w:cs="Times New Roman"/>
          <w:bCs/>
          <w:color w:val="auto"/>
          <w:sz w:val="32"/>
          <w:szCs w:val="32"/>
          <w:highlight w:val="none"/>
          <w:lang w:val="en-US" w:eastAsia="zh-CN"/>
        </w:rPr>
        <w:t>2016年起依据《国务院关于印发“十三五”国家信息化规划的通知》（国发〔2016〕73号）、《湖南省“十三五”信息化发展规划》（湘网办发〔2018〕19号）、《永州市新型工业化“十三五”发展规划》等文件，永州市确定了信息化领域3-5年的发展规划，明确</w:t>
      </w:r>
      <w:r>
        <w:rPr>
          <w:rFonts w:hint="eastAsia" w:ascii="仿宋_GB2312" w:hAnsi="仿宋_GB2312" w:eastAsia="仿宋_GB2312" w:cs="仿宋_GB2312"/>
          <w:bCs/>
          <w:color w:val="auto"/>
          <w:sz w:val="32"/>
          <w:szCs w:val="32"/>
          <w:highlight w:val="none"/>
          <w:lang w:val="en-US" w:eastAsia="zh-CN"/>
        </w:rPr>
        <w:t>“积极推进区域数据中心的建设，促进海量数据处理、大数据应用等产业发展，积极发展移动互联网和物联网核心关键技术和高端产品”。永州市行政审批服务局为永州市人民政府组成部门，主要负责：</w:t>
      </w:r>
      <w:r>
        <w:rPr>
          <w:rFonts w:hint="eastAsia" w:ascii="仿宋_GB2312" w:hAnsi="仿宋_GB2312" w:eastAsia="仿宋_GB2312" w:cs="仿宋_GB2312"/>
          <w:bCs/>
          <w:color w:val="auto"/>
          <w:sz w:val="32"/>
          <w:szCs w:val="32"/>
          <w:highlight w:val="none"/>
          <w:lang w:val="en-US" w:eastAsia="zh-Hans"/>
        </w:rPr>
        <w:t>统筹协调、规划指导、监督评估全市电子政务工作；统筹推进、协调监督全市“互联网+政务服务”工</w:t>
      </w:r>
      <w:r>
        <w:rPr>
          <w:rFonts w:hint="default" w:ascii="Times New Roman" w:hAnsi="Times New Roman" w:eastAsia="仿宋_GB2312" w:cs="Times New Roman"/>
          <w:bCs/>
          <w:color w:val="auto"/>
          <w:sz w:val="32"/>
          <w:szCs w:val="32"/>
          <w:highlight w:val="none"/>
          <w:lang w:val="en-US" w:eastAsia="zh-Hans"/>
        </w:rPr>
        <w:t>作；统筹规划、监督考核全市政府系统网站</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Hans"/>
        </w:rPr>
        <w:t>统筹协调、规划指导、监督评估全市政务信息化、大数据建设管理和应用等工作；组织协调推进政务数据资源共享和开放工作，统筹政务数据资源的采集、分类、管理、分析和应用工作。</w:t>
      </w:r>
      <w:r>
        <w:rPr>
          <w:rFonts w:hint="default" w:ascii="Times New Roman" w:hAnsi="Times New Roman" w:eastAsia="仿宋_GB2312" w:cs="Times New Roman"/>
          <w:bCs/>
          <w:color w:val="auto"/>
          <w:sz w:val="32"/>
          <w:szCs w:val="32"/>
          <w:highlight w:val="none"/>
          <w:lang w:val="en-US" w:eastAsia="zh-CN"/>
        </w:rPr>
        <w:t>本次评价项目主要由</w:t>
      </w:r>
      <w:r>
        <w:rPr>
          <w:rFonts w:hint="eastAsia" w:ascii="Times New Roman" w:hAnsi="Times New Roman" w:cs="Times New Roman"/>
          <w:bCs/>
          <w:color w:val="auto"/>
          <w:sz w:val="32"/>
          <w:szCs w:val="32"/>
          <w:highlight w:val="none"/>
          <w:lang w:val="en-US" w:eastAsia="zh-CN"/>
        </w:rPr>
        <w:t>永州市行政审批服务局</w:t>
      </w:r>
      <w:r>
        <w:rPr>
          <w:rFonts w:hint="default" w:ascii="Times New Roman" w:hAnsi="Times New Roman" w:eastAsia="仿宋_GB2312" w:cs="Times New Roman"/>
          <w:bCs/>
          <w:color w:val="auto"/>
          <w:sz w:val="32"/>
          <w:szCs w:val="32"/>
          <w:highlight w:val="none"/>
          <w:lang w:val="en-US" w:eastAsia="zh-CN"/>
        </w:rPr>
        <w:t>、永州市人民政府办公室、中国共产党永州市委员会办公室以及中国人民政治协商会议湖南省永州市委员会负责组织建设，市级直属单位等部门使用，项目立项与部门职责范围相符，与部门内部其他相关项目划分明确。</w:t>
      </w:r>
      <w:r>
        <w:rPr>
          <w:rFonts w:hint="default" w:ascii="Times New Roman" w:hAnsi="Times New Roman" w:eastAsia="仿宋_GB2312" w:cs="Times New Roman"/>
          <w:b w:val="0"/>
          <w:bCs/>
          <w:color w:val="auto"/>
          <w:sz w:val="32"/>
          <w:szCs w:val="32"/>
          <w:highlight w:val="none"/>
          <w:lang w:val="en-US" w:eastAsia="zh-CN"/>
        </w:rPr>
        <w:t>该项目内容按照规定的程序申请设立，根据</w:t>
      </w:r>
      <w:r>
        <w:rPr>
          <w:rFonts w:hint="default" w:ascii="Times New Roman" w:hAnsi="Times New Roman" w:eastAsia="仿宋_GB2312" w:cs="Times New Roman"/>
          <w:sz w:val="32"/>
          <w:szCs w:val="32"/>
          <w:lang w:val="en-US" w:eastAsia="zh-CN" w:bidi="zh-CN"/>
        </w:rPr>
        <w:t>《永州市</w:t>
      </w:r>
      <w:r>
        <w:rPr>
          <w:rFonts w:hint="eastAsia" w:ascii="Times New Roman" w:hAnsi="Times New Roman" w:cs="Times New Roman"/>
          <w:sz w:val="32"/>
          <w:szCs w:val="32"/>
          <w:lang w:val="en-US" w:eastAsia="zh-CN" w:bidi="zh-CN"/>
        </w:rPr>
        <w:t>政务大数据</w:t>
      </w:r>
      <w:r>
        <w:rPr>
          <w:rFonts w:hint="default" w:ascii="Times New Roman" w:hAnsi="Times New Roman" w:eastAsia="仿宋_GB2312" w:cs="Times New Roman"/>
          <w:sz w:val="32"/>
          <w:szCs w:val="32"/>
          <w:lang w:val="en-US" w:eastAsia="zh-CN" w:bidi="zh-CN"/>
        </w:rPr>
        <w:t>管理办法》，项目建设单位根据需要对拟建项目进行可行性分析研究，形成可行性分析报告。根据项目可行性分析和实际需求，按照满足实际应用、适度超前的原则编制项目建设初步设计</w:t>
      </w:r>
      <w:r>
        <w:rPr>
          <w:rFonts w:hint="default" w:ascii="Times New Roman" w:hAnsi="Times New Roman" w:eastAsia="仿宋_GB2312" w:cs="Times New Roman"/>
          <w:sz w:val="32"/>
          <w:szCs w:val="32"/>
          <w:highlight w:val="none"/>
          <w:lang w:val="en-US" w:eastAsia="zh-CN" w:bidi="zh-CN"/>
        </w:rPr>
        <w:t>方案，明确建设内容和投资金额，报市财政局确定资金来源。项目建设单位按年度向市行政审批服务局申报项目建设计划，归口管理单位和部门二级机构建设项目由主管部门审核申报，跨部门跨领域共建共享的项目，由牵头部门申报，在上一年度末申报纳入下一年度建设计划，且需同时申报项目绩效目标。通过技术评审、立项审批后，政府采购的建设项目由市财政局组织预算评审，其他建设项目按相关规定组织预算评审，出具预算评审报告。据调研，各项目立项前已经过必要的可行性研究、技术方案论证</w:t>
      </w:r>
      <w:r>
        <w:rPr>
          <w:rFonts w:hint="eastAsia" w:ascii="Times New Roman" w:hAnsi="Times New Roman"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需求分析</w:t>
      </w:r>
      <w:r>
        <w:rPr>
          <w:rFonts w:hint="eastAsia" w:ascii="Times New Roman" w:hAnsi="Times New Roman"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、专家论证、风险评估、集体决策等。</w:t>
      </w:r>
      <w:r>
        <w:rPr>
          <w:rFonts w:hint="eastAsia" w:ascii="Times New Roman" w:hAnsi="Times New Roman" w:cs="Times New Roman"/>
          <w:sz w:val="32"/>
          <w:szCs w:val="32"/>
          <w:highlight w:val="none"/>
          <w:lang w:val="en-US" w:eastAsia="zh-CN" w:bidi="zh-CN"/>
        </w:rPr>
        <w:t>但部分项目存在前期规划不充分，方案设计不合理的情况。</w:t>
      </w:r>
    </w:p>
    <w:p w14:paraId="1350528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auto"/>
        <w:rPr>
          <w:rFonts w:hint="default" w:ascii="Times New Roman" w:hAnsi="Times New Roman" w:eastAsia="仿宋_GB2312" w:cs="Times New Roman"/>
          <w:b/>
          <w:color w:val="FF0000"/>
          <w:sz w:val="32"/>
          <w:szCs w:val="32"/>
          <w:highlight w:val="none"/>
          <w:lang w:val="en-US"/>
        </w:rPr>
      </w:pPr>
      <w:r>
        <w:rPr>
          <w:rFonts w:hint="default" w:ascii="Times New Roman" w:hAnsi="Times New Roman" w:eastAsia="仿宋_GB2312" w:cs="Times New Roman"/>
          <w:b/>
          <w:sz w:val="32"/>
          <w:szCs w:val="32"/>
          <w:highlight w:val="none"/>
          <w:lang w:val="en-US" w:eastAsia="zh-Hans"/>
        </w:rPr>
        <w:t>绩效目标</w:t>
      </w:r>
      <w:r>
        <w:rPr>
          <w:rFonts w:hint="eastAsia" w:ascii="Times New Roman" w:hAnsi="Times New Roman" w:eastAsia="仿宋_GB2312" w:cs="Times New Roman"/>
          <w:b/>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制定了《信息化项目基本运转资金绩效目标表》、《永州市公共安全视频监控建设联网应用项目（雪亮工程）绩效目标表》等，预算支出绩效目标与实际工作内容具有相关性，预期产出和效果符合正常业绩水平，但存在个别项目未设置绩效目标表</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存在个别指标内容设置与实际工作不相关的情况。绩效目标从数量、质量、时效以及经济效益等方面进行细化，能通过清晰、可衡量的指标值予以体现，能较好的与目标任务数或工作计划数相对应。</w:t>
      </w:r>
    </w:p>
    <w:p w14:paraId="4F4A614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textAlignment w:val="auto"/>
        <w:rPr>
          <w:rFonts w:hint="eastAsia"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lang w:val="en-US" w:eastAsia="zh-Hans"/>
        </w:rPr>
        <w:t>资金投入</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Cs/>
          <w:sz w:val="32"/>
          <w:szCs w:val="32"/>
          <w:highlight w:val="none"/>
          <w:lang w:val="en-US" w:eastAsia="zh-Hans"/>
        </w:rPr>
        <w:t>本项目预算内容与项目内容基本匹配</w:t>
      </w:r>
      <w:r>
        <w:rPr>
          <w:rFonts w:hint="default" w:ascii="Times New Roman" w:hAnsi="Times New Roman" w:eastAsia="仿宋_GB2312" w:cs="Times New Roman"/>
          <w:bCs/>
          <w:sz w:val="32"/>
          <w:szCs w:val="32"/>
          <w:highlight w:val="none"/>
          <w:lang w:eastAsia="zh-Hans"/>
        </w:rPr>
        <w:t>，</w:t>
      </w:r>
      <w:r>
        <w:rPr>
          <w:rFonts w:hint="eastAsia" w:ascii="Times New Roman" w:hAnsi="Times New Roman" w:eastAsia="仿宋_GB2312" w:cs="Times New Roman"/>
          <w:bCs/>
          <w:sz w:val="32"/>
          <w:szCs w:val="32"/>
          <w:highlight w:val="none"/>
          <w:lang w:val="en-US" w:eastAsia="zh-CN"/>
        </w:rPr>
        <w:t>未出现预算超出项目实施范围现象。项目</w:t>
      </w:r>
      <w:r>
        <w:rPr>
          <w:rFonts w:hint="default" w:ascii="Times New Roman" w:hAnsi="Times New Roman" w:eastAsia="仿宋_GB2312" w:cs="Times New Roman"/>
          <w:bCs/>
          <w:sz w:val="32"/>
          <w:szCs w:val="32"/>
          <w:highlight w:val="none"/>
          <w:lang w:eastAsia="zh-Hans"/>
        </w:rPr>
        <w:t>预算编制合理，年度计划聚焦主干业务，自下而上</w:t>
      </w:r>
      <w:r>
        <w:rPr>
          <w:rFonts w:hint="eastAsia" w:ascii="Times New Roman" w:hAnsi="Times New Roman" w:eastAsia="仿宋_GB2312" w:cs="Times New Roman"/>
          <w:bCs/>
          <w:sz w:val="32"/>
          <w:szCs w:val="32"/>
          <w:highlight w:val="none"/>
          <w:lang w:val="en-US" w:eastAsia="zh-CN"/>
        </w:rPr>
        <w:t>根据合同签订金额以及项目建设进度进行编制</w:t>
      </w:r>
      <w:r>
        <w:rPr>
          <w:rFonts w:hint="default" w:ascii="Times New Roman" w:hAnsi="Times New Roman" w:eastAsia="仿宋_GB2312" w:cs="Times New Roman"/>
          <w:bCs/>
          <w:sz w:val="32"/>
          <w:szCs w:val="32"/>
          <w:highlight w:val="none"/>
          <w:lang w:eastAsia="zh-Hans"/>
        </w:rPr>
        <w:t>汇总，并参考以往年度实际</w:t>
      </w:r>
      <w:r>
        <w:rPr>
          <w:rFonts w:hint="eastAsia" w:ascii="Times New Roman" w:hAnsi="Times New Roman" w:eastAsia="仿宋_GB2312" w:cs="Times New Roman"/>
          <w:bCs/>
          <w:sz w:val="32"/>
          <w:szCs w:val="32"/>
          <w:highlight w:val="none"/>
          <w:lang w:val="en-US" w:eastAsia="zh-CN"/>
        </w:rPr>
        <w:t>支出</w:t>
      </w:r>
      <w:r>
        <w:rPr>
          <w:rFonts w:hint="default" w:ascii="Times New Roman" w:hAnsi="Times New Roman" w:eastAsia="仿宋_GB2312" w:cs="Times New Roman"/>
          <w:bCs/>
          <w:sz w:val="32"/>
          <w:szCs w:val="32"/>
          <w:highlight w:val="none"/>
          <w:lang w:eastAsia="zh-Hans"/>
        </w:rPr>
        <w:t>，制定有明确的测算依据</w:t>
      </w:r>
      <w:r>
        <w:rPr>
          <w:rFonts w:hint="eastAsia" w:ascii="Times New Roman" w:hAnsi="Times New Roman" w:eastAsia="仿宋_GB2312" w:cs="Times New Roman"/>
          <w:bCs/>
          <w:sz w:val="32"/>
          <w:szCs w:val="32"/>
          <w:highlight w:val="none"/>
          <w:lang w:eastAsia="zh-CN"/>
        </w:rPr>
        <w:t>。</w:t>
      </w:r>
    </w:p>
    <w:p w14:paraId="77906DE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lang w:bidi="en-US"/>
        </w:rPr>
        <w:t>项目决策指标由3个二级指标，6个三级指标构成，权重分</w:t>
      </w:r>
      <w:r>
        <w:rPr>
          <w:rFonts w:hint="eastAsia" w:ascii="Times New Roman" w:hAnsi="Times New Roman" w:eastAsia="仿宋_GB2312" w:cs="Times New Roman"/>
          <w:sz w:val="32"/>
          <w:szCs w:val="32"/>
          <w:highlight w:val="none"/>
          <w:lang w:val="en-US" w:eastAsia="zh-CN" w:bidi="en-US"/>
        </w:rPr>
        <w:t>14</w:t>
      </w:r>
      <w:r>
        <w:rPr>
          <w:rFonts w:hint="default" w:ascii="Times New Roman" w:hAnsi="Times New Roman" w:eastAsia="仿宋_GB2312" w:cs="Times New Roman"/>
          <w:sz w:val="32"/>
          <w:szCs w:val="32"/>
          <w:highlight w:val="none"/>
          <w:lang w:bidi="en-US"/>
        </w:rPr>
        <w:t>分，实际得分</w:t>
      </w:r>
      <w:r>
        <w:rPr>
          <w:rFonts w:hint="default" w:ascii="Times New Roman" w:hAnsi="Times New Roman" w:eastAsia="仿宋_GB2312" w:cs="Times New Roman"/>
          <w:sz w:val="32"/>
          <w:szCs w:val="32"/>
          <w:highlight w:val="none"/>
          <w:lang w:val="en-US" w:eastAsia="zh-CN" w:bidi="en-US"/>
        </w:rPr>
        <w:t>1</w:t>
      </w:r>
      <w:r>
        <w:rPr>
          <w:rFonts w:hint="eastAsia" w:ascii="Times New Roman" w:hAnsi="Times New Roman" w:eastAsia="仿宋_GB2312" w:cs="Times New Roman"/>
          <w:sz w:val="32"/>
          <w:szCs w:val="32"/>
          <w:highlight w:val="none"/>
          <w:lang w:val="en-US" w:eastAsia="zh-CN" w:bidi="en-US"/>
        </w:rPr>
        <w:t>2.5</w:t>
      </w:r>
      <w:r>
        <w:rPr>
          <w:rFonts w:hint="default" w:ascii="Times New Roman" w:hAnsi="Times New Roman" w:eastAsia="仿宋_GB2312" w:cs="Times New Roman"/>
          <w:sz w:val="32"/>
          <w:szCs w:val="32"/>
          <w:highlight w:val="none"/>
          <w:lang w:bidi="en-US"/>
        </w:rPr>
        <w:t>分。各指标业绩值和绩效分值如表4-1所示：</w:t>
      </w:r>
    </w:p>
    <w:p w14:paraId="25E8CAF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表4-1项目立项指标分析</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8"/>
        <w:gridCol w:w="3824"/>
        <w:gridCol w:w="1363"/>
        <w:gridCol w:w="1446"/>
      </w:tblGrid>
      <w:tr w14:paraId="7841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019" w:type="pct"/>
            <w:shd w:val="clear" w:color="auto" w:fill="D7D7D7" w:themeFill="background1" w:themeFillShade="D8"/>
            <w:tcMar>
              <w:top w:w="15" w:type="dxa"/>
              <w:left w:w="15" w:type="dxa"/>
              <w:right w:w="15" w:type="dxa"/>
            </w:tcMar>
            <w:vAlign w:val="center"/>
          </w:tcPr>
          <w:p w14:paraId="22F0A2D7">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二级指标</w:t>
            </w:r>
          </w:p>
        </w:tc>
        <w:tc>
          <w:tcPr>
            <w:tcW w:w="2294" w:type="pct"/>
            <w:shd w:val="clear" w:color="auto" w:fill="D7D7D7" w:themeFill="background1" w:themeFillShade="D8"/>
            <w:tcMar>
              <w:top w:w="15" w:type="dxa"/>
              <w:left w:w="15" w:type="dxa"/>
              <w:right w:w="15" w:type="dxa"/>
            </w:tcMar>
            <w:vAlign w:val="center"/>
          </w:tcPr>
          <w:p w14:paraId="09EC0F20">
            <w:pPr>
              <w:pageBreakBefore w:val="0"/>
              <w:widowControl/>
              <w:wordWrap/>
              <w:topLinePunct w:val="0"/>
              <w:autoSpaceDE/>
              <w:autoSpaceDN/>
              <w:bidi w:val="0"/>
              <w:adjustRightInd w:val="0"/>
              <w:snapToGrid w:val="0"/>
              <w:ind w:left="0" w:leftChars="0" w:right="0"/>
              <w:jc w:val="center"/>
              <w:textAlignment w:val="top"/>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三级指标</w:t>
            </w:r>
          </w:p>
        </w:tc>
        <w:tc>
          <w:tcPr>
            <w:tcW w:w="818" w:type="pct"/>
            <w:shd w:val="clear" w:color="auto" w:fill="D7D7D7" w:themeFill="background1" w:themeFillShade="D8"/>
            <w:tcMar>
              <w:top w:w="15" w:type="dxa"/>
              <w:left w:w="15" w:type="dxa"/>
              <w:right w:w="15" w:type="dxa"/>
            </w:tcMar>
            <w:vAlign w:val="center"/>
          </w:tcPr>
          <w:p w14:paraId="4252391E">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权重</w:t>
            </w:r>
          </w:p>
        </w:tc>
        <w:tc>
          <w:tcPr>
            <w:tcW w:w="867" w:type="pct"/>
            <w:shd w:val="clear" w:color="auto" w:fill="D7D7D7" w:themeFill="background1" w:themeFillShade="D8"/>
            <w:tcMar>
              <w:top w:w="15" w:type="dxa"/>
              <w:left w:w="15" w:type="dxa"/>
              <w:right w:w="15" w:type="dxa"/>
            </w:tcMar>
            <w:vAlign w:val="center"/>
          </w:tcPr>
          <w:p w14:paraId="5FC57515">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得分</w:t>
            </w:r>
          </w:p>
        </w:tc>
      </w:tr>
      <w:tr w14:paraId="55DD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019" w:type="pct"/>
            <w:vMerge w:val="restart"/>
            <w:shd w:val="clear" w:color="auto" w:fill="auto"/>
            <w:tcMar>
              <w:top w:w="15" w:type="dxa"/>
              <w:left w:w="15" w:type="dxa"/>
              <w:right w:w="15" w:type="dxa"/>
            </w:tcMar>
            <w:vAlign w:val="center"/>
          </w:tcPr>
          <w:p w14:paraId="1409FF43">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项目立项</w:t>
            </w:r>
          </w:p>
        </w:tc>
        <w:tc>
          <w:tcPr>
            <w:tcW w:w="2294" w:type="pct"/>
            <w:shd w:val="clear" w:color="auto" w:fill="auto"/>
            <w:tcMar>
              <w:top w:w="15" w:type="dxa"/>
              <w:left w:w="15" w:type="dxa"/>
              <w:right w:w="15" w:type="dxa"/>
            </w:tcMar>
            <w:vAlign w:val="center"/>
          </w:tcPr>
          <w:p w14:paraId="5E3184CD">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立项依据充分性</w:t>
            </w:r>
          </w:p>
        </w:tc>
        <w:tc>
          <w:tcPr>
            <w:tcW w:w="818" w:type="pct"/>
            <w:shd w:val="clear" w:color="auto" w:fill="auto"/>
            <w:tcMar>
              <w:top w:w="15" w:type="dxa"/>
              <w:left w:w="15" w:type="dxa"/>
              <w:right w:w="15" w:type="dxa"/>
            </w:tcMar>
            <w:vAlign w:val="center"/>
          </w:tcPr>
          <w:p w14:paraId="1D319ED5">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val="en-US" w:eastAsia="zh-CN" w:bidi="ar"/>
              </w:rPr>
              <w:t>2</w:t>
            </w:r>
          </w:p>
        </w:tc>
        <w:tc>
          <w:tcPr>
            <w:tcW w:w="1543" w:type="dxa"/>
            <w:shd w:val="clear" w:color="auto" w:fill="auto"/>
            <w:tcMar>
              <w:top w:w="15" w:type="dxa"/>
              <w:left w:w="15" w:type="dxa"/>
              <w:right w:w="15" w:type="dxa"/>
            </w:tcMar>
            <w:vAlign w:val="center"/>
          </w:tcPr>
          <w:p w14:paraId="7123F779">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w:t>
            </w:r>
          </w:p>
        </w:tc>
      </w:tr>
      <w:tr w14:paraId="5314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019" w:type="pct"/>
            <w:vMerge w:val="continue"/>
            <w:shd w:val="clear" w:color="auto" w:fill="auto"/>
            <w:tcMar>
              <w:top w:w="15" w:type="dxa"/>
              <w:left w:w="15" w:type="dxa"/>
              <w:right w:w="15" w:type="dxa"/>
            </w:tcMar>
            <w:vAlign w:val="center"/>
          </w:tcPr>
          <w:p w14:paraId="6F9DEDF5">
            <w:pPr>
              <w:pageBreakBefore w:val="0"/>
              <w:wordWrap/>
              <w:topLinePunct w:val="0"/>
              <w:autoSpaceDE/>
              <w:autoSpaceDN/>
              <w:bidi w:val="0"/>
              <w:adjustRightInd w:val="0"/>
              <w:snapToGrid w:val="0"/>
              <w:ind w:left="0" w:leftChars="0" w:right="0"/>
              <w:jc w:val="center"/>
              <w:rPr>
                <w:rFonts w:hint="default" w:ascii="Times New Roman" w:hAnsi="Times New Roman" w:eastAsia="仿宋_GB2312" w:cs="Times New Roman"/>
                <w:color w:val="000000"/>
                <w:sz w:val="21"/>
                <w:szCs w:val="21"/>
              </w:rPr>
            </w:pPr>
          </w:p>
        </w:tc>
        <w:tc>
          <w:tcPr>
            <w:tcW w:w="2294" w:type="pct"/>
            <w:shd w:val="clear" w:color="auto" w:fill="auto"/>
            <w:tcMar>
              <w:top w:w="15" w:type="dxa"/>
              <w:left w:w="15" w:type="dxa"/>
              <w:right w:w="15" w:type="dxa"/>
            </w:tcMar>
            <w:vAlign w:val="center"/>
          </w:tcPr>
          <w:p w14:paraId="5F1C6C21">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立项程序规范性</w:t>
            </w:r>
          </w:p>
        </w:tc>
        <w:tc>
          <w:tcPr>
            <w:tcW w:w="818" w:type="pct"/>
            <w:shd w:val="clear" w:color="auto" w:fill="auto"/>
            <w:tcMar>
              <w:top w:w="15" w:type="dxa"/>
              <w:left w:w="15" w:type="dxa"/>
              <w:right w:w="15" w:type="dxa"/>
            </w:tcMar>
            <w:vAlign w:val="center"/>
          </w:tcPr>
          <w:p w14:paraId="7A049112">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lang w:val="en-US" w:eastAsia="zh-CN" w:bidi="ar"/>
              </w:rPr>
              <w:t>2</w:t>
            </w:r>
          </w:p>
        </w:tc>
        <w:tc>
          <w:tcPr>
            <w:tcW w:w="1543" w:type="dxa"/>
            <w:shd w:val="clear" w:color="auto" w:fill="auto"/>
            <w:tcMar>
              <w:top w:w="15" w:type="dxa"/>
              <w:left w:w="15" w:type="dxa"/>
              <w:right w:w="15" w:type="dxa"/>
            </w:tcMar>
            <w:vAlign w:val="center"/>
          </w:tcPr>
          <w:p w14:paraId="192C67D1">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w:t>
            </w:r>
          </w:p>
        </w:tc>
      </w:tr>
      <w:tr w14:paraId="2515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019" w:type="pct"/>
            <w:vMerge w:val="continue"/>
            <w:shd w:val="clear" w:color="auto" w:fill="auto"/>
            <w:tcMar>
              <w:top w:w="15" w:type="dxa"/>
              <w:left w:w="15" w:type="dxa"/>
              <w:right w:w="15" w:type="dxa"/>
            </w:tcMar>
            <w:vAlign w:val="center"/>
          </w:tcPr>
          <w:p w14:paraId="71D68998">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rPr>
            </w:pPr>
          </w:p>
        </w:tc>
        <w:tc>
          <w:tcPr>
            <w:tcW w:w="2294" w:type="pct"/>
            <w:shd w:val="clear" w:color="auto" w:fill="auto"/>
            <w:tcMar>
              <w:top w:w="15" w:type="dxa"/>
              <w:left w:w="15" w:type="dxa"/>
              <w:right w:w="15" w:type="dxa"/>
            </w:tcMar>
            <w:vAlign w:val="center"/>
          </w:tcPr>
          <w:p w14:paraId="4CD07259">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方案设计合理性</w:t>
            </w:r>
          </w:p>
        </w:tc>
        <w:tc>
          <w:tcPr>
            <w:tcW w:w="818" w:type="pct"/>
            <w:shd w:val="clear" w:color="auto" w:fill="auto"/>
            <w:tcMar>
              <w:top w:w="15" w:type="dxa"/>
              <w:left w:w="15" w:type="dxa"/>
              <w:right w:w="15" w:type="dxa"/>
            </w:tcMar>
            <w:vAlign w:val="center"/>
          </w:tcPr>
          <w:p w14:paraId="43F5E022">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val="en-US" w:eastAsia="zh-CN" w:bidi="ar"/>
              </w:rPr>
              <w:t>2</w:t>
            </w:r>
          </w:p>
        </w:tc>
        <w:tc>
          <w:tcPr>
            <w:tcW w:w="1543" w:type="dxa"/>
            <w:shd w:val="clear" w:color="auto" w:fill="auto"/>
            <w:tcMar>
              <w:top w:w="15" w:type="dxa"/>
              <w:left w:w="15" w:type="dxa"/>
              <w:right w:w="15" w:type="dxa"/>
            </w:tcMar>
            <w:vAlign w:val="center"/>
          </w:tcPr>
          <w:p w14:paraId="5FD156F4">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w:t>
            </w:r>
          </w:p>
        </w:tc>
      </w:tr>
      <w:tr w14:paraId="63CC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1019" w:type="pct"/>
            <w:vMerge w:val="restart"/>
            <w:shd w:val="clear" w:color="auto" w:fill="auto"/>
            <w:tcMar>
              <w:top w:w="15" w:type="dxa"/>
              <w:left w:w="15" w:type="dxa"/>
              <w:right w:w="15" w:type="dxa"/>
            </w:tcMar>
            <w:vAlign w:val="center"/>
          </w:tcPr>
          <w:p w14:paraId="31501F3C">
            <w:pPr>
              <w:pageBreakBefore w:val="0"/>
              <w:wordWrap/>
              <w:topLinePunct w:val="0"/>
              <w:autoSpaceDE/>
              <w:autoSpaceDN/>
              <w:bidi w:val="0"/>
              <w:adjustRightInd w:val="0"/>
              <w:snapToGrid w:val="0"/>
              <w:ind w:left="0" w:leftChars="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绩效目标</w:t>
            </w:r>
          </w:p>
        </w:tc>
        <w:tc>
          <w:tcPr>
            <w:tcW w:w="2294" w:type="pct"/>
            <w:shd w:val="clear" w:color="auto" w:fill="auto"/>
            <w:tcMar>
              <w:top w:w="15" w:type="dxa"/>
              <w:left w:w="15" w:type="dxa"/>
              <w:right w:w="15" w:type="dxa"/>
            </w:tcMar>
            <w:vAlign w:val="center"/>
          </w:tcPr>
          <w:p w14:paraId="4B6C87E4">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绩效目标合理性</w:t>
            </w:r>
          </w:p>
        </w:tc>
        <w:tc>
          <w:tcPr>
            <w:tcW w:w="818" w:type="pct"/>
            <w:shd w:val="clear" w:color="auto" w:fill="auto"/>
            <w:tcMar>
              <w:top w:w="15" w:type="dxa"/>
              <w:left w:w="15" w:type="dxa"/>
              <w:right w:w="15" w:type="dxa"/>
            </w:tcMar>
            <w:vAlign w:val="center"/>
          </w:tcPr>
          <w:p w14:paraId="6E4E216B">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lang w:val="en-US" w:eastAsia="zh-CN" w:bidi="ar"/>
              </w:rPr>
              <w:t>3</w:t>
            </w:r>
          </w:p>
        </w:tc>
        <w:tc>
          <w:tcPr>
            <w:tcW w:w="1543" w:type="dxa"/>
            <w:shd w:val="clear" w:color="auto" w:fill="auto"/>
            <w:tcMar>
              <w:top w:w="15" w:type="dxa"/>
              <w:left w:w="15" w:type="dxa"/>
              <w:right w:w="15" w:type="dxa"/>
            </w:tcMar>
            <w:vAlign w:val="center"/>
          </w:tcPr>
          <w:p w14:paraId="201FF17B">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2.5</w:t>
            </w:r>
          </w:p>
        </w:tc>
      </w:tr>
      <w:tr w14:paraId="1A97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1019" w:type="pct"/>
            <w:vMerge w:val="continue"/>
            <w:shd w:val="clear" w:color="auto" w:fill="auto"/>
            <w:tcMar>
              <w:top w:w="15" w:type="dxa"/>
              <w:left w:w="15" w:type="dxa"/>
              <w:right w:w="15" w:type="dxa"/>
            </w:tcMar>
            <w:vAlign w:val="center"/>
          </w:tcPr>
          <w:p w14:paraId="26BAFC45">
            <w:pPr>
              <w:pageBreakBefore w:val="0"/>
              <w:wordWrap/>
              <w:topLinePunct w:val="0"/>
              <w:autoSpaceDE/>
              <w:autoSpaceDN/>
              <w:bidi w:val="0"/>
              <w:adjustRightInd w:val="0"/>
              <w:snapToGrid w:val="0"/>
              <w:ind w:left="0" w:leftChars="0" w:right="0"/>
              <w:jc w:val="center"/>
              <w:rPr>
                <w:rFonts w:hint="default" w:ascii="Times New Roman" w:hAnsi="Times New Roman" w:eastAsia="仿宋_GB2312" w:cs="Times New Roman"/>
                <w:color w:val="000000"/>
                <w:sz w:val="21"/>
                <w:szCs w:val="21"/>
              </w:rPr>
            </w:pPr>
          </w:p>
        </w:tc>
        <w:tc>
          <w:tcPr>
            <w:tcW w:w="2294" w:type="pct"/>
            <w:shd w:val="clear" w:color="auto" w:fill="auto"/>
            <w:tcMar>
              <w:top w:w="15" w:type="dxa"/>
              <w:left w:w="15" w:type="dxa"/>
              <w:right w:w="15" w:type="dxa"/>
            </w:tcMar>
            <w:vAlign w:val="center"/>
          </w:tcPr>
          <w:p w14:paraId="3A3C47E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绩效指标明确性</w:t>
            </w:r>
          </w:p>
        </w:tc>
        <w:tc>
          <w:tcPr>
            <w:tcW w:w="818" w:type="pct"/>
            <w:shd w:val="clear" w:color="auto" w:fill="auto"/>
            <w:tcMar>
              <w:top w:w="15" w:type="dxa"/>
              <w:left w:w="15" w:type="dxa"/>
              <w:right w:w="15" w:type="dxa"/>
            </w:tcMar>
            <w:vAlign w:val="center"/>
          </w:tcPr>
          <w:p w14:paraId="69EDAB2A">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val="en-US" w:eastAsia="zh-CN" w:bidi="ar"/>
              </w:rPr>
              <w:t>3</w:t>
            </w:r>
          </w:p>
        </w:tc>
        <w:tc>
          <w:tcPr>
            <w:tcW w:w="1446" w:type="dxa"/>
            <w:shd w:val="clear" w:color="auto" w:fill="auto"/>
            <w:tcMar>
              <w:top w:w="15" w:type="dxa"/>
              <w:left w:w="15" w:type="dxa"/>
              <w:right w:w="15" w:type="dxa"/>
            </w:tcMar>
            <w:vAlign w:val="center"/>
          </w:tcPr>
          <w:p w14:paraId="26470280">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3</w:t>
            </w:r>
          </w:p>
        </w:tc>
      </w:tr>
      <w:tr w14:paraId="671B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1019" w:type="pct"/>
            <w:shd w:val="clear" w:color="auto" w:fill="auto"/>
            <w:tcMar>
              <w:top w:w="15" w:type="dxa"/>
              <w:left w:w="15" w:type="dxa"/>
              <w:right w:w="15" w:type="dxa"/>
            </w:tcMar>
            <w:vAlign w:val="center"/>
          </w:tcPr>
          <w:p w14:paraId="4AC3F50C">
            <w:pPr>
              <w:pageBreakBefore w:val="0"/>
              <w:wordWrap/>
              <w:topLinePunct w:val="0"/>
              <w:autoSpaceDE/>
              <w:autoSpaceDN/>
              <w:bidi w:val="0"/>
              <w:adjustRightInd w:val="0"/>
              <w:snapToGrid w:val="0"/>
              <w:ind w:left="0" w:leftChars="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资金投入</w:t>
            </w:r>
          </w:p>
        </w:tc>
        <w:tc>
          <w:tcPr>
            <w:tcW w:w="2294" w:type="pct"/>
            <w:shd w:val="clear" w:color="auto" w:fill="auto"/>
            <w:tcMar>
              <w:top w:w="15" w:type="dxa"/>
              <w:left w:w="15" w:type="dxa"/>
              <w:right w:w="15" w:type="dxa"/>
            </w:tcMar>
            <w:vAlign w:val="center"/>
          </w:tcPr>
          <w:p w14:paraId="59E94E3B">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预算编制科学性</w:t>
            </w:r>
          </w:p>
        </w:tc>
        <w:tc>
          <w:tcPr>
            <w:tcW w:w="818" w:type="pct"/>
            <w:shd w:val="clear" w:color="auto" w:fill="auto"/>
            <w:tcMar>
              <w:top w:w="15" w:type="dxa"/>
              <w:left w:w="15" w:type="dxa"/>
              <w:right w:w="15" w:type="dxa"/>
            </w:tcMar>
            <w:vAlign w:val="center"/>
          </w:tcPr>
          <w:p w14:paraId="16365B0D">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val="en-US" w:eastAsia="zh-CN" w:bidi="ar"/>
              </w:rPr>
              <w:t>2</w:t>
            </w:r>
          </w:p>
        </w:tc>
        <w:tc>
          <w:tcPr>
            <w:tcW w:w="1446" w:type="dxa"/>
            <w:shd w:val="clear" w:color="auto" w:fill="auto"/>
            <w:tcMar>
              <w:top w:w="15" w:type="dxa"/>
              <w:left w:w="15" w:type="dxa"/>
              <w:right w:w="15" w:type="dxa"/>
            </w:tcMar>
            <w:vAlign w:val="center"/>
          </w:tcPr>
          <w:p w14:paraId="78560F22">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w:t>
            </w:r>
          </w:p>
        </w:tc>
      </w:tr>
      <w:tr w14:paraId="1446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3313" w:type="pct"/>
            <w:gridSpan w:val="2"/>
            <w:shd w:val="clear" w:color="auto" w:fill="auto"/>
            <w:tcMar>
              <w:top w:w="15" w:type="dxa"/>
              <w:left w:w="15" w:type="dxa"/>
              <w:right w:w="15" w:type="dxa"/>
            </w:tcMar>
          </w:tcPr>
          <w:p w14:paraId="1C87F84F">
            <w:pPr>
              <w:pageBreakBefore w:val="0"/>
              <w:widowControl/>
              <w:wordWrap/>
              <w:topLinePunct w:val="0"/>
              <w:autoSpaceDE/>
              <w:autoSpaceDN/>
              <w:bidi w:val="0"/>
              <w:adjustRightInd w:val="0"/>
              <w:snapToGrid w:val="0"/>
              <w:ind w:left="0" w:leftChars="0" w:right="0"/>
              <w:jc w:val="center"/>
              <w:textAlignment w:val="top"/>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合计</w:t>
            </w:r>
          </w:p>
        </w:tc>
        <w:tc>
          <w:tcPr>
            <w:tcW w:w="818" w:type="pct"/>
            <w:shd w:val="clear" w:color="auto" w:fill="auto"/>
            <w:tcMar>
              <w:top w:w="15" w:type="dxa"/>
              <w:left w:w="15" w:type="dxa"/>
              <w:right w:w="15" w:type="dxa"/>
            </w:tcMar>
            <w:vAlign w:val="center"/>
          </w:tcPr>
          <w:p w14:paraId="12C3517B">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kern w:val="0"/>
                <w:sz w:val="21"/>
                <w:szCs w:val="21"/>
                <w:lang w:val="en-US" w:eastAsia="zh-CN" w:bidi="ar"/>
              </w:rPr>
              <w:t>14</w:t>
            </w:r>
          </w:p>
        </w:tc>
        <w:tc>
          <w:tcPr>
            <w:tcW w:w="867" w:type="pct"/>
            <w:shd w:val="clear" w:color="auto" w:fill="auto"/>
            <w:tcMar>
              <w:top w:w="15" w:type="dxa"/>
              <w:left w:w="15" w:type="dxa"/>
              <w:right w:w="15" w:type="dxa"/>
            </w:tcMar>
            <w:vAlign w:val="center"/>
          </w:tcPr>
          <w:p w14:paraId="648D6691">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12.5</w:t>
            </w:r>
          </w:p>
        </w:tc>
      </w:tr>
    </w:tbl>
    <w:p w14:paraId="6223ABC8">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default" w:ascii="Times New Roman" w:hAnsi="Times New Roman" w:cs="Times New Roman"/>
          <w:szCs w:val="32"/>
          <w:lang w:val="en-US" w:eastAsia="zh-CN"/>
        </w:rPr>
      </w:pPr>
      <w:bookmarkStart w:id="118" w:name="_Toc22512"/>
      <w:bookmarkStart w:id="119" w:name="_Toc7519"/>
      <w:bookmarkStart w:id="120" w:name="_Toc8510"/>
      <w:bookmarkStart w:id="121" w:name="_Toc9550"/>
      <w:bookmarkStart w:id="122" w:name="_Toc32267"/>
      <w:r>
        <w:rPr>
          <w:rFonts w:hint="default" w:ascii="Times New Roman" w:hAnsi="Times New Roman" w:cs="Times New Roman"/>
          <w:szCs w:val="32"/>
          <w:lang w:eastAsia="zh-CN"/>
        </w:rPr>
        <w:t>（二）项目过程</w:t>
      </w:r>
      <w:bookmarkEnd w:id="115"/>
      <w:bookmarkEnd w:id="116"/>
      <w:r>
        <w:rPr>
          <w:rFonts w:hint="default" w:ascii="Times New Roman" w:hAnsi="Times New Roman" w:cs="Times New Roman"/>
          <w:szCs w:val="32"/>
          <w:lang w:val="en-US" w:eastAsia="zh-CN"/>
        </w:rPr>
        <w:t>情况</w:t>
      </w:r>
      <w:bookmarkEnd w:id="118"/>
      <w:bookmarkEnd w:id="119"/>
      <w:bookmarkEnd w:id="120"/>
      <w:bookmarkEnd w:id="121"/>
      <w:bookmarkEnd w:id="122"/>
    </w:p>
    <w:bookmarkEnd w:id="117"/>
    <w:p w14:paraId="4677F86B">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jc w:val="both"/>
        <w:textAlignment w:val="auto"/>
        <w:rPr>
          <w:rFonts w:hint="default" w:ascii="Times New Roman" w:hAnsi="Times New Roman" w:eastAsia="仿宋_GB2312" w:cs="Times New Roman"/>
          <w:sz w:val="32"/>
          <w:szCs w:val="32"/>
          <w:lang w:bidi="en-US"/>
        </w:rPr>
      </w:pPr>
      <w:r>
        <w:rPr>
          <w:rFonts w:hint="default" w:ascii="Times New Roman" w:hAnsi="Times New Roman" w:cs="Times New Roman"/>
          <w:szCs w:val="32"/>
        </w:rPr>
        <w:t>本项目预算资金5412.69万元，实际支出5191.10万元，预算执行率9</w:t>
      </w:r>
      <w:r>
        <w:rPr>
          <w:rFonts w:hint="eastAsia" w:ascii="Times New Roman" w:hAnsi="Times New Roman" w:cs="Times New Roman"/>
          <w:szCs w:val="32"/>
          <w:lang w:val="en-US" w:eastAsia="zh-CN"/>
        </w:rPr>
        <w:t>5.91</w:t>
      </w:r>
      <w:r>
        <w:rPr>
          <w:rFonts w:hint="default" w:ascii="Times New Roman" w:hAnsi="Times New Roman" w:cs="Times New Roman"/>
          <w:szCs w:val="32"/>
        </w:rPr>
        <w:t>%</w:t>
      </w:r>
      <w:r>
        <w:rPr>
          <w:rFonts w:hint="eastAsia" w:ascii="Times New Roman" w:hAnsi="Times New Roman" w:cs="Times New Roman"/>
          <w:szCs w:val="32"/>
          <w:lang w:eastAsia="zh-CN"/>
        </w:rPr>
        <w:t>。</w:t>
      </w:r>
      <w:r>
        <w:rPr>
          <w:rFonts w:hint="default" w:ascii="Times New Roman" w:hAnsi="Times New Roman" w:cs="Times New Roman"/>
          <w:szCs w:val="32"/>
          <w:lang w:val="en-US" w:eastAsia="zh-CN"/>
        </w:rPr>
        <w:t>经核对项目支出记账凭证，</w:t>
      </w:r>
      <w:r>
        <w:rPr>
          <w:rFonts w:hint="default" w:ascii="Times New Roman" w:hAnsi="Times New Roman" w:cs="Times New Roman"/>
          <w:szCs w:val="32"/>
          <w:lang w:val="en-US" w:eastAsia="zh-Hans"/>
        </w:rPr>
        <w:t>资金使用</w:t>
      </w:r>
      <w:r>
        <w:rPr>
          <w:rFonts w:hint="default" w:ascii="Times New Roman" w:hAnsi="Times New Roman" w:cs="Times New Roman"/>
          <w:szCs w:val="32"/>
          <w:lang w:eastAsia="zh-Hans"/>
        </w:rPr>
        <w:t>、</w:t>
      </w:r>
      <w:r>
        <w:rPr>
          <w:rFonts w:hint="default" w:ascii="Times New Roman" w:hAnsi="Times New Roman" w:cs="Times New Roman"/>
          <w:szCs w:val="32"/>
          <w:lang w:val="en-US" w:eastAsia="zh-Hans"/>
        </w:rPr>
        <w:t>会计处理符合国家财经法规</w:t>
      </w:r>
      <w:r>
        <w:rPr>
          <w:rFonts w:hint="default" w:ascii="Times New Roman" w:hAnsi="Times New Roman" w:cs="Times New Roman"/>
          <w:szCs w:val="32"/>
          <w:lang w:eastAsia="zh-Hans"/>
        </w:rPr>
        <w:t>、</w:t>
      </w:r>
      <w:r>
        <w:rPr>
          <w:rFonts w:hint="default" w:ascii="Times New Roman" w:hAnsi="Times New Roman" w:cs="Times New Roman"/>
          <w:szCs w:val="32"/>
          <w:lang w:val="en-US" w:eastAsia="zh-Hans"/>
        </w:rPr>
        <w:t>会计准则的规定</w:t>
      </w:r>
      <w:r>
        <w:rPr>
          <w:rFonts w:hint="default" w:ascii="Times New Roman" w:hAnsi="Times New Roman" w:cs="Times New Roman"/>
          <w:szCs w:val="32"/>
          <w:lang w:eastAsia="zh-Hans"/>
        </w:rPr>
        <w:t>，</w:t>
      </w:r>
      <w:r>
        <w:rPr>
          <w:rFonts w:hint="default" w:ascii="Times New Roman" w:hAnsi="Times New Roman" w:cs="Times New Roman"/>
          <w:szCs w:val="32"/>
          <w:lang w:val="en-US" w:eastAsia="zh-Hans"/>
        </w:rPr>
        <w:t>资金的拨付有完整的审批程序和手续</w:t>
      </w:r>
      <w:r>
        <w:rPr>
          <w:rFonts w:hint="default" w:ascii="Times New Roman" w:hAnsi="Times New Roman" w:cs="Times New Roman"/>
          <w:szCs w:val="32"/>
          <w:lang w:eastAsia="zh-Hans"/>
        </w:rPr>
        <w:t>，</w:t>
      </w:r>
      <w:r>
        <w:rPr>
          <w:rFonts w:hint="default" w:ascii="Times New Roman" w:hAnsi="Times New Roman" w:cs="Times New Roman"/>
          <w:szCs w:val="32"/>
          <w:lang w:val="en-US" w:eastAsia="zh-Hans"/>
        </w:rPr>
        <w:t>符合项目预算批复和规定用途</w:t>
      </w:r>
      <w:r>
        <w:rPr>
          <w:rFonts w:hint="default" w:ascii="Times New Roman" w:hAnsi="Times New Roman" w:cs="Times New Roman"/>
          <w:szCs w:val="32"/>
          <w:lang w:val="en-US" w:eastAsia="zh-CN"/>
        </w:rPr>
        <w:t>。</w:t>
      </w:r>
      <w:r>
        <w:rPr>
          <w:rFonts w:hint="eastAsia" w:ascii="Times New Roman" w:hAnsi="Times New Roman" w:eastAsia="仿宋_GB2312" w:cs="Times New Roman"/>
          <w:sz w:val="32"/>
          <w:szCs w:val="32"/>
          <w:lang w:val="en-US" w:eastAsia="zh-CN" w:bidi="zh-CN"/>
        </w:rPr>
        <w:t>市行政审批局</w:t>
      </w:r>
      <w:r>
        <w:rPr>
          <w:rFonts w:hint="default" w:ascii="Times New Roman" w:hAnsi="Times New Roman" w:eastAsia="仿宋_GB2312" w:cs="Times New Roman"/>
          <w:sz w:val="32"/>
          <w:szCs w:val="32"/>
          <w:lang w:val="en-US" w:eastAsia="zh-CN" w:bidi="zh-CN"/>
        </w:rPr>
        <w:t>信息化工作组织机构健全，</w:t>
      </w:r>
      <w:r>
        <w:rPr>
          <w:rFonts w:hint="eastAsia" w:ascii="Times New Roman" w:hAnsi="Times New Roman" w:cs="Times New Roman"/>
          <w:sz w:val="32"/>
          <w:szCs w:val="32"/>
          <w:lang w:val="en-US" w:eastAsia="zh-CN" w:bidi="zh-CN"/>
        </w:rPr>
        <w:t>制定了单位内部控制等制度，且严格按照</w:t>
      </w:r>
      <w:r>
        <w:rPr>
          <w:rFonts w:hint="default" w:ascii="Times New Roman" w:hAnsi="Times New Roman" w:eastAsia="仿宋_GB2312" w:cs="Times New Roman"/>
          <w:sz w:val="32"/>
          <w:szCs w:val="32"/>
          <w:highlight w:val="none"/>
          <w:lang w:val="en-US" w:eastAsia="zh-CN" w:bidi="zh-CN"/>
        </w:rPr>
        <w:t>《永州市</w:t>
      </w:r>
      <w:r>
        <w:rPr>
          <w:rFonts w:hint="eastAsia" w:ascii="Times New Roman" w:hAnsi="Times New Roman" w:cs="Times New Roman"/>
          <w:sz w:val="32"/>
          <w:szCs w:val="32"/>
          <w:highlight w:val="none"/>
          <w:lang w:val="en-US" w:eastAsia="zh-CN" w:bidi="zh-CN"/>
        </w:rPr>
        <w:t>政府投资信息化项目建设管理办法</w:t>
      </w:r>
      <w:r>
        <w:rPr>
          <w:rFonts w:hint="default" w:ascii="Times New Roman" w:hAnsi="Times New Roman" w:eastAsia="仿宋_GB2312" w:cs="Times New Roman"/>
          <w:sz w:val="32"/>
          <w:szCs w:val="32"/>
          <w:highlight w:val="none"/>
          <w:lang w:val="en-US" w:eastAsia="zh-CN" w:bidi="zh-CN"/>
        </w:rPr>
        <w:t>》</w:t>
      </w:r>
      <w:r>
        <w:rPr>
          <w:rFonts w:hint="eastAsia" w:ascii="Times New Roman" w:hAnsi="Times New Roman" w:cs="Times New Roman"/>
          <w:sz w:val="32"/>
          <w:szCs w:val="32"/>
          <w:lang w:val="en-US" w:eastAsia="zh-CN" w:bidi="zh-CN"/>
        </w:rPr>
        <w:t>实施项目管理工作</w:t>
      </w:r>
      <w:r>
        <w:rPr>
          <w:rFonts w:hint="eastAsia" w:ascii="Times New Roman" w:hAnsi="Times New Roman" w:eastAsia="仿宋_GB2312" w:cs="Times New Roman"/>
          <w:sz w:val="32"/>
          <w:szCs w:val="32"/>
          <w:lang w:val="en-US" w:eastAsia="zh-CN" w:bidi="zh-CN"/>
        </w:rPr>
        <w:t>。</w:t>
      </w:r>
      <w:r>
        <w:rPr>
          <w:rFonts w:hint="eastAsia" w:ascii="Times New Roman" w:hAnsi="Times New Roman" w:cs="Times New Roman"/>
          <w:sz w:val="32"/>
          <w:szCs w:val="32"/>
          <w:lang w:val="en-US" w:eastAsia="zh-CN" w:bidi="zh-CN"/>
        </w:rPr>
        <w:t>但信息化资产管理、数据共享监测、系统运维管理等相关制度有待完善。单位信息化资产界定不够明确、分类不够清晰，信息化主管单位对服务采购项目未能做到按效付费。</w:t>
      </w:r>
    </w:p>
    <w:p w14:paraId="4E7CBB7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bidi="en-US"/>
        </w:rPr>
        <w:t>项目过程指标由2个二级指标，</w:t>
      </w:r>
      <w:r>
        <w:rPr>
          <w:rFonts w:hint="eastAsia" w:ascii="Times New Roman" w:hAnsi="Times New Roman" w:eastAsia="仿宋_GB2312" w:cs="Times New Roman"/>
          <w:sz w:val="32"/>
          <w:szCs w:val="32"/>
          <w:lang w:val="en-US" w:eastAsia="zh-CN" w:bidi="en-US"/>
        </w:rPr>
        <w:t>4</w:t>
      </w:r>
      <w:r>
        <w:rPr>
          <w:rFonts w:hint="default" w:ascii="Times New Roman" w:hAnsi="Times New Roman" w:eastAsia="仿宋_GB2312" w:cs="Times New Roman"/>
          <w:sz w:val="32"/>
          <w:szCs w:val="32"/>
          <w:lang w:bidi="en-US"/>
        </w:rPr>
        <w:t>个三级指标构成，权重分</w:t>
      </w:r>
      <w:r>
        <w:rPr>
          <w:rFonts w:hint="eastAsia" w:ascii="Times New Roman" w:hAnsi="Times New Roman" w:eastAsia="仿宋_GB2312" w:cs="Times New Roman"/>
          <w:sz w:val="32"/>
          <w:szCs w:val="32"/>
          <w:lang w:val="en-US" w:eastAsia="zh-CN" w:bidi="en-US"/>
        </w:rPr>
        <w:t>16</w:t>
      </w:r>
      <w:r>
        <w:rPr>
          <w:rFonts w:hint="default" w:ascii="Times New Roman" w:hAnsi="Times New Roman" w:eastAsia="仿宋_GB2312" w:cs="Times New Roman"/>
          <w:sz w:val="32"/>
          <w:szCs w:val="32"/>
          <w:lang w:bidi="en-US"/>
        </w:rPr>
        <w:t>分，实际得分</w:t>
      </w:r>
      <w:r>
        <w:rPr>
          <w:rFonts w:hint="eastAsia" w:ascii="Times New Roman" w:hAnsi="Times New Roman" w:eastAsia="仿宋_GB2312" w:cs="Times New Roman"/>
          <w:sz w:val="32"/>
          <w:szCs w:val="32"/>
          <w:lang w:val="en-US" w:eastAsia="zh-CN" w:bidi="en-US"/>
        </w:rPr>
        <w:t>12.32</w:t>
      </w:r>
      <w:r>
        <w:rPr>
          <w:rFonts w:hint="default" w:ascii="Times New Roman" w:hAnsi="Times New Roman" w:eastAsia="仿宋_GB2312" w:cs="Times New Roman"/>
          <w:sz w:val="32"/>
          <w:szCs w:val="32"/>
          <w:lang w:bidi="en-US"/>
        </w:rPr>
        <w:t>分。各指标业绩值和绩效分值如表4-2所示：</w:t>
      </w:r>
    </w:p>
    <w:p w14:paraId="45990E6D">
      <w:pPr>
        <w:pStyle w:val="11"/>
        <w:pageBreakBefore w:val="0"/>
        <w:wordWrap/>
        <w:topLinePunct w:val="0"/>
        <w:autoSpaceDE/>
        <w:autoSpaceDN/>
        <w:bidi w:val="0"/>
        <w:adjustRightInd w:val="0"/>
        <w:snapToGrid w:val="0"/>
        <w:ind w:left="0" w:leftChars="0" w:right="0" w:firstLine="48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表4-2项目管理类指标体系表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5"/>
        <w:gridCol w:w="4082"/>
        <w:gridCol w:w="1242"/>
        <w:gridCol w:w="1014"/>
      </w:tblGrid>
      <w:tr w14:paraId="68C5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197" w:type="pct"/>
            <w:shd w:val="clear" w:color="auto" w:fill="D7D7D7" w:themeFill="background1" w:themeFillShade="D8"/>
            <w:tcMar>
              <w:top w:w="15" w:type="dxa"/>
              <w:left w:w="15" w:type="dxa"/>
              <w:right w:w="15" w:type="dxa"/>
            </w:tcMar>
            <w:vAlign w:val="center"/>
          </w:tcPr>
          <w:p w14:paraId="2A0C8A64">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kern w:val="0"/>
                <w:szCs w:val="21"/>
                <w:lang w:bidi="ar"/>
              </w:rPr>
            </w:pPr>
            <w:r>
              <w:rPr>
                <w:rFonts w:hint="default" w:ascii="Times New Roman" w:hAnsi="Times New Roman" w:eastAsia="仿宋_GB2312" w:cs="Times New Roman"/>
                <w:b/>
                <w:color w:val="000000"/>
                <w:kern w:val="0"/>
                <w:szCs w:val="21"/>
                <w:lang w:bidi="ar"/>
              </w:rPr>
              <w:t>二级指标</w:t>
            </w:r>
          </w:p>
        </w:tc>
        <w:tc>
          <w:tcPr>
            <w:tcW w:w="2448" w:type="pct"/>
            <w:shd w:val="clear" w:color="auto" w:fill="D7D7D7" w:themeFill="background1" w:themeFillShade="D8"/>
            <w:tcMar>
              <w:top w:w="15" w:type="dxa"/>
              <w:left w:w="15" w:type="dxa"/>
              <w:right w:w="15" w:type="dxa"/>
            </w:tcMar>
            <w:vAlign w:val="center"/>
          </w:tcPr>
          <w:p w14:paraId="7DC23C05">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kern w:val="0"/>
                <w:szCs w:val="21"/>
                <w:lang w:bidi="ar"/>
              </w:rPr>
            </w:pPr>
            <w:r>
              <w:rPr>
                <w:rFonts w:hint="default" w:ascii="Times New Roman" w:hAnsi="Times New Roman" w:eastAsia="仿宋_GB2312" w:cs="Times New Roman"/>
                <w:b/>
                <w:color w:val="000000"/>
                <w:kern w:val="0"/>
                <w:szCs w:val="21"/>
                <w:lang w:bidi="ar"/>
              </w:rPr>
              <w:t>三级指标</w:t>
            </w:r>
          </w:p>
        </w:tc>
        <w:tc>
          <w:tcPr>
            <w:tcW w:w="745" w:type="pct"/>
            <w:shd w:val="clear" w:color="auto" w:fill="D7D7D7" w:themeFill="background1" w:themeFillShade="D8"/>
            <w:tcMar>
              <w:top w:w="15" w:type="dxa"/>
              <w:left w:w="15" w:type="dxa"/>
              <w:right w:w="15" w:type="dxa"/>
            </w:tcMar>
            <w:vAlign w:val="center"/>
          </w:tcPr>
          <w:p w14:paraId="560BE46E">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kern w:val="0"/>
                <w:szCs w:val="21"/>
                <w:lang w:bidi="ar"/>
              </w:rPr>
            </w:pPr>
            <w:r>
              <w:rPr>
                <w:rFonts w:hint="default" w:ascii="Times New Roman" w:hAnsi="Times New Roman" w:eastAsia="仿宋_GB2312" w:cs="Times New Roman"/>
                <w:b/>
                <w:color w:val="000000"/>
                <w:kern w:val="0"/>
                <w:szCs w:val="21"/>
                <w:lang w:bidi="ar"/>
              </w:rPr>
              <w:t>权重</w:t>
            </w:r>
          </w:p>
        </w:tc>
        <w:tc>
          <w:tcPr>
            <w:tcW w:w="608" w:type="pct"/>
            <w:shd w:val="clear" w:color="auto" w:fill="D7D7D7" w:themeFill="background1" w:themeFillShade="D8"/>
            <w:tcMar>
              <w:top w:w="15" w:type="dxa"/>
              <w:left w:w="15" w:type="dxa"/>
              <w:right w:w="15" w:type="dxa"/>
            </w:tcMar>
            <w:vAlign w:val="center"/>
          </w:tcPr>
          <w:p w14:paraId="75ABA04C">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仿宋_GB2312" w:cs="Times New Roman"/>
                <w:b/>
                <w:color w:val="000000"/>
                <w:kern w:val="0"/>
                <w:szCs w:val="21"/>
                <w:lang w:bidi="ar"/>
              </w:rPr>
            </w:pPr>
            <w:r>
              <w:rPr>
                <w:rFonts w:hint="default" w:ascii="Times New Roman" w:hAnsi="Times New Roman" w:eastAsia="仿宋_GB2312" w:cs="Times New Roman"/>
                <w:b/>
                <w:color w:val="000000"/>
                <w:kern w:val="0"/>
                <w:szCs w:val="21"/>
                <w:lang w:bidi="ar"/>
              </w:rPr>
              <w:t>得分</w:t>
            </w:r>
          </w:p>
        </w:tc>
      </w:tr>
      <w:tr w14:paraId="1DA4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7" w:type="pct"/>
            <w:vMerge w:val="restart"/>
            <w:shd w:val="clear" w:color="auto" w:fill="auto"/>
            <w:tcMar>
              <w:top w:w="15" w:type="dxa"/>
              <w:left w:w="15" w:type="dxa"/>
              <w:right w:w="15" w:type="dxa"/>
            </w:tcMar>
            <w:vAlign w:val="center"/>
          </w:tcPr>
          <w:p w14:paraId="32AA14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资金管理</w:t>
            </w:r>
          </w:p>
        </w:tc>
        <w:tc>
          <w:tcPr>
            <w:tcW w:w="2448" w:type="pct"/>
            <w:shd w:val="clear" w:color="auto" w:fill="auto"/>
            <w:tcMar>
              <w:top w:w="15" w:type="dxa"/>
              <w:left w:w="15" w:type="dxa"/>
              <w:right w:w="15" w:type="dxa"/>
            </w:tcMar>
            <w:vAlign w:val="center"/>
          </w:tcPr>
          <w:p w14:paraId="7E9638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zh-CN" w:eastAsia="zh-CN" w:bidi="ar"/>
              </w:rPr>
            </w:pPr>
            <w:r>
              <w:rPr>
                <w:rFonts w:hint="default" w:ascii="Times New Roman" w:hAnsi="Times New Roman" w:eastAsia="仿宋_GB2312" w:cs="Times New Roman"/>
                <w:i w:val="0"/>
                <w:iCs w:val="0"/>
                <w:color w:val="000000"/>
                <w:kern w:val="0"/>
                <w:sz w:val="21"/>
                <w:szCs w:val="21"/>
                <w:u w:val="none"/>
                <w:lang w:val="en-US" w:eastAsia="zh-CN" w:bidi="ar"/>
              </w:rPr>
              <w:t>预算执行率</w:t>
            </w:r>
          </w:p>
        </w:tc>
        <w:tc>
          <w:tcPr>
            <w:tcW w:w="745" w:type="pct"/>
            <w:shd w:val="clear" w:color="auto" w:fill="auto"/>
            <w:tcMar>
              <w:top w:w="15" w:type="dxa"/>
              <w:left w:w="15" w:type="dxa"/>
              <w:right w:w="15" w:type="dxa"/>
            </w:tcMar>
            <w:vAlign w:val="center"/>
          </w:tcPr>
          <w:p w14:paraId="56493258">
            <w:pPr>
              <w:pageBreakBefore w:val="0"/>
              <w:widowControl/>
              <w:wordWrap/>
              <w:topLinePunct w:val="0"/>
              <w:autoSpaceDE/>
              <w:autoSpaceDN/>
              <w:bidi w:val="0"/>
              <w:adjustRightInd w:val="0"/>
              <w:snapToGrid w:val="0"/>
              <w:ind w:left="0" w:leftChars="0" w:right="0" w:rightChars="0"/>
              <w:jc w:val="center"/>
              <w:textAlignment w:val="center"/>
              <w:rPr>
                <w:rFonts w:hint="default" w:ascii="Times New Roman" w:hAnsi="Times New Roman" w:cs="Times New Roman" w:eastAsiaTheme="minorEastAsia"/>
                <w:sz w:val="22"/>
                <w:szCs w:val="21"/>
                <w:highlight w:val="none"/>
                <w:lang w:val="en-US" w:eastAsia="zh-CN" w:bidi="zh-CN"/>
              </w:rPr>
            </w:pPr>
            <w:r>
              <w:rPr>
                <w:rFonts w:hint="eastAsia" w:ascii="Times New Roman" w:hAnsi="Times New Roman" w:cs="Times New Roman"/>
                <w:szCs w:val="21"/>
                <w:highlight w:val="none"/>
                <w:lang w:val="en-US" w:eastAsia="zh-CN"/>
              </w:rPr>
              <w:t>2</w:t>
            </w:r>
          </w:p>
        </w:tc>
        <w:tc>
          <w:tcPr>
            <w:tcW w:w="608" w:type="pct"/>
            <w:shd w:val="clear" w:color="auto" w:fill="auto"/>
            <w:tcMar>
              <w:top w:w="15" w:type="dxa"/>
              <w:left w:w="15" w:type="dxa"/>
              <w:right w:w="15" w:type="dxa"/>
            </w:tcMar>
            <w:vAlign w:val="center"/>
          </w:tcPr>
          <w:p w14:paraId="7A180166">
            <w:pPr>
              <w:pageBreakBefore w:val="0"/>
              <w:widowControl/>
              <w:wordWrap/>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sz w:val="22"/>
                <w:szCs w:val="21"/>
                <w:highlight w:val="none"/>
                <w:lang w:val="en-US" w:eastAsia="zh-CN" w:bidi="zh-CN"/>
              </w:rPr>
            </w:pPr>
            <w:r>
              <w:rPr>
                <w:rFonts w:hint="eastAsia" w:ascii="Times New Roman" w:hAnsi="Times New Roman" w:cs="Times New Roman"/>
                <w:szCs w:val="21"/>
                <w:highlight w:val="none"/>
                <w:lang w:val="en-US" w:eastAsia="zh-CN"/>
              </w:rPr>
              <w:t>1.92</w:t>
            </w:r>
          </w:p>
        </w:tc>
      </w:tr>
      <w:tr w14:paraId="6269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7" w:type="pct"/>
            <w:vMerge w:val="continue"/>
            <w:shd w:val="clear" w:color="auto" w:fill="auto"/>
            <w:tcMar>
              <w:top w:w="15" w:type="dxa"/>
              <w:left w:w="15" w:type="dxa"/>
              <w:right w:w="15" w:type="dxa"/>
            </w:tcMar>
            <w:vAlign w:val="center"/>
          </w:tcPr>
          <w:p w14:paraId="3D6C2C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2448" w:type="pct"/>
            <w:shd w:val="clear" w:color="auto" w:fill="auto"/>
            <w:tcMar>
              <w:top w:w="15" w:type="dxa"/>
              <w:left w:w="15" w:type="dxa"/>
              <w:right w:w="15" w:type="dxa"/>
            </w:tcMar>
            <w:vAlign w:val="center"/>
          </w:tcPr>
          <w:p w14:paraId="780AAD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zh-CN" w:eastAsia="zh-CN" w:bidi="ar"/>
              </w:rPr>
            </w:pPr>
            <w:r>
              <w:rPr>
                <w:rFonts w:hint="default" w:ascii="Times New Roman" w:hAnsi="Times New Roman" w:eastAsia="仿宋_GB2312" w:cs="Times New Roman"/>
                <w:i w:val="0"/>
                <w:iCs w:val="0"/>
                <w:color w:val="000000"/>
                <w:kern w:val="0"/>
                <w:sz w:val="21"/>
                <w:szCs w:val="21"/>
                <w:u w:val="none"/>
                <w:lang w:val="en-US" w:eastAsia="zh-CN" w:bidi="ar"/>
              </w:rPr>
              <w:t>资金使用合规性</w:t>
            </w:r>
          </w:p>
        </w:tc>
        <w:tc>
          <w:tcPr>
            <w:tcW w:w="745" w:type="pct"/>
            <w:shd w:val="clear" w:color="auto" w:fill="auto"/>
            <w:tcMar>
              <w:top w:w="15" w:type="dxa"/>
              <w:left w:w="15" w:type="dxa"/>
              <w:right w:w="15" w:type="dxa"/>
            </w:tcMar>
            <w:vAlign w:val="center"/>
          </w:tcPr>
          <w:p w14:paraId="0FC75476">
            <w:pPr>
              <w:pageBreakBefore w:val="0"/>
              <w:widowControl/>
              <w:wordWrap/>
              <w:topLinePunct w:val="0"/>
              <w:autoSpaceDE/>
              <w:autoSpaceDN/>
              <w:bidi w:val="0"/>
              <w:adjustRightInd w:val="0"/>
              <w:snapToGrid w:val="0"/>
              <w:ind w:left="0" w:leftChars="0" w:right="0" w:rightChars="0"/>
              <w:jc w:val="center"/>
              <w:textAlignment w:val="center"/>
              <w:rPr>
                <w:rFonts w:hint="default" w:ascii="Times New Roman" w:hAnsi="Times New Roman" w:cs="Times New Roman" w:eastAsiaTheme="minorEastAsia"/>
                <w:sz w:val="22"/>
                <w:szCs w:val="21"/>
                <w:highlight w:val="none"/>
                <w:lang w:val="en-US" w:eastAsia="zh-CN" w:bidi="zh-CN"/>
              </w:rPr>
            </w:pPr>
            <w:r>
              <w:rPr>
                <w:rFonts w:hint="eastAsia" w:ascii="Times New Roman" w:hAnsi="Times New Roman" w:cs="Times New Roman"/>
                <w:szCs w:val="21"/>
                <w:highlight w:val="none"/>
                <w:lang w:val="en-US" w:eastAsia="zh-CN"/>
              </w:rPr>
              <w:t>4</w:t>
            </w:r>
          </w:p>
        </w:tc>
        <w:tc>
          <w:tcPr>
            <w:tcW w:w="608" w:type="pct"/>
            <w:shd w:val="clear" w:color="auto" w:fill="auto"/>
            <w:tcMar>
              <w:top w:w="15" w:type="dxa"/>
              <w:left w:w="15" w:type="dxa"/>
              <w:right w:w="15" w:type="dxa"/>
            </w:tcMar>
            <w:vAlign w:val="center"/>
          </w:tcPr>
          <w:p w14:paraId="6EDF16B7">
            <w:pPr>
              <w:pageBreakBefore w:val="0"/>
              <w:widowControl/>
              <w:wordWrap/>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sz w:val="22"/>
                <w:szCs w:val="21"/>
                <w:highlight w:val="none"/>
                <w:lang w:val="en-US" w:eastAsia="zh-CN" w:bidi="zh-CN"/>
              </w:rPr>
            </w:pPr>
            <w:r>
              <w:rPr>
                <w:rFonts w:hint="eastAsia" w:ascii="Times New Roman" w:hAnsi="Times New Roman" w:cs="Times New Roman"/>
                <w:sz w:val="22"/>
                <w:szCs w:val="21"/>
                <w:highlight w:val="none"/>
                <w:lang w:val="en-US" w:eastAsia="zh-CN" w:bidi="zh-CN"/>
              </w:rPr>
              <w:t>4</w:t>
            </w:r>
          </w:p>
        </w:tc>
      </w:tr>
      <w:tr w14:paraId="1945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7" w:type="pct"/>
            <w:vMerge w:val="restart"/>
            <w:shd w:val="clear" w:color="auto" w:fill="auto"/>
            <w:tcMar>
              <w:top w:w="15" w:type="dxa"/>
              <w:left w:w="15" w:type="dxa"/>
              <w:right w:w="15" w:type="dxa"/>
            </w:tcMar>
            <w:vAlign w:val="center"/>
          </w:tcPr>
          <w:p w14:paraId="6C4038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组织实施</w:t>
            </w:r>
          </w:p>
        </w:tc>
        <w:tc>
          <w:tcPr>
            <w:tcW w:w="2448" w:type="pct"/>
            <w:shd w:val="clear" w:color="auto" w:fill="auto"/>
            <w:tcMar>
              <w:top w:w="15" w:type="dxa"/>
              <w:left w:w="15" w:type="dxa"/>
              <w:right w:w="15" w:type="dxa"/>
            </w:tcMar>
            <w:vAlign w:val="center"/>
          </w:tcPr>
          <w:p w14:paraId="027BAC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管理制度健全性</w:t>
            </w:r>
          </w:p>
        </w:tc>
        <w:tc>
          <w:tcPr>
            <w:tcW w:w="745" w:type="pct"/>
            <w:shd w:val="clear" w:color="auto" w:fill="auto"/>
            <w:tcMar>
              <w:top w:w="15" w:type="dxa"/>
              <w:left w:w="15" w:type="dxa"/>
              <w:right w:w="15" w:type="dxa"/>
            </w:tcMar>
            <w:vAlign w:val="center"/>
          </w:tcPr>
          <w:p w14:paraId="1D36246F">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4</w:t>
            </w:r>
          </w:p>
        </w:tc>
        <w:tc>
          <w:tcPr>
            <w:tcW w:w="608" w:type="pct"/>
            <w:shd w:val="clear" w:color="auto" w:fill="auto"/>
            <w:tcMar>
              <w:top w:w="15" w:type="dxa"/>
              <w:left w:w="15" w:type="dxa"/>
              <w:right w:w="15" w:type="dxa"/>
            </w:tcMar>
            <w:vAlign w:val="center"/>
          </w:tcPr>
          <w:p w14:paraId="7AE281C7">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3</w:t>
            </w:r>
          </w:p>
        </w:tc>
      </w:tr>
      <w:tr w14:paraId="62BE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7" w:type="pct"/>
            <w:vMerge w:val="continue"/>
            <w:shd w:val="clear" w:color="auto" w:fill="auto"/>
            <w:tcMar>
              <w:top w:w="15" w:type="dxa"/>
              <w:left w:w="15" w:type="dxa"/>
              <w:right w:w="15" w:type="dxa"/>
            </w:tcMar>
            <w:vAlign w:val="center"/>
          </w:tcPr>
          <w:p w14:paraId="25E0AB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2448" w:type="pct"/>
            <w:shd w:val="clear" w:color="auto" w:fill="auto"/>
            <w:tcMar>
              <w:top w:w="15" w:type="dxa"/>
              <w:left w:w="15" w:type="dxa"/>
              <w:right w:w="15" w:type="dxa"/>
            </w:tcMar>
            <w:vAlign w:val="center"/>
          </w:tcPr>
          <w:p w14:paraId="3ABFBF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制度执行有效性</w:t>
            </w:r>
          </w:p>
        </w:tc>
        <w:tc>
          <w:tcPr>
            <w:tcW w:w="745" w:type="pct"/>
            <w:shd w:val="clear" w:color="auto" w:fill="auto"/>
            <w:tcMar>
              <w:top w:w="15" w:type="dxa"/>
              <w:left w:w="15" w:type="dxa"/>
              <w:right w:w="15" w:type="dxa"/>
            </w:tcMar>
            <w:vAlign w:val="center"/>
          </w:tcPr>
          <w:p w14:paraId="5BBDA2C6">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6</w:t>
            </w:r>
          </w:p>
        </w:tc>
        <w:tc>
          <w:tcPr>
            <w:tcW w:w="608" w:type="pct"/>
            <w:shd w:val="clear" w:color="auto" w:fill="auto"/>
            <w:tcMar>
              <w:top w:w="15" w:type="dxa"/>
              <w:left w:w="15" w:type="dxa"/>
              <w:right w:w="15" w:type="dxa"/>
            </w:tcMar>
            <w:vAlign w:val="center"/>
          </w:tcPr>
          <w:p w14:paraId="48F58334">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3.4</w:t>
            </w:r>
          </w:p>
        </w:tc>
      </w:tr>
      <w:tr w14:paraId="763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646" w:type="pct"/>
            <w:gridSpan w:val="2"/>
            <w:shd w:val="clear" w:color="auto" w:fill="auto"/>
            <w:tcMar>
              <w:top w:w="15" w:type="dxa"/>
              <w:left w:w="15" w:type="dxa"/>
              <w:right w:w="15" w:type="dxa"/>
            </w:tcMar>
            <w:vAlign w:val="center"/>
          </w:tcPr>
          <w:p w14:paraId="125C1029">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lang w:bidi="ar"/>
              </w:rPr>
              <w:t>合计</w:t>
            </w:r>
          </w:p>
        </w:tc>
        <w:tc>
          <w:tcPr>
            <w:tcW w:w="745" w:type="pct"/>
            <w:shd w:val="clear" w:color="auto" w:fill="auto"/>
            <w:tcMar>
              <w:top w:w="15" w:type="dxa"/>
              <w:left w:w="15" w:type="dxa"/>
              <w:right w:w="15" w:type="dxa"/>
            </w:tcMar>
            <w:vAlign w:val="center"/>
          </w:tcPr>
          <w:p w14:paraId="419FAC67">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cs="Times New Roman" w:eastAsiaTheme="minorEastAsia"/>
                <w:b/>
                <w:szCs w:val="21"/>
                <w:highlight w:val="none"/>
                <w:lang w:val="en-US" w:eastAsia="zh-CN"/>
              </w:rPr>
            </w:pPr>
            <w:r>
              <w:rPr>
                <w:rFonts w:hint="eastAsia" w:ascii="Times New Roman" w:hAnsi="Times New Roman" w:cs="Times New Roman"/>
                <w:b/>
                <w:kern w:val="0"/>
                <w:szCs w:val="21"/>
                <w:highlight w:val="none"/>
                <w:lang w:val="en-US" w:eastAsia="zh-CN" w:bidi="ar"/>
              </w:rPr>
              <w:t>16</w:t>
            </w:r>
          </w:p>
        </w:tc>
        <w:tc>
          <w:tcPr>
            <w:tcW w:w="608" w:type="pct"/>
            <w:shd w:val="clear" w:color="auto" w:fill="auto"/>
            <w:tcMar>
              <w:top w:w="15" w:type="dxa"/>
              <w:left w:w="15" w:type="dxa"/>
              <w:right w:w="15" w:type="dxa"/>
            </w:tcMar>
            <w:vAlign w:val="center"/>
          </w:tcPr>
          <w:p w14:paraId="0738E903">
            <w:pPr>
              <w:pageBreakBefore w:val="0"/>
              <w:widowControl/>
              <w:wordWrap/>
              <w:topLinePunct w:val="0"/>
              <w:autoSpaceDE/>
              <w:autoSpaceDN/>
              <w:bidi w:val="0"/>
              <w:adjustRightInd w:val="0"/>
              <w:snapToGrid w:val="0"/>
              <w:ind w:left="0" w:leftChars="0" w:right="0"/>
              <w:jc w:val="center"/>
              <w:textAlignment w:val="center"/>
              <w:rPr>
                <w:rFonts w:hint="default" w:ascii="Times New Roman" w:hAnsi="Times New Roman" w:eastAsia="宋体" w:cs="Times New Roman"/>
                <w:b/>
                <w:szCs w:val="21"/>
                <w:highlight w:val="none"/>
                <w:lang w:val="en-US" w:eastAsia="zh-CN"/>
              </w:rPr>
            </w:pPr>
            <w:r>
              <w:rPr>
                <w:rFonts w:hint="eastAsia" w:ascii="Times New Roman" w:hAnsi="Times New Roman" w:cs="Times New Roman"/>
                <w:b/>
                <w:szCs w:val="21"/>
                <w:highlight w:val="none"/>
                <w:lang w:val="en-US" w:eastAsia="zh-CN"/>
              </w:rPr>
              <w:t>12.32</w:t>
            </w:r>
          </w:p>
        </w:tc>
      </w:tr>
    </w:tbl>
    <w:p w14:paraId="4E883B56">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default" w:ascii="Times New Roman" w:hAnsi="Times New Roman" w:cs="Times New Roman"/>
          <w:szCs w:val="32"/>
          <w:highlight w:val="none"/>
          <w:lang w:val="en-US" w:eastAsia="zh-CN"/>
        </w:rPr>
      </w:pPr>
      <w:bookmarkStart w:id="123" w:name="_Toc13278"/>
      <w:bookmarkStart w:id="124" w:name="_Toc78275954"/>
      <w:bookmarkStart w:id="125" w:name="_Toc29915"/>
      <w:bookmarkStart w:id="126" w:name="_Toc8149"/>
      <w:bookmarkStart w:id="127" w:name="_Toc32726"/>
      <w:bookmarkStart w:id="128" w:name="_Toc26180"/>
      <w:bookmarkStart w:id="129" w:name="_Toc24580"/>
      <w:bookmarkStart w:id="130" w:name="_Toc14893"/>
      <w:r>
        <w:rPr>
          <w:rFonts w:hint="default" w:ascii="Times New Roman" w:hAnsi="Times New Roman" w:cs="Times New Roman"/>
          <w:szCs w:val="32"/>
          <w:highlight w:val="none"/>
          <w:lang w:eastAsia="zh-CN"/>
        </w:rPr>
        <w:t>（三）项目产出</w:t>
      </w:r>
      <w:bookmarkEnd w:id="123"/>
      <w:bookmarkEnd w:id="124"/>
      <w:r>
        <w:rPr>
          <w:rFonts w:hint="default" w:ascii="Times New Roman" w:hAnsi="Times New Roman" w:cs="Times New Roman"/>
          <w:szCs w:val="32"/>
          <w:highlight w:val="none"/>
          <w:lang w:val="en-US" w:eastAsia="zh-CN"/>
        </w:rPr>
        <w:t>情况</w:t>
      </w:r>
      <w:bookmarkEnd w:id="125"/>
      <w:bookmarkEnd w:id="126"/>
      <w:bookmarkEnd w:id="127"/>
      <w:bookmarkEnd w:id="128"/>
      <w:bookmarkEnd w:id="129"/>
    </w:p>
    <w:bookmarkEnd w:id="130"/>
    <w:p w14:paraId="4C34E809">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default" w:ascii="Times New Roman" w:hAnsi="Times New Roman" w:cs="Times New Roman"/>
          <w:szCs w:val="32"/>
          <w:lang w:val="en-US" w:bidi="en-US"/>
        </w:rPr>
      </w:pPr>
      <w:bookmarkStart w:id="131" w:name="_Toc78275955"/>
      <w:bookmarkStart w:id="132" w:name="_Toc14899"/>
      <w:r>
        <w:rPr>
          <w:rFonts w:hint="eastAsia" w:ascii="Times New Roman" w:hAnsi="Times New Roman" w:cs="Times New Roman"/>
          <w:b/>
          <w:szCs w:val="32"/>
          <w:highlight w:val="none"/>
          <w:lang w:val="en-US" w:eastAsia="zh-CN"/>
        </w:rPr>
        <w:t>1.项目建设完成率</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cs="Times New Roman"/>
          <w:sz w:val="32"/>
          <w:szCs w:val="32"/>
          <w:lang w:val="en-US" w:eastAsia="zh-CN"/>
        </w:rPr>
        <w:t>2023年度计划新建信息化项目5个，实际按照预期计划完成数字永州指挥中心与市应急指挥中心系统互通项目、永州市“湘易办”旗舰店建设及推广应用项目以及涉M高清电视会议系统设备（涉M）的建设工作。如“湘易办”旗舰店建设及推广应用项目省定指标任务为：“一网通办”事项达到700项，集成可应用的电子证照种类达到80类，“湘易办”用户数量达到230万用户（7月后不再考核）。截至2023年11月，已完成“一网通办”事项772项，集成可应用的电子证照114类，推广注册数量155万用户。</w:t>
      </w:r>
      <w:r>
        <w:rPr>
          <w:rFonts w:hint="eastAsia" w:ascii="Times New Roman" w:hAnsi="Times New Roman" w:cs="Times New Roman"/>
          <w:sz w:val="32"/>
          <w:szCs w:val="32"/>
          <w:highlight w:val="none"/>
          <w:lang w:val="en-US" w:eastAsia="zh-CN"/>
        </w:rPr>
        <w:t>但存在两个项目进度缓慢，如截至2024年4月由于前期工作衔接不到位，实施内容发生变更导致全市政府信息系统等级保护测评仍未完工；由于实施单位未及时领取密码设备导致市政府办公大楼电子政务内网机房普通密码设备换装（涉M）项目未完成。</w:t>
      </w:r>
    </w:p>
    <w:p w14:paraId="68BAD079">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default" w:ascii="Times New Roman" w:hAnsi="Times New Roman" w:cs="Times New Roman"/>
          <w:szCs w:val="32"/>
          <w:lang w:val="en-US" w:bidi="en-US"/>
        </w:rPr>
      </w:pPr>
      <w:r>
        <w:rPr>
          <w:rFonts w:hint="eastAsia" w:ascii="Times New Roman" w:hAnsi="Times New Roman" w:cs="Times New Roman"/>
          <w:b/>
          <w:bCs/>
          <w:szCs w:val="32"/>
          <w:lang w:val="en-US" w:eastAsia="zh-CN" w:bidi="en-US"/>
        </w:rPr>
        <w:t>2.配套设施租赁及服务采购。</w:t>
      </w:r>
      <w:r>
        <w:rPr>
          <w:rFonts w:hint="eastAsia" w:ascii="Times New Roman" w:hAnsi="Times New Roman" w:cs="Times New Roman"/>
          <w:b w:val="0"/>
          <w:bCs w:val="0"/>
          <w:szCs w:val="32"/>
          <w:lang w:val="en-US" w:eastAsia="zh-CN" w:bidi="en-US"/>
        </w:rPr>
        <w:t>预算内租赁及服务采购项目共5个，市政务云计算中心机房租赁合同签订时间为2015年1月26日，合同金额180万元，根据合同约定第七年支付尾款66万元，经双方协商2023年度支付尾款50万元，合同款已结清；电子政务外网网络租赁项目于2019年11月14日签订租赁合同，租赁期三年，2023年度合计支付358.13万元，余款已结清；“互联网+政务服务”短信服务项目2022年度共发送466.61万条，单价为0.038元/条，2023年度支付17.73万元；云计算服务项目合同周期内（2021年7月1日至2022年6月30日）实际使用云资源5847.51万元，</w:t>
      </w:r>
      <w:r>
        <w:rPr>
          <w:rFonts w:hint="eastAsia" w:ascii="Times New Roman" w:hAnsi="Times New Roman" w:cs="Times New Roman"/>
          <w:b w:val="0"/>
          <w:bCs w:val="0"/>
          <w:szCs w:val="32"/>
          <w:highlight w:val="none"/>
          <w:lang w:val="en-US" w:eastAsia="zh-CN" w:bidi="en-US"/>
        </w:rPr>
        <w:t>各单位云资源申请均按要求交付，但华为公司未按年度组织政企数字化领导力培训，为永州市培养数字化人才的目标未实现。</w:t>
      </w:r>
    </w:p>
    <w:p w14:paraId="0DAEE722">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3.信息化系统运维。</w:t>
      </w:r>
      <w:r>
        <w:rPr>
          <w:rFonts w:hint="eastAsia" w:ascii="Times New Roman" w:hAnsi="Times New Roman" w:cs="Times New Roman"/>
          <w:b w:val="0"/>
          <w:bCs w:val="0"/>
          <w:szCs w:val="32"/>
          <w:lang w:val="en-US" w:eastAsia="zh-CN" w:bidi="en-US"/>
        </w:rPr>
        <w:t>预算内运维类项目共4个，均按照合同条款约定或系统运维管理办法提供项目运维，运维完成率100%。但评价中发现，存在部分项目运维合同已过期，未续签运维合同导致运维服务目前处于暂停状态的情况，共2例，如，雪亮工程项目，联通数据科技有限公司提供的免费运维期自2022年10月国家验收完成至2023年10月，为期一年，截至2024年4月，因项目资产权属划分不明晰，未就该项目与联通数据科技有限公司签订后续运维服务合同。存在建设项目运维覆盖不全的情况，如智慧永州视频共享平台项目，项目于2017年7月14日开工建设，于2018年3月7日完成验收，项目整体质保期2年，项目建成后未就运维事项签订相关合同，共享平台处于无运维保障的运转状态。</w:t>
      </w:r>
    </w:p>
    <w:p w14:paraId="305B318D">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4.建设程序合规性。</w:t>
      </w:r>
      <w:r>
        <w:rPr>
          <w:rFonts w:hint="eastAsia" w:ascii="Times New Roman" w:hAnsi="Times New Roman" w:cs="Times New Roman"/>
          <w:b w:val="0"/>
          <w:bCs w:val="0"/>
          <w:szCs w:val="32"/>
          <w:lang w:val="en-US" w:eastAsia="zh-CN" w:bidi="en-US"/>
        </w:rPr>
        <w:t>一是建设项目变更程序不规范，如永州市智慧政协（二期）项目，根据《项目合同补充协议书》，中国人民政治协商会议湖南省永州委员会与中国联合网络通信有限公司永州市分公司根据项目实际情况及建设单位实际业务需求变化对合同约定内容进行调整，补充合同无签订时间，补充合同签订领导批示时间为2021年6月24日，而工程变更申请审批通过时间为2020年11月27日，项目变更补充合同签订不及时；二是项目建设程序不规范，如雪亮工程项目，湖南致信信息股份有限公司下发开工令时间为2021年6月6日，项目工程施工组织设计/方案报审时间为2021年6月15日，审核通过时间为2021年6月16日；根据监理单位下发的《监理工程师通知单》，截至2021年6月30日，建设单位仍未补齐开工报审资料。</w:t>
      </w:r>
    </w:p>
    <w:p w14:paraId="11246FE0">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5.建设项目验收合格率。</w:t>
      </w:r>
      <w:r>
        <w:rPr>
          <w:rFonts w:hint="eastAsia" w:ascii="Times New Roman" w:hAnsi="Times New Roman" w:cs="Times New Roman"/>
          <w:b w:val="0"/>
          <w:bCs w:val="0"/>
          <w:szCs w:val="32"/>
          <w:lang w:val="en-US" w:eastAsia="zh-CN" w:bidi="en-US"/>
        </w:rPr>
        <w:t>经审核，未见验收不合格的情况，但存在验收时仍未完成合同约定任务的情况，如永州市智慧政协（二期）项目，于2019年11月签订项目合同，根据合同约定，应于合同签订后22个工作日内完成项目建设，项目实际终验时间为2021年2月1日，且验收时海报策划与设计制作、易拉宝策划与设计制作、整体汇报演示方案策划及现场实施及11个县区推广工作均未完成。</w:t>
      </w:r>
    </w:p>
    <w:p w14:paraId="373F875E">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6.信息化系统运行稳定性。</w:t>
      </w:r>
      <w:r>
        <w:rPr>
          <w:rFonts w:hint="eastAsia" w:ascii="Times New Roman" w:hAnsi="Times New Roman" w:cs="Times New Roman"/>
          <w:b w:val="0"/>
          <w:bCs w:val="0"/>
          <w:szCs w:val="32"/>
          <w:lang w:val="en-US" w:eastAsia="zh-CN" w:bidi="en-US"/>
        </w:rPr>
        <w:t>存在个别系统存在运维监控不到位的情况，经现场调研及访谈了解，永州市政府门户网站运维2022年度存在技术服务提供不及时、后台卡顿、监测报错等情况共10例，2023年度存在后台信息发布功能故障、服务提供不到位、故障修复不及时等情况共7例；智慧政协（二期）项目；二是个别项目设备运行率较低，如智慧永州项目，截至2024年4月，数字城管摄像头由于道路修建、电力、通讯线路等各种原因导致视频在线率仅31%。</w:t>
      </w:r>
    </w:p>
    <w:p w14:paraId="0CDC5E84">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7.数据资源管理情况。</w:t>
      </w:r>
      <w:r>
        <w:rPr>
          <w:rFonts w:hint="eastAsia" w:ascii="Times New Roman" w:hAnsi="Times New Roman" w:cs="Times New Roman"/>
          <w:b w:val="0"/>
          <w:bCs w:val="0"/>
          <w:szCs w:val="32"/>
          <w:lang w:val="en-US" w:eastAsia="zh-CN" w:bidi="en-US"/>
        </w:rPr>
        <w:t>一是经访谈了解，目前冷水滩区、道县、祁阳市、新田县等9个区县通过数据拷贝形式共享，数据更新及时性、准确性均有待提高，且行政审批局依托现有资源难以监测系统各模块数据更新是否及时；二是评价组通过统计分析智慧永州综合应用电子政务公共平台业务及基础数据库数据增长情况，发现2022年至2023年期间6个基础数据库中5个数据库无数据增长情况，业务库仅社治事件这一数据项有数据增长，数据共享更新不及时，数据共享质量有待提高；三是华为云计算服务项目，存在云资源申请单填写不规范以及验收交付不及时的情况，如市财政局申请国有资产统计系统云资源，服务商确认时间为2022年9月21日，用户单位验收确认时间为2022年11月22日，与合同约定应在服务商确认订单后10内完成验收交付不符。</w:t>
      </w:r>
    </w:p>
    <w:p w14:paraId="7E6EF768">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8.运维管理规范性。</w:t>
      </w:r>
      <w:r>
        <w:rPr>
          <w:rFonts w:hint="eastAsia" w:ascii="Times New Roman" w:hAnsi="Times New Roman" w:cs="Times New Roman"/>
          <w:b w:val="0"/>
          <w:bCs w:val="0"/>
          <w:szCs w:val="32"/>
          <w:lang w:val="en-US" w:eastAsia="zh-CN" w:bidi="en-US"/>
        </w:rPr>
        <w:t>一是运维管理质量有待提高，存在个别项目运维报告内容不全、重复的情况，如智慧永州项目（一期）；二是个别项目建设后未签订运维合同，如智慧永州视频共享平台项目，项目于2017年7月14日开工建设，于2018年3月7日完成验收，项目整体质保期2年，项目建成后未就运维事项签订相关合同，共享平台处于无运维保障的运转状态。</w:t>
      </w:r>
    </w:p>
    <w:p w14:paraId="202D5D53">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9.项目完成及时性。</w:t>
      </w:r>
      <w:r>
        <w:rPr>
          <w:rFonts w:hint="eastAsia" w:ascii="Times New Roman" w:hAnsi="Times New Roman" w:cs="Times New Roman"/>
          <w:b w:val="0"/>
          <w:bCs w:val="0"/>
          <w:szCs w:val="32"/>
          <w:lang w:val="en-US" w:eastAsia="zh-CN" w:bidi="en-US"/>
        </w:rPr>
        <w:t>建设项目基本能按照项目计划及合同约定完工，但存在3例完工不及时、项目进度缓慢的情况，如永州智慧政协（二期）项目，根据合同约定，应于合同签订后22个工作日内完成项目建设，系统开发建设应于2019年12月底之前完成，因试运行期间发生了工程变更，项目实际完成时间为2021年2月份。</w:t>
      </w:r>
    </w:p>
    <w:p w14:paraId="5534CC24">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10.验收及时性。</w:t>
      </w:r>
      <w:r>
        <w:rPr>
          <w:rFonts w:hint="eastAsia" w:ascii="Times New Roman" w:hAnsi="Times New Roman" w:cs="Times New Roman"/>
          <w:b w:val="0"/>
          <w:bCs w:val="0"/>
          <w:szCs w:val="32"/>
          <w:lang w:val="en-US" w:eastAsia="zh-CN" w:bidi="en-US"/>
        </w:rPr>
        <w:t>建设项目基本能按照项目计划及合同约定及时执行验收程序，但存在2例验收不及时的情况，如永州市政府门户网站运维项目，服务期限为2022年全年，项目验收时间为2023年12月1日；电子政务外网网络租赁项目，根据合同要求，线路联通并使用正常后，甲方在收到乙方的验收申请和相关验收资料后，10个工作日内进行验收，该项目于2019年8月底开始实施，2019年12月底基本完成项目建设，实际于2020年12月12日组织专家评委对项目进行验收。</w:t>
      </w:r>
    </w:p>
    <w:p w14:paraId="0244B70D">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default" w:ascii="Times New Roman" w:hAnsi="Times New Roman" w:cs="Times New Roman"/>
          <w:b w:val="0"/>
          <w:bCs w:val="0"/>
          <w:szCs w:val="32"/>
          <w:lang w:val="en-US" w:eastAsia="zh-CN" w:bidi="en-US"/>
        </w:rPr>
      </w:pPr>
      <w:r>
        <w:rPr>
          <w:rFonts w:hint="eastAsia" w:ascii="Times New Roman" w:hAnsi="Times New Roman" w:cs="Times New Roman"/>
          <w:b/>
          <w:bCs/>
          <w:szCs w:val="32"/>
          <w:lang w:val="en-US" w:eastAsia="zh-CN" w:bidi="en-US"/>
        </w:rPr>
        <w:t>11.运维报告提交及时性。</w:t>
      </w:r>
      <w:r>
        <w:rPr>
          <w:rFonts w:hint="eastAsia" w:ascii="Times New Roman" w:hAnsi="Times New Roman" w:cs="Times New Roman"/>
          <w:b w:val="0"/>
          <w:bCs w:val="0"/>
          <w:szCs w:val="32"/>
          <w:lang w:val="en-US" w:eastAsia="zh-CN" w:bidi="en-US"/>
        </w:rPr>
        <w:t>经了解，第一年度云服务合同期间华为云计算技术有限公司未按时每月向永州市行政审批服务局及时报送运维报告，2023年开始按规定准时报送。</w:t>
      </w:r>
    </w:p>
    <w:p w14:paraId="1A6EFBA3">
      <w:pPr>
        <w:pStyle w:val="11"/>
        <w:keepNext w:val="0"/>
        <w:keepLines w:val="0"/>
        <w:pageBreakBefore w:val="0"/>
        <w:widowControl w:val="0"/>
        <w:kinsoku/>
        <w:wordWrap/>
        <w:overflowPunct/>
        <w:topLinePunct w:val="0"/>
        <w:bidi w:val="0"/>
        <w:adjustRightInd w:val="0"/>
        <w:snapToGrid w:val="0"/>
        <w:spacing w:line="600" w:lineRule="exact"/>
        <w:ind w:firstLine="643"/>
        <w:jc w:val="both"/>
        <w:textAlignment w:val="auto"/>
        <w:rPr>
          <w:rFonts w:hint="eastAsia" w:ascii="Times New Roman" w:hAnsi="Times New Roman" w:cs="Times New Roman"/>
          <w:szCs w:val="32"/>
          <w:lang w:val="en-US" w:eastAsia="zh-CN" w:bidi="en-US"/>
        </w:rPr>
      </w:pPr>
      <w:r>
        <w:rPr>
          <w:rFonts w:hint="eastAsia" w:ascii="Times New Roman" w:hAnsi="Times New Roman" w:cs="Times New Roman"/>
          <w:b/>
          <w:szCs w:val="32"/>
          <w:lang w:val="en-US" w:eastAsia="zh-CN"/>
        </w:rPr>
        <w:t>12.</w:t>
      </w:r>
      <w:r>
        <w:rPr>
          <w:rFonts w:hint="default" w:ascii="Times New Roman" w:hAnsi="Times New Roman" w:cs="Times New Roman"/>
          <w:b/>
          <w:szCs w:val="32"/>
          <w:lang w:val="en-US" w:eastAsia="zh-Hans"/>
        </w:rPr>
        <w:t>资金节约率</w:t>
      </w:r>
      <w:r>
        <w:rPr>
          <w:rFonts w:hint="eastAsia" w:ascii="Times New Roman" w:hAnsi="Times New Roman" w:cs="Times New Roman"/>
          <w:b/>
          <w:szCs w:val="32"/>
          <w:lang w:val="en-US" w:eastAsia="zh-CN"/>
        </w:rPr>
        <w:t>。</w:t>
      </w:r>
      <w:r>
        <w:rPr>
          <w:rFonts w:hint="default" w:ascii="Times New Roman" w:hAnsi="Times New Roman" w:cs="Times New Roman"/>
          <w:color w:val="000000"/>
          <w:szCs w:val="21"/>
          <w:lang w:val="en-US" w:eastAsia="zh-CN"/>
        </w:rPr>
        <w:t>项目支出均没有超合同约定金额，采购价格基本严格按照前期调研论证的价格执行。且经项目组核对各项目采购预算及实际合同签订金额，未出现超预算现象，部分实际支付时通过充分协商达成友好核减协议，采购资金节约率均</w:t>
      </w:r>
      <w:r>
        <w:rPr>
          <w:rFonts w:hint="eastAsia" w:ascii="Times New Roman" w:hAnsi="Times New Roman" w:cs="Times New Roman"/>
          <w:color w:val="000000"/>
          <w:szCs w:val="21"/>
          <w:lang w:val="en-US" w:eastAsia="zh-CN"/>
        </w:rPr>
        <w:t>大于</w:t>
      </w:r>
      <w:r>
        <w:rPr>
          <w:rFonts w:hint="default" w:ascii="Times New Roman" w:hAnsi="Times New Roman" w:cs="Times New Roman"/>
          <w:color w:val="000000"/>
          <w:szCs w:val="21"/>
          <w:lang w:val="en-US" w:eastAsia="zh-CN"/>
        </w:rPr>
        <w:t>0%，如智慧永州一、二期项目总金额8545.99万元，经协商后核减1353.97万元，资金节约率为15.84%。</w:t>
      </w:r>
    </w:p>
    <w:p w14:paraId="063696F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bidi="en-US"/>
        </w:rPr>
        <w:t>项目产出指标由</w:t>
      </w:r>
      <w:r>
        <w:rPr>
          <w:rFonts w:hint="eastAsia" w:ascii="Times New Roman" w:hAnsi="Times New Roman" w:eastAsia="仿宋_GB2312" w:cs="Times New Roman"/>
          <w:sz w:val="32"/>
          <w:szCs w:val="32"/>
          <w:lang w:val="en-US" w:eastAsia="zh-CN" w:bidi="en-US"/>
        </w:rPr>
        <w:t>4</w:t>
      </w:r>
      <w:r>
        <w:rPr>
          <w:rFonts w:hint="default" w:ascii="Times New Roman" w:hAnsi="Times New Roman" w:eastAsia="仿宋_GB2312" w:cs="Times New Roman"/>
          <w:sz w:val="32"/>
          <w:szCs w:val="32"/>
          <w:lang w:bidi="en-US"/>
        </w:rPr>
        <w:t>个二级指标，</w:t>
      </w:r>
      <w:r>
        <w:rPr>
          <w:rFonts w:hint="eastAsia" w:ascii="Times New Roman" w:hAnsi="Times New Roman" w:eastAsia="仿宋_GB2312" w:cs="Times New Roman"/>
          <w:sz w:val="32"/>
          <w:szCs w:val="32"/>
          <w:lang w:val="en-US" w:eastAsia="zh-CN" w:bidi="en-US"/>
        </w:rPr>
        <w:t>12</w:t>
      </w:r>
      <w:r>
        <w:rPr>
          <w:rFonts w:hint="default" w:ascii="Times New Roman" w:hAnsi="Times New Roman" w:eastAsia="仿宋_GB2312" w:cs="Times New Roman"/>
          <w:sz w:val="32"/>
          <w:szCs w:val="32"/>
          <w:lang w:bidi="en-US"/>
        </w:rPr>
        <w:t>个三级指标构成，权重分</w:t>
      </w:r>
      <w:r>
        <w:rPr>
          <w:rFonts w:hint="eastAsia" w:ascii="Times New Roman" w:hAnsi="Times New Roman" w:eastAsia="仿宋_GB2312" w:cs="Times New Roman"/>
          <w:sz w:val="32"/>
          <w:szCs w:val="32"/>
          <w:lang w:val="en-US" w:eastAsia="zh-CN" w:bidi="en-US"/>
        </w:rPr>
        <w:t>40</w:t>
      </w:r>
      <w:r>
        <w:rPr>
          <w:rFonts w:hint="default" w:ascii="Times New Roman" w:hAnsi="Times New Roman" w:eastAsia="仿宋_GB2312" w:cs="Times New Roman"/>
          <w:sz w:val="32"/>
          <w:szCs w:val="32"/>
          <w:highlight w:val="none"/>
          <w:lang w:bidi="en-US"/>
        </w:rPr>
        <w:t>分，实际得分</w:t>
      </w:r>
      <w:r>
        <w:rPr>
          <w:rFonts w:hint="eastAsia" w:ascii="Times New Roman" w:hAnsi="Times New Roman" w:eastAsia="仿宋_GB2312" w:cs="Times New Roman"/>
          <w:sz w:val="32"/>
          <w:szCs w:val="32"/>
          <w:highlight w:val="none"/>
          <w:lang w:val="en-US" w:eastAsia="zh-CN" w:bidi="en-US"/>
        </w:rPr>
        <w:t>31.2</w:t>
      </w:r>
      <w:r>
        <w:rPr>
          <w:rFonts w:hint="default" w:ascii="Times New Roman" w:hAnsi="Times New Roman" w:eastAsia="仿宋_GB2312" w:cs="Times New Roman"/>
          <w:sz w:val="32"/>
          <w:szCs w:val="32"/>
          <w:highlight w:val="none"/>
          <w:lang w:bidi="en-US"/>
        </w:rPr>
        <w:t>分。</w:t>
      </w:r>
      <w:r>
        <w:rPr>
          <w:rFonts w:hint="default" w:ascii="Times New Roman" w:hAnsi="Times New Roman" w:eastAsia="仿宋_GB2312" w:cs="Times New Roman"/>
          <w:sz w:val="32"/>
          <w:szCs w:val="32"/>
          <w:lang w:bidi="en-US"/>
        </w:rPr>
        <w:t>各指标业绩值和绩效分值如表4-3所示：</w:t>
      </w:r>
    </w:p>
    <w:p w14:paraId="041424B6">
      <w:pPr>
        <w:pStyle w:val="11"/>
        <w:pageBreakBefore w:val="0"/>
        <w:wordWrap/>
        <w:topLinePunct w:val="0"/>
        <w:autoSpaceDE/>
        <w:autoSpaceDN/>
        <w:bidi w:val="0"/>
        <w:adjustRightInd w:val="0"/>
        <w:snapToGrid w:val="0"/>
        <w:ind w:left="0" w:leftChars="0" w:right="0" w:firstLine="0" w:firstLineChars="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表4-3项目产出类指标体系表</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0"/>
        <w:gridCol w:w="4538"/>
        <w:gridCol w:w="1096"/>
        <w:gridCol w:w="1060"/>
      </w:tblGrid>
      <w:tr w14:paraId="084C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shd w:val="clear" w:color="auto" w:fill="D7D7D7" w:themeFill="background1" w:themeFillShade="D8"/>
            <w:tcMar>
              <w:top w:w="15" w:type="dxa"/>
              <w:left w:w="15" w:type="dxa"/>
              <w:right w:w="15" w:type="dxa"/>
            </w:tcMar>
            <w:vAlign w:val="center"/>
          </w:tcPr>
          <w:p w14:paraId="7DAE4B17">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二级指标</w:t>
            </w:r>
          </w:p>
        </w:tc>
        <w:tc>
          <w:tcPr>
            <w:tcW w:w="4578" w:type="dxa"/>
            <w:shd w:val="clear" w:color="auto" w:fill="D7D7D7" w:themeFill="background1" w:themeFillShade="D8"/>
            <w:tcMar>
              <w:top w:w="15" w:type="dxa"/>
              <w:left w:w="15" w:type="dxa"/>
              <w:right w:w="15" w:type="dxa"/>
            </w:tcMar>
            <w:vAlign w:val="center"/>
          </w:tcPr>
          <w:p w14:paraId="14CBE7B2">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三级指标</w:t>
            </w:r>
          </w:p>
        </w:tc>
        <w:tc>
          <w:tcPr>
            <w:tcW w:w="1104" w:type="dxa"/>
            <w:shd w:val="clear" w:color="auto" w:fill="D7D7D7" w:themeFill="background1" w:themeFillShade="D8"/>
            <w:tcMar>
              <w:top w:w="15" w:type="dxa"/>
              <w:left w:w="15" w:type="dxa"/>
              <w:right w:w="15" w:type="dxa"/>
            </w:tcMar>
            <w:vAlign w:val="center"/>
          </w:tcPr>
          <w:p w14:paraId="349A32A6">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权重</w:t>
            </w:r>
          </w:p>
        </w:tc>
        <w:tc>
          <w:tcPr>
            <w:tcW w:w="999" w:type="dxa"/>
            <w:shd w:val="clear" w:color="auto" w:fill="D7D7D7" w:themeFill="background1" w:themeFillShade="D8"/>
            <w:tcMar>
              <w:top w:w="15" w:type="dxa"/>
              <w:left w:w="15" w:type="dxa"/>
              <w:right w:w="15" w:type="dxa"/>
            </w:tcMar>
            <w:vAlign w:val="center"/>
          </w:tcPr>
          <w:p w14:paraId="68F7DE33">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得分</w:t>
            </w:r>
          </w:p>
        </w:tc>
      </w:tr>
      <w:tr w14:paraId="08E0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1653" w:type="dxa"/>
            <w:vMerge w:val="restart"/>
            <w:shd w:val="clear" w:color="auto" w:fill="auto"/>
            <w:tcMar>
              <w:top w:w="15" w:type="dxa"/>
              <w:left w:w="15" w:type="dxa"/>
              <w:right w:w="15" w:type="dxa"/>
            </w:tcMar>
            <w:vAlign w:val="center"/>
          </w:tcPr>
          <w:p w14:paraId="2C464A51">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产出数量</w:t>
            </w:r>
          </w:p>
        </w:tc>
        <w:tc>
          <w:tcPr>
            <w:tcW w:w="4578" w:type="dxa"/>
            <w:shd w:val="clear" w:color="auto" w:fill="auto"/>
            <w:tcMar>
              <w:top w:w="15" w:type="dxa"/>
              <w:left w:w="15" w:type="dxa"/>
              <w:right w:w="15" w:type="dxa"/>
            </w:tcMar>
            <w:vAlign w:val="center"/>
          </w:tcPr>
          <w:p w14:paraId="23FBEAAB">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项目建设完成率</w:t>
            </w:r>
          </w:p>
        </w:tc>
        <w:tc>
          <w:tcPr>
            <w:tcW w:w="1104" w:type="dxa"/>
            <w:shd w:val="clear" w:color="auto" w:fill="auto"/>
            <w:tcMar>
              <w:top w:w="15" w:type="dxa"/>
              <w:left w:w="15" w:type="dxa"/>
              <w:right w:w="15" w:type="dxa"/>
            </w:tcMar>
            <w:vAlign w:val="center"/>
          </w:tcPr>
          <w:p w14:paraId="7B9C686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6" w:type="dxa"/>
            <w:shd w:val="clear" w:color="auto" w:fill="auto"/>
            <w:tcMar>
              <w:top w:w="15" w:type="dxa"/>
              <w:left w:w="15" w:type="dxa"/>
              <w:right w:w="15" w:type="dxa"/>
            </w:tcMar>
            <w:vAlign w:val="center"/>
          </w:tcPr>
          <w:p w14:paraId="1332DE7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2.4</w:t>
            </w:r>
          </w:p>
        </w:tc>
      </w:tr>
      <w:tr w14:paraId="6728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blHeader/>
        </w:trPr>
        <w:tc>
          <w:tcPr>
            <w:tcW w:w="1653" w:type="dxa"/>
            <w:vMerge w:val="continue"/>
            <w:shd w:val="clear" w:color="auto" w:fill="auto"/>
            <w:tcMar>
              <w:top w:w="15" w:type="dxa"/>
              <w:left w:w="15" w:type="dxa"/>
              <w:right w:w="15" w:type="dxa"/>
            </w:tcMar>
            <w:vAlign w:val="center"/>
          </w:tcPr>
          <w:p w14:paraId="69F3BC34">
            <w:pPr>
              <w:jc w:val="center"/>
              <w:rPr>
                <w:rFonts w:hint="default" w:ascii="Times New Roman" w:hAnsi="Times New Roman" w:eastAsia="仿宋_GB2312" w:cs="Times New Roman"/>
                <w:color w:val="000000"/>
                <w:sz w:val="21"/>
                <w:szCs w:val="21"/>
                <w:lang w:val="en-US" w:eastAsia="zh-CN"/>
              </w:rPr>
            </w:pPr>
          </w:p>
        </w:tc>
        <w:tc>
          <w:tcPr>
            <w:tcW w:w="4578" w:type="dxa"/>
            <w:shd w:val="clear" w:color="auto" w:fill="auto"/>
            <w:tcMar>
              <w:top w:w="15" w:type="dxa"/>
              <w:left w:w="15" w:type="dxa"/>
              <w:right w:w="15" w:type="dxa"/>
            </w:tcMar>
            <w:vAlign w:val="center"/>
          </w:tcPr>
          <w:p w14:paraId="67872D65">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租赁及服务采购项目完成率</w:t>
            </w:r>
          </w:p>
        </w:tc>
        <w:tc>
          <w:tcPr>
            <w:tcW w:w="1104" w:type="dxa"/>
            <w:shd w:val="clear" w:color="auto" w:fill="auto"/>
            <w:tcMar>
              <w:top w:w="15" w:type="dxa"/>
              <w:left w:w="15" w:type="dxa"/>
              <w:right w:w="15" w:type="dxa"/>
            </w:tcMar>
            <w:vAlign w:val="center"/>
          </w:tcPr>
          <w:p w14:paraId="554CA77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6" w:type="dxa"/>
            <w:shd w:val="clear" w:color="auto" w:fill="auto"/>
            <w:tcMar>
              <w:top w:w="15" w:type="dxa"/>
              <w:left w:w="15" w:type="dxa"/>
              <w:right w:w="15" w:type="dxa"/>
            </w:tcMar>
            <w:vAlign w:val="center"/>
          </w:tcPr>
          <w:p w14:paraId="2F8F17BB">
            <w:pPr>
              <w:keepNext w:val="0"/>
              <w:keepLines w:val="0"/>
              <w:widowControl/>
              <w:suppressLineNumbers w:val="0"/>
              <w:jc w:val="center"/>
              <w:textAlignment w:val="center"/>
              <w:rPr>
                <w:rFonts w:hint="default" w:ascii="Times New Roman" w:hAnsi="Times New Roman" w:eastAsia="仿宋_GB2312" w:cs="Times New Roman"/>
                <w:sz w:val="21"/>
                <w:szCs w:val="21"/>
                <w:lang w:val="en-US"/>
              </w:rPr>
            </w:pPr>
            <w:r>
              <w:rPr>
                <w:rFonts w:hint="default" w:ascii="Times New Roman" w:hAnsi="Times New Roman" w:eastAsia="仿宋_GB2312" w:cs="Times New Roman"/>
                <w:i w:val="0"/>
                <w:iCs w:val="0"/>
                <w:color w:val="000000"/>
                <w:kern w:val="0"/>
                <w:sz w:val="21"/>
                <w:szCs w:val="21"/>
                <w:u w:val="none"/>
                <w:lang w:val="en-US" w:eastAsia="zh-CN" w:bidi="ar"/>
              </w:rPr>
              <w:t>4</w:t>
            </w:r>
          </w:p>
        </w:tc>
      </w:tr>
      <w:tr w14:paraId="0A3A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3DDD0FB5">
            <w:pPr>
              <w:jc w:val="center"/>
              <w:rPr>
                <w:rFonts w:hint="default" w:ascii="Times New Roman" w:hAnsi="Times New Roman" w:eastAsia="仿宋_GB2312" w:cs="Times New Roman"/>
                <w:color w:val="000000"/>
                <w:sz w:val="21"/>
                <w:szCs w:val="21"/>
              </w:rPr>
            </w:pPr>
          </w:p>
        </w:tc>
        <w:tc>
          <w:tcPr>
            <w:tcW w:w="4578" w:type="dxa"/>
            <w:shd w:val="clear" w:color="auto" w:fill="auto"/>
            <w:tcMar>
              <w:top w:w="15" w:type="dxa"/>
              <w:left w:w="15" w:type="dxa"/>
              <w:right w:w="15" w:type="dxa"/>
            </w:tcMar>
            <w:vAlign w:val="center"/>
          </w:tcPr>
          <w:p w14:paraId="7C986E70">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bidi="zh-CN"/>
              </w:rPr>
            </w:pPr>
            <w:r>
              <w:rPr>
                <w:rFonts w:hint="default" w:ascii="Times New Roman" w:hAnsi="Times New Roman" w:eastAsia="仿宋_GB2312" w:cs="Times New Roman"/>
                <w:i w:val="0"/>
                <w:iCs w:val="0"/>
                <w:color w:val="000000"/>
                <w:kern w:val="0"/>
                <w:sz w:val="21"/>
                <w:szCs w:val="21"/>
                <w:u w:val="none"/>
                <w:lang w:val="en-US" w:eastAsia="zh-CN" w:bidi="ar"/>
              </w:rPr>
              <w:t>项目运维完成率</w:t>
            </w:r>
          </w:p>
        </w:tc>
        <w:tc>
          <w:tcPr>
            <w:tcW w:w="1104" w:type="dxa"/>
            <w:shd w:val="clear" w:color="auto" w:fill="auto"/>
            <w:tcMar>
              <w:top w:w="15" w:type="dxa"/>
              <w:left w:w="15" w:type="dxa"/>
              <w:right w:w="15" w:type="dxa"/>
            </w:tcMar>
            <w:vAlign w:val="center"/>
          </w:tcPr>
          <w:p w14:paraId="2CCBF69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6" w:type="dxa"/>
            <w:shd w:val="clear" w:color="auto" w:fill="auto"/>
            <w:tcMar>
              <w:top w:w="15" w:type="dxa"/>
              <w:left w:w="15" w:type="dxa"/>
              <w:right w:w="15" w:type="dxa"/>
            </w:tcMar>
            <w:vAlign w:val="center"/>
          </w:tcPr>
          <w:p w14:paraId="7FC422E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3.5</w:t>
            </w:r>
          </w:p>
        </w:tc>
      </w:tr>
      <w:tr w14:paraId="6706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restart"/>
            <w:shd w:val="clear" w:color="auto" w:fill="auto"/>
            <w:tcMar>
              <w:top w:w="15" w:type="dxa"/>
              <w:left w:w="15" w:type="dxa"/>
              <w:right w:w="15" w:type="dxa"/>
            </w:tcMar>
            <w:vAlign w:val="center"/>
          </w:tcPr>
          <w:p w14:paraId="0A15D6BB">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产出质量</w:t>
            </w:r>
          </w:p>
        </w:tc>
        <w:tc>
          <w:tcPr>
            <w:tcW w:w="4578" w:type="dxa"/>
            <w:shd w:val="clear" w:color="auto" w:fill="auto"/>
            <w:tcMar>
              <w:top w:w="15" w:type="dxa"/>
              <w:left w:w="15" w:type="dxa"/>
              <w:right w:w="15" w:type="dxa"/>
            </w:tcMar>
            <w:vAlign w:val="center"/>
          </w:tcPr>
          <w:p w14:paraId="6FA61628">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建设程序合规性</w:t>
            </w:r>
          </w:p>
        </w:tc>
        <w:tc>
          <w:tcPr>
            <w:tcW w:w="1104" w:type="dxa"/>
            <w:shd w:val="clear" w:color="auto" w:fill="auto"/>
            <w:tcMar>
              <w:top w:w="15" w:type="dxa"/>
              <w:left w:w="15" w:type="dxa"/>
              <w:right w:w="15" w:type="dxa"/>
            </w:tcMar>
            <w:vAlign w:val="center"/>
          </w:tcPr>
          <w:p w14:paraId="0C4CB0F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066" w:type="dxa"/>
            <w:shd w:val="clear" w:color="auto" w:fill="auto"/>
            <w:tcMar>
              <w:top w:w="15" w:type="dxa"/>
              <w:left w:w="15" w:type="dxa"/>
              <w:right w:w="15" w:type="dxa"/>
            </w:tcMar>
            <w:vAlign w:val="center"/>
          </w:tcPr>
          <w:p w14:paraId="43A8ECB1">
            <w:pPr>
              <w:keepNext w:val="0"/>
              <w:keepLines w:val="0"/>
              <w:widowControl/>
              <w:suppressLineNumbers w:val="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i w:val="0"/>
                <w:iCs w:val="0"/>
                <w:color w:val="000000"/>
                <w:kern w:val="0"/>
                <w:sz w:val="21"/>
                <w:szCs w:val="21"/>
                <w:u w:val="none"/>
                <w:lang w:val="en-US" w:eastAsia="zh-CN" w:bidi="ar"/>
              </w:rPr>
              <w:t>2.5</w:t>
            </w:r>
          </w:p>
        </w:tc>
      </w:tr>
      <w:tr w14:paraId="4005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7D9BB980">
            <w:pPr>
              <w:jc w:val="center"/>
              <w:rPr>
                <w:rFonts w:hint="default" w:ascii="Times New Roman" w:hAnsi="Times New Roman" w:eastAsia="仿宋_GB2312" w:cs="Times New Roman"/>
                <w:b/>
                <w:color w:val="000000"/>
                <w:sz w:val="21"/>
                <w:szCs w:val="21"/>
              </w:rPr>
            </w:pPr>
          </w:p>
        </w:tc>
        <w:tc>
          <w:tcPr>
            <w:tcW w:w="4578" w:type="dxa"/>
            <w:shd w:val="clear" w:color="auto" w:fill="auto"/>
            <w:tcMar>
              <w:top w:w="15" w:type="dxa"/>
              <w:left w:w="15" w:type="dxa"/>
              <w:right w:w="15" w:type="dxa"/>
            </w:tcMar>
            <w:vAlign w:val="center"/>
          </w:tcPr>
          <w:p w14:paraId="1D77793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建设项目验收合格率</w:t>
            </w:r>
          </w:p>
        </w:tc>
        <w:tc>
          <w:tcPr>
            <w:tcW w:w="1104" w:type="dxa"/>
            <w:shd w:val="clear" w:color="auto" w:fill="auto"/>
            <w:tcMar>
              <w:top w:w="15" w:type="dxa"/>
              <w:left w:w="15" w:type="dxa"/>
              <w:right w:w="15" w:type="dxa"/>
            </w:tcMar>
            <w:vAlign w:val="center"/>
          </w:tcPr>
          <w:p w14:paraId="50F434FF">
            <w:pPr>
              <w:keepNext w:val="0"/>
              <w:keepLines w:val="0"/>
              <w:widowControl/>
              <w:suppressLineNumbers w:val="0"/>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999" w:type="dxa"/>
            <w:shd w:val="clear" w:color="auto" w:fill="auto"/>
            <w:tcMar>
              <w:top w:w="15" w:type="dxa"/>
              <w:left w:w="15" w:type="dxa"/>
              <w:right w:w="15" w:type="dxa"/>
            </w:tcMar>
            <w:vAlign w:val="center"/>
          </w:tcPr>
          <w:p w14:paraId="42107F4D">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2.5</w:t>
            </w:r>
          </w:p>
        </w:tc>
      </w:tr>
      <w:tr w14:paraId="2EA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7095D066">
            <w:pPr>
              <w:jc w:val="center"/>
              <w:rPr>
                <w:rFonts w:hint="default" w:ascii="Times New Roman" w:hAnsi="Times New Roman" w:eastAsia="仿宋_GB2312" w:cs="Times New Roman"/>
                <w:b/>
                <w:color w:val="000000"/>
                <w:kern w:val="0"/>
                <w:sz w:val="21"/>
                <w:szCs w:val="21"/>
                <w:lang w:bidi="ar"/>
              </w:rPr>
            </w:pPr>
          </w:p>
        </w:tc>
        <w:tc>
          <w:tcPr>
            <w:tcW w:w="4578" w:type="dxa"/>
            <w:shd w:val="clear" w:color="auto" w:fill="auto"/>
            <w:tcMar>
              <w:top w:w="15" w:type="dxa"/>
              <w:left w:w="15" w:type="dxa"/>
              <w:right w:w="15" w:type="dxa"/>
            </w:tcMar>
            <w:vAlign w:val="center"/>
          </w:tcPr>
          <w:p w14:paraId="604A665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信息化系统运行稳定性</w:t>
            </w:r>
          </w:p>
        </w:tc>
        <w:tc>
          <w:tcPr>
            <w:tcW w:w="1104" w:type="dxa"/>
            <w:shd w:val="clear" w:color="auto" w:fill="auto"/>
            <w:tcMar>
              <w:top w:w="15" w:type="dxa"/>
              <w:left w:w="15" w:type="dxa"/>
              <w:right w:w="15" w:type="dxa"/>
            </w:tcMar>
            <w:vAlign w:val="center"/>
          </w:tcPr>
          <w:p w14:paraId="16701A5C">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999" w:type="dxa"/>
            <w:shd w:val="clear" w:color="auto" w:fill="auto"/>
            <w:tcMar>
              <w:top w:w="15" w:type="dxa"/>
              <w:left w:w="15" w:type="dxa"/>
              <w:right w:w="15" w:type="dxa"/>
            </w:tcMar>
            <w:vAlign w:val="center"/>
          </w:tcPr>
          <w:p w14:paraId="08F88F8F">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r>
      <w:tr w14:paraId="2853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06724199">
            <w:pPr>
              <w:jc w:val="center"/>
              <w:rPr>
                <w:rFonts w:hint="default" w:ascii="Times New Roman" w:hAnsi="Times New Roman" w:eastAsia="仿宋_GB2312" w:cs="Times New Roman"/>
                <w:b/>
                <w:color w:val="000000"/>
                <w:kern w:val="0"/>
                <w:sz w:val="21"/>
                <w:szCs w:val="21"/>
                <w:lang w:bidi="ar"/>
              </w:rPr>
            </w:pPr>
          </w:p>
        </w:tc>
        <w:tc>
          <w:tcPr>
            <w:tcW w:w="4578" w:type="dxa"/>
            <w:shd w:val="clear" w:color="auto" w:fill="auto"/>
            <w:tcMar>
              <w:top w:w="15" w:type="dxa"/>
              <w:left w:w="15" w:type="dxa"/>
              <w:right w:w="15" w:type="dxa"/>
            </w:tcMar>
            <w:vAlign w:val="center"/>
          </w:tcPr>
          <w:p w14:paraId="5255E15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数据资源管理情况</w:t>
            </w:r>
          </w:p>
        </w:tc>
        <w:tc>
          <w:tcPr>
            <w:tcW w:w="1104" w:type="dxa"/>
            <w:shd w:val="clear" w:color="auto" w:fill="auto"/>
            <w:tcMar>
              <w:top w:w="15" w:type="dxa"/>
              <w:left w:w="15" w:type="dxa"/>
              <w:right w:w="15" w:type="dxa"/>
            </w:tcMar>
            <w:vAlign w:val="center"/>
          </w:tcPr>
          <w:p w14:paraId="2E443214">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999" w:type="dxa"/>
            <w:shd w:val="clear" w:color="auto" w:fill="auto"/>
            <w:tcMar>
              <w:top w:w="15" w:type="dxa"/>
              <w:left w:w="15" w:type="dxa"/>
              <w:right w:w="15" w:type="dxa"/>
            </w:tcMar>
            <w:vAlign w:val="center"/>
          </w:tcPr>
          <w:p w14:paraId="0966A5C3">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2.5</w:t>
            </w:r>
          </w:p>
        </w:tc>
      </w:tr>
      <w:tr w14:paraId="452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681C7B6D">
            <w:pPr>
              <w:jc w:val="center"/>
              <w:rPr>
                <w:rFonts w:hint="default" w:ascii="Times New Roman" w:hAnsi="Times New Roman" w:eastAsia="仿宋_GB2312" w:cs="Times New Roman"/>
                <w:b/>
                <w:color w:val="000000"/>
                <w:kern w:val="0"/>
                <w:sz w:val="21"/>
                <w:szCs w:val="21"/>
                <w:lang w:bidi="ar"/>
              </w:rPr>
            </w:pPr>
          </w:p>
        </w:tc>
        <w:tc>
          <w:tcPr>
            <w:tcW w:w="4578" w:type="dxa"/>
            <w:shd w:val="clear" w:color="auto" w:fill="auto"/>
            <w:tcMar>
              <w:top w:w="15" w:type="dxa"/>
              <w:left w:w="15" w:type="dxa"/>
              <w:right w:w="15" w:type="dxa"/>
            </w:tcMar>
            <w:vAlign w:val="center"/>
          </w:tcPr>
          <w:p w14:paraId="2D69688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运维管理规范性</w:t>
            </w:r>
          </w:p>
        </w:tc>
        <w:tc>
          <w:tcPr>
            <w:tcW w:w="1104" w:type="dxa"/>
            <w:shd w:val="clear" w:color="auto" w:fill="auto"/>
            <w:tcMar>
              <w:top w:w="15" w:type="dxa"/>
              <w:left w:w="15" w:type="dxa"/>
              <w:right w:w="15" w:type="dxa"/>
            </w:tcMar>
            <w:vAlign w:val="center"/>
          </w:tcPr>
          <w:p w14:paraId="0809B727">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999" w:type="dxa"/>
            <w:shd w:val="clear" w:color="auto" w:fill="auto"/>
            <w:tcMar>
              <w:top w:w="15" w:type="dxa"/>
              <w:left w:w="15" w:type="dxa"/>
              <w:right w:w="15" w:type="dxa"/>
            </w:tcMar>
            <w:vAlign w:val="center"/>
          </w:tcPr>
          <w:p w14:paraId="49BC73B5">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w:t>
            </w:r>
          </w:p>
        </w:tc>
      </w:tr>
      <w:tr w14:paraId="5AD3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restart"/>
            <w:shd w:val="clear" w:color="auto" w:fill="auto"/>
            <w:tcMar>
              <w:top w:w="15" w:type="dxa"/>
              <w:left w:w="15" w:type="dxa"/>
              <w:right w:w="15" w:type="dxa"/>
            </w:tcMar>
            <w:vAlign w:val="center"/>
          </w:tcPr>
          <w:p w14:paraId="3B7DA16E">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产出时效</w:t>
            </w:r>
          </w:p>
        </w:tc>
        <w:tc>
          <w:tcPr>
            <w:tcW w:w="4578" w:type="dxa"/>
            <w:shd w:val="clear" w:color="auto" w:fill="auto"/>
            <w:tcMar>
              <w:top w:w="15" w:type="dxa"/>
              <w:left w:w="15" w:type="dxa"/>
              <w:right w:w="15" w:type="dxa"/>
            </w:tcMar>
            <w:vAlign w:val="center"/>
          </w:tcPr>
          <w:p w14:paraId="023FC48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项目完成及时性</w:t>
            </w:r>
          </w:p>
        </w:tc>
        <w:tc>
          <w:tcPr>
            <w:tcW w:w="1104" w:type="dxa"/>
            <w:shd w:val="clear" w:color="auto" w:fill="auto"/>
            <w:tcMar>
              <w:top w:w="15" w:type="dxa"/>
              <w:left w:w="15" w:type="dxa"/>
              <w:right w:w="15" w:type="dxa"/>
            </w:tcMar>
            <w:vAlign w:val="center"/>
          </w:tcPr>
          <w:p w14:paraId="31D4A0C8">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99" w:type="dxa"/>
            <w:shd w:val="clear" w:color="auto" w:fill="auto"/>
            <w:tcMar>
              <w:top w:w="15" w:type="dxa"/>
              <w:left w:w="15" w:type="dxa"/>
              <w:right w:w="15" w:type="dxa"/>
            </w:tcMar>
            <w:vAlign w:val="center"/>
          </w:tcPr>
          <w:p w14:paraId="29C4A43E">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1.4</w:t>
            </w:r>
          </w:p>
        </w:tc>
      </w:tr>
      <w:tr w14:paraId="6625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5C074377">
            <w:pPr>
              <w:jc w:val="center"/>
              <w:rPr>
                <w:rFonts w:hint="default" w:ascii="Times New Roman" w:hAnsi="Times New Roman" w:eastAsia="仿宋_GB2312" w:cs="Times New Roman"/>
                <w:b/>
                <w:color w:val="000000"/>
                <w:kern w:val="0"/>
                <w:sz w:val="21"/>
                <w:szCs w:val="21"/>
                <w:lang w:bidi="ar"/>
              </w:rPr>
            </w:pPr>
          </w:p>
        </w:tc>
        <w:tc>
          <w:tcPr>
            <w:tcW w:w="4578" w:type="dxa"/>
            <w:shd w:val="clear" w:color="auto" w:fill="auto"/>
            <w:tcMar>
              <w:top w:w="15" w:type="dxa"/>
              <w:left w:w="15" w:type="dxa"/>
              <w:right w:w="15" w:type="dxa"/>
            </w:tcMar>
            <w:vAlign w:val="center"/>
          </w:tcPr>
          <w:p w14:paraId="7AD24C9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验收及时性</w:t>
            </w:r>
          </w:p>
        </w:tc>
        <w:tc>
          <w:tcPr>
            <w:tcW w:w="1104" w:type="dxa"/>
            <w:shd w:val="clear" w:color="auto" w:fill="auto"/>
            <w:tcMar>
              <w:top w:w="15" w:type="dxa"/>
              <w:left w:w="15" w:type="dxa"/>
              <w:right w:w="15" w:type="dxa"/>
            </w:tcMar>
            <w:vAlign w:val="center"/>
          </w:tcPr>
          <w:p w14:paraId="56E56D57">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99" w:type="dxa"/>
            <w:shd w:val="clear" w:color="auto" w:fill="auto"/>
            <w:tcMar>
              <w:top w:w="15" w:type="dxa"/>
              <w:left w:w="15" w:type="dxa"/>
              <w:right w:w="15" w:type="dxa"/>
            </w:tcMar>
            <w:vAlign w:val="center"/>
          </w:tcPr>
          <w:p w14:paraId="34EBF2BA">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1.6</w:t>
            </w:r>
          </w:p>
        </w:tc>
      </w:tr>
      <w:tr w14:paraId="703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vMerge w:val="continue"/>
            <w:shd w:val="clear" w:color="auto" w:fill="auto"/>
            <w:tcMar>
              <w:top w:w="15" w:type="dxa"/>
              <w:left w:w="15" w:type="dxa"/>
              <w:right w:w="15" w:type="dxa"/>
            </w:tcMar>
            <w:vAlign w:val="center"/>
          </w:tcPr>
          <w:p w14:paraId="638AB7E4">
            <w:pPr>
              <w:jc w:val="center"/>
              <w:rPr>
                <w:rFonts w:hint="default" w:ascii="Times New Roman" w:hAnsi="Times New Roman" w:eastAsia="仿宋_GB2312" w:cs="Times New Roman"/>
                <w:b/>
                <w:color w:val="000000"/>
                <w:kern w:val="0"/>
                <w:sz w:val="21"/>
                <w:szCs w:val="21"/>
                <w:lang w:bidi="ar"/>
              </w:rPr>
            </w:pPr>
          </w:p>
        </w:tc>
        <w:tc>
          <w:tcPr>
            <w:tcW w:w="4578" w:type="dxa"/>
            <w:shd w:val="clear" w:color="auto" w:fill="auto"/>
            <w:tcMar>
              <w:top w:w="15" w:type="dxa"/>
              <w:left w:w="15" w:type="dxa"/>
              <w:right w:w="15" w:type="dxa"/>
            </w:tcMar>
            <w:vAlign w:val="center"/>
          </w:tcPr>
          <w:p w14:paraId="1F8AA91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运维报告提交及时性</w:t>
            </w:r>
          </w:p>
        </w:tc>
        <w:tc>
          <w:tcPr>
            <w:tcW w:w="1104" w:type="dxa"/>
            <w:shd w:val="clear" w:color="auto" w:fill="auto"/>
            <w:tcMar>
              <w:top w:w="15" w:type="dxa"/>
              <w:left w:w="15" w:type="dxa"/>
              <w:right w:w="15" w:type="dxa"/>
            </w:tcMar>
            <w:vAlign w:val="center"/>
          </w:tcPr>
          <w:p w14:paraId="33009630">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99" w:type="dxa"/>
            <w:shd w:val="clear" w:color="auto" w:fill="auto"/>
            <w:tcMar>
              <w:top w:w="15" w:type="dxa"/>
              <w:left w:w="15" w:type="dxa"/>
              <w:right w:w="15" w:type="dxa"/>
            </w:tcMar>
            <w:vAlign w:val="center"/>
          </w:tcPr>
          <w:p w14:paraId="1F7DD83A">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1.8</w:t>
            </w:r>
          </w:p>
        </w:tc>
      </w:tr>
      <w:tr w14:paraId="69EA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653" w:type="dxa"/>
            <w:shd w:val="clear" w:color="auto" w:fill="auto"/>
            <w:tcMar>
              <w:top w:w="15" w:type="dxa"/>
              <w:left w:w="15" w:type="dxa"/>
              <w:right w:w="15" w:type="dxa"/>
            </w:tcMar>
            <w:vAlign w:val="center"/>
          </w:tcPr>
          <w:p w14:paraId="4BD1F167">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产出成本</w:t>
            </w:r>
          </w:p>
        </w:tc>
        <w:tc>
          <w:tcPr>
            <w:tcW w:w="4578" w:type="dxa"/>
            <w:shd w:val="clear" w:color="auto" w:fill="auto"/>
            <w:tcMar>
              <w:top w:w="15" w:type="dxa"/>
              <w:left w:w="15" w:type="dxa"/>
              <w:right w:w="15" w:type="dxa"/>
            </w:tcMar>
            <w:vAlign w:val="center"/>
          </w:tcPr>
          <w:p w14:paraId="415E960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资金节约率</w:t>
            </w:r>
          </w:p>
        </w:tc>
        <w:tc>
          <w:tcPr>
            <w:tcW w:w="1104" w:type="dxa"/>
            <w:shd w:val="clear" w:color="auto" w:fill="auto"/>
            <w:tcMar>
              <w:top w:w="15" w:type="dxa"/>
              <w:left w:w="15" w:type="dxa"/>
              <w:right w:w="15" w:type="dxa"/>
            </w:tcMar>
            <w:vAlign w:val="center"/>
          </w:tcPr>
          <w:p w14:paraId="3FB937F1">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999" w:type="dxa"/>
            <w:shd w:val="clear" w:color="auto" w:fill="auto"/>
            <w:tcMar>
              <w:top w:w="15" w:type="dxa"/>
              <w:left w:w="15" w:type="dxa"/>
              <w:right w:w="15" w:type="dxa"/>
            </w:tcMar>
            <w:vAlign w:val="center"/>
          </w:tcPr>
          <w:p w14:paraId="21142F06">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r>
      <w:tr w14:paraId="5F3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6231" w:type="dxa"/>
            <w:gridSpan w:val="2"/>
            <w:shd w:val="clear" w:color="auto" w:fill="auto"/>
            <w:tcMar>
              <w:top w:w="15" w:type="dxa"/>
              <w:left w:w="15" w:type="dxa"/>
              <w:right w:w="15" w:type="dxa"/>
            </w:tcMar>
            <w:vAlign w:val="center"/>
          </w:tcPr>
          <w:p w14:paraId="69E7F9F0">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合计</w:t>
            </w:r>
          </w:p>
        </w:tc>
        <w:tc>
          <w:tcPr>
            <w:tcW w:w="1104" w:type="dxa"/>
            <w:shd w:val="clear" w:color="auto" w:fill="auto"/>
            <w:tcMar>
              <w:top w:w="15" w:type="dxa"/>
              <w:left w:w="15" w:type="dxa"/>
              <w:right w:w="15" w:type="dxa"/>
            </w:tcMar>
            <w:vAlign w:val="center"/>
          </w:tcPr>
          <w:p w14:paraId="18C75235">
            <w:pPr>
              <w:keepNext w:val="0"/>
              <w:keepLines w:val="0"/>
              <w:widowControl/>
              <w:suppressLineNumbers w:val="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40</w:t>
            </w:r>
          </w:p>
        </w:tc>
        <w:tc>
          <w:tcPr>
            <w:tcW w:w="999" w:type="dxa"/>
            <w:shd w:val="clear" w:color="auto" w:fill="auto"/>
            <w:tcMar>
              <w:top w:w="15" w:type="dxa"/>
              <w:left w:w="15" w:type="dxa"/>
              <w:right w:w="15" w:type="dxa"/>
            </w:tcMar>
            <w:vAlign w:val="center"/>
          </w:tcPr>
          <w:p w14:paraId="210DAFB3">
            <w:pPr>
              <w:keepNext w:val="0"/>
              <w:keepLines w:val="0"/>
              <w:widowControl/>
              <w:suppressLineNumbers w:val="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bCs/>
                <w:i w:val="0"/>
                <w:iCs w:val="0"/>
                <w:color w:val="000000"/>
                <w:kern w:val="0"/>
                <w:sz w:val="21"/>
                <w:szCs w:val="21"/>
                <w:u w:val="none"/>
                <w:lang w:val="en-US" w:eastAsia="zh-CN" w:bidi="ar"/>
              </w:rPr>
              <w:t>31.2</w:t>
            </w:r>
          </w:p>
        </w:tc>
      </w:tr>
    </w:tbl>
    <w:p w14:paraId="192EA64D">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default" w:ascii="Times New Roman" w:hAnsi="Times New Roman" w:cs="Times New Roman"/>
          <w:szCs w:val="32"/>
          <w:highlight w:val="none"/>
          <w:lang w:val="en-US" w:eastAsia="zh-CN"/>
        </w:rPr>
      </w:pPr>
      <w:bookmarkStart w:id="133" w:name="_Toc18575"/>
      <w:bookmarkStart w:id="134" w:name="_Toc2392"/>
      <w:bookmarkStart w:id="135" w:name="_Toc30953"/>
      <w:bookmarkStart w:id="136" w:name="_Toc13400"/>
      <w:bookmarkStart w:id="137" w:name="_Toc1314"/>
      <w:r>
        <w:rPr>
          <w:rFonts w:hint="default" w:ascii="Times New Roman" w:hAnsi="Times New Roman" w:cs="Times New Roman"/>
          <w:szCs w:val="32"/>
          <w:highlight w:val="none"/>
          <w:lang w:eastAsia="zh-CN"/>
        </w:rPr>
        <w:t>（四）项目效益</w:t>
      </w:r>
      <w:bookmarkEnd w:id="131"/>
      <w:bookmarkEnd w:id="132"/>
      <w:r>
        <w:rPr>
          <w:rFonts w:hint="default" w:ascii="Times New Roman" w:hAnsi="Times New Roman" w:cs="Times New Roman"/>
          <w:szCs w:val="32"/>
          <w:highlight w:val="none"/>
          <w:lang w:val="en-US" w:eastAsia="zh-CN"/>
        </w:rPr>
        <w:t>情况</w:t>
      </w:r>
      <w:bookmarkEnd w:id="133"/>
      <w:bookmarkEnd w:id="134"/>
      <w:bookmarkEnd w:id="135"/>
      <w:bookmarkEnd w:id="136"/>
      <w:bookmarkEnd w:id="137"/>
    </w:p>
    <w:p w14:paraId="63A88C3F">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hint="default" w:ascii="Times New Roman" w:hAnsi="Times New Roman" w:eastAsia="仿宋_GB2312"/>
          <w:kern w:val="0"/>
          <w:sz w:val="32"/>
          <w:szCs w:val="32"/>
          <w:lang w:val="en-US" w:bidi="zh-CN"/>
        </w:rPr>
      </w:pPr>
      <w:r>
        <w:rPr>
          <w:rFonts w:ascii="Times New Roman" w:hAnsi="Times New Roman" w:eastAsia="仿宋_GB2312"/>
          <w:b/>
          <w:bCs/>
          <w:kern w:val="0"/>
          <w:sz w:val="32"/>
          <w:szCs w:val="32"/>
          <w:lang w:bidi="zh-CN"/>
        </w:rPr>
        <w:t>1.</w:t>
      </w:r>
      <w:r>
        <w:rPr>
          <w:rFonts w:hint="eastAsia" w:ascii="Times New Roman" w:hAnsi="Times New Roman" w:eastAsia="仿宋_GB2312"/>
          <w:b/>
          <w:bCs/>
          <w:kern w:val="0"/>
          <w:sz w:val="32"/>
          <w:szCs w:val="32"/>
          <w:lang w:val="en-US" w:bidi="zh-CN"/>
        </w:rPr>
        <w:t>信息化系统可用性</w:t>
      </w:r>
      <w:r>
        <w:rPr>
          <w:rFonts w:ascii="Times New Roman" w:hAnsi="Times New Roman" w:eastAsia="仿宋_GB2312"/>
          <w:b/>
          <w:bCs/>
          <w:kern w:val="0"/>
          <w:sz w:val="32"/>
          <w:szCs w:val="32"/>
          <w:lang w:bidi="zh-CN"/>
        </w:rPr>
        <w:t>。</w:t>
      </w:r>
      <w:r>
        <w:rPr>
          <w:rFonts w:hint="eastAsia" w:ascii="Times New Roman" w:hAnsi="Times New Roman" w:eastAsia="仿宋_GB2312"/>
          <w:b w:val="0"/>
          <w:bCs w:val="0"/>
          <w:kern w:val="0"/>
          <w:sz w:val="32"/>
          <w:szCs w:val="32"/>
          <w:highlight w:val="none"/>
          <w:lang w:val="en-US" w:bidi="zh-CN"/>
        </w:rPr>
        <w:t>永州市政府门户网站运维、永州智慧政协（二期）项目、雪亮工程项目、华为云计算服务项目、智慧永州综合应用及电子政务公共平台、“湘易办”等全年均能正常运行，有系统管理人员负责后台运行维护。根据市行政审批局提供的运维报告，未发生出现部分部件失效、影响系统正常运行，或网络丢包严重或延迟较大，影响正常业务运作等严重问题，系统各阶段内运行良好。但存在以下问题，</w:t>
      </w:r>
      <w:r>
        <w:rPr>
          <w:rFonts w:hint="eastAsia" w:ascii="Times New Roman" w:hAnsi="Times New Roman" w:eastAsia="仿宋_GB2312"/>
          <w:b w:val="0"/>
          <w:bCs w:val="0"/>
          <w:kern w:val="0"/>
          <w:sz w:val="32"/>
          <w:szCs w:val="32"/>
          <w:lang w:val="en-US" w:bidi="zh-CN"/>
        </w:rPr>
        <w:t>一是存在个别信息化系统以及部分系统模块使用率较低的情况，如，永州智慧政协（二期）项目系统使用率低，2023年12月用户登录次数仅6次，政协履职质量评价体系模块因无考核需求已弃用；智慧永州项目部分模块业务数据产生量为0，使用率低。二是信息化系统使用率较低。评价组通过统计分析智慧永州综合应用电子政务公共平台业务数据增长情况，发现存在个别模块业务数据量连续增长为0，无使用需求，如社会治理系统部分数据项2023年度业务数据增长量低于10%，联动事件系统-社会服务类2023年度较2022年度业务数据量增长率为7.47%，公共服务类系统中宁远县与蓝山县2023年度较2022年度业务数据量增长率分别为7.07%、0.09%。</w:t>
      </w:r>
    </w:p>
    <w:p w14:paraId="122723C6">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rPr>
          <w:rFonts w:ascii="Times New Roman" w:hAnsi="Times New Roman" w:eastAsia="仿宋_GB2312"/>
          <w:kern w:val="0"/>
          <w:sz w:val="32"/>
          <w:szCs w:val="32"/>
          <w:lang w:bidi="zh-CN"/>
        </w:rPr>
      </w:pPr>
      <w:r>
        <w:rPr>
          <w:rFonts w:ascii="Times New Roman" w:hAnsi="Times New Roman" w:eastAsia="仿宋_GB2312"/>
          <w:b/>
          <w:bCs/>
          <w:kern w:val="0"/>
          <w:sz w:val="32"/>
          <w:szCs w:val="32"/>
          <w:lang w:bidi="zh-CN"/>
        </w:rPr>
        <w:t>2.</w:t>
      </w:r>
      <w:r>
        <w:rPr>
          <w:rFonts w:hint="eastAsia" w:ascii="Times New Roman" w:hAnsi="Times New Roman" w:eastAsia="仿宋_GB2312"/>
          <w:b/>
          <w:bCs/>
          <w:kern w:val="0"/>
          <w:sz w:val="32"/>
          <w:szCs w:val="32"/>
          <w:lang w:bidi="zh-CN"/>
        </w:rPr>
        <w:t>社会安全保障能力</w:t>
      </w:r>
      <w:r>
        <w:rPr>
          <w:rFonts w:ascii="Times New Roman" w:hAnsi="Times New Roman" w:eastAsia="仿宋_GB2312"/>
          <w:b/>
          <w:bCs/>
          <w:kern w:val="0"/>
          <w:sz w:val="32"/>
          <w:szCs w:val="32"/>
          <w:lang w:bidi="zh-CN"/>
        </w:rPr>
        <w:t>。</w:t>
      </w:r>
      <w:r>
        <w:rPr>
          <w:rFonts w:hint="eastAsia" w:ascii="Times New Roman" w:hAnsi="Times New Roman" w:eastAsia="仿宋_GB2312"/>
          <w:b w:val="0"/>
          <w:bCs w:val="0"/>
          <w:kern w:val="0"/>
          <w:sz w:val="32"/>
          <w:szCs w:val="32"/>
          <w:lang w:val="en-US" w:bidi="zh-CN"/>
        </w:rPr>
        <w:t>2023年度永州市利用视频监控破解刑事案件1329起，处理治安事件2264起，处理交通事务1391起，抓获犯罪嫌疑人2453人，抓获在逃人员1096人，寻找走失人口及为社会群众提供服务5977次。强化了信息监控，提高社会管控能力，智慧永州项目建设截至2024年4月针对特殊人群走访服务共325322次，分别是完成刑满释放人员服务记录48992次、社区矫正人员服务记录20995次、易肇事肇祸严重精神病人员服务记录19672次、吸毒人员服务记录235663次。发现上报125489件矛盾纠纷调解线索，调解办结124379件。</w:t>
      </w:r>
    </w:p>
    <w:p w14:paraId="61C4A996">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jc w:val="both"/>
        <w:textAlignment w:val="auto"/>
        <w:rPr>
          <w:rFonts w:hint="default" w:ascii="Times New Roman" w:hAnsi="Times New Roman" w:eastAsia="仿宋_GB2312"/>
          <w:b/>
          <w:bCs/>
          <w:kern w:val="0"/>
          <w:sz w:val="32"/>
          <w:szCs w:val="32"/>
          <w:lang w:val="en-US" w:bidi="zh-CN"/>
        </w:rPr>
      </w:pPr>
      <w:r>
        <w:rPr>
          <w:rFonts w:hint="eastAsia" w:ascii="Times New Roman" w:hAnsi="Times New Roman"/>
          <w:b/>
          <w:bCs/>
          <w:kern w:val="0"/>
          <w:sz w:val="32"/>
          <w:szCs w:val="32"/>
          <w:lang w:val="en-US" w:bidi="zh-CN"/>
        </w:rPr>
        <w:t>3.社会治理精细化。</w:t>
      </w:r>
      <w:r>
        <w:rPr>
          <w:rFonts w:hint="eastAsia" w:ascii="Times New Roman" w:hAnsi="Times New Roman" w:eastAsia="仿宋_GB2312"/>
          <w:kern w:val="0"/>
          <w:sz w:val="32"/>
          <w:szCs w:val="32"/>
          <w:lang w:bidi="zh-CN"/>
        </w:rPr>
        <w:t>实现全市573万人口、216万户实有房屋、2.3万个综治机构队伍、5.2万特殊人群、2.1万个两新组织等综治数据“一网统管”；基层公共服务覆盖全市3305个村居社区，自运行以来共办理便民服务事项7934613件；整合12345等各类公共服务热线、政府网站、市长信箱、网络问政平台、微信、手机APP、基层网格、数字城管等社情民意接报渠道，按照“六步闭环”工作程序，对基层和群众的咨询、求助、投诉举报等事项建立“一口受理、联动办结”的联动处置工作机制。</w:t>
      </w:r>
      <w:r>
        <w:rPr>
          <w:rFonts w:hint="eastAsia" w:ascii="Times New Roman" w:hAnsi="Times New Roman"/>
          <w:kern w:val="0"/>
          <w:sz w:val="32"/>
          <w:szCs w:val="32"/>
          <w:lang w:bidi="zh-CN"/>
        </w:rPr>
        <w:t>截至目前</w:t>
      </w:r>
      <w:r>
        <w:rPr>
          <w:rFonts w:hint="eastAsia" w:ascii="Times New Roman" w:hAnsi="Times New Roman" w:eastAsia="仿宋_GB2312"/>
          <w:kern w:val="0"/>
          <w:sz w:val="32"/>
          <w:szCs w:val="32"/>
          <w:lang w:bidi="zh-CN"/>
        </w:rPr>
        <w:t>共办理3132543件；数字城管自系统运行以来共受理案件59.9万件，结案59.5万件，办结率99</w:t>
      </w:r>
      <w:r>
        <w:rPr>
          <w:rFonts w:hint="eastAsia" w:ascii="Times New Roman" w:hAnsi="Times New Roman"/>
          <w:kern w:val="0"/>
          <w:sz w:val="32"/>
          <w:szCs w:val="32"/>
          <w:lang w:val="en-US" w:bidi="zh-CN"/>
        </w:rPr>
        <w:t>.33</w:t>
      </w:r>
      <w:r>
        <w:rPr>
          <w:rFonts w:hint="eastAsia" w:ascii="Times New Roman" w:hAnsi="Times New Roman" w:eastAsia="仿宋_GB2312"/>
          <w:kern w:val="0"/>
          <w:sz w:val="32"/>
          <w:szCs w:val="32"/>
          <w:lang w:bidi="zh-CN"/>
        </w:rPr>
        <w:t>%。</w:t>
      </w:r>
    </w:p>
    <w:p w14:paraId="4CE2F3E9">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jc w:val="both"/>
        <w:textAlignment w:val="auto"/>
        <w:rPr>
          <w:rFonts w:hint="default" w:ascii="Times New Roman" w:hAnsi="Times New Roman" w:cs="Times New Roman"/>
          <w:szCs w:val="32"/>
          <w:lang w:bidi="en-US"/>
        </w:rPr>
      </w:pPr>
      <w:r>
        <w:rPr>
          <w:rFonts w:hint="eastAsia" w:ascii="Times New Roman" w:hAnsi="Times New Roman"/>
          <w:b/>
          <w:bCs/>
          <w:kern w:val="0"/>
          <w:sz w:val="32"/>
          <w:szCs w:val="32"/>
          <w:lang w:val="en-US" w:bidi="zh-CN"/>
        </w:rPr>
        <w:t>4.信息整合及数据共享。</w:t>
      </w:r>
      <w:r>
        <w:rPr>
          <w:rFonts w:hint="eastAsia" w:ascii="Times New Roman" w:hAnsi="Times New Roman"/>
          <w:b w:val="0"/>
          <w:bCs w:val="0"/>
          <w:kern w:val="0"/>
          <w:sz w:val="32"/>
          <w:szCs w:val="32"/>
          <w:lang w:val="en-US" w:bidi="zh-CN"/>
        </w:rPr>
        <w:t>通过智慧永州综合应用及电子政务公共平台建设，永州市政务数据资源体系建设和共享应用取得初步突破，大数据支撑“放管服”改革作用更加凸显；建设完善了人口、法人、空间地理、经济信息、房产房屋、城市部件等6大基础数据库，完成了71个系统的数据归集对接，建立了政务信息共享交换平台和政府数据开放平台，初步形成了统一高效、互联互通、安全可靠的数据资源体系。实施“湘易办”旗舰店建设及推广应用项目，推动政务服务从政府部门供给导向向企业和群众需求导向转变，打破事项办理的属地限制，依托创新AI+政务服务系统和</w:t>
      </w:r>
      <w:r>
        <w:rPr>
          <w:rFonts w:hint="eastAsia" w:ascii="Times New Roman" w:hAnsi="Times New Roman"/>
          <w:b w:val="0"/>
          <w:bCs w:val="0"/>
          <w:kern w:val="0"/>
          <w:sz w:val="32"/>
          <w:szCs w:val="32"/>
          <w:highlight w:val="none"/>
          <w:lang w:val="en-US" w:bidi="zh-CN"/>
        </w:rPr>
        <w:t>永州</w:t>
      </w:r>
      <w:r>
        <w:rPr>
          <w:rFonts w:hint="eastAsia" w:ascii="Times New Roman" w:hAnsi="Times New Roman"/>
          <w:b w:val="0"/>
          <w:bCs w:val="0"/>
          <w:kern w:val="0"/>
          <w:sz w:val="32"/>
          <w:szCs w:val="32"/>
          <w:lang w:val="en-US" w:bidi="zh-CN"/>
        </w:rPr>
        <w:t>全市各级政务服务机构，强化数字政府改革建设支撑，打通业务链条和数据共享堵点，推进政务服务事项“全程智能无人干预秒批秒办”“跨省通办、省内通办”，建设人民满意的服务型政府。但数据共享仍旧存在信息延迟、数据丢失、信息覆盖面不全，共享情况难以监测等情况，如智慧永州项目为了推进数据共享，目前冷水滩区、道县、祁阳市、新田县等9个区县通过数据拷贝形式共享，数据更新及时性、准确性均有待提高，且行政审批局依托现有资源难以监测系统各模块数据资源更新是否及时。</w:t>
      </w:r>
    </w:p>
    <w:p w14:paraId="5DAB5CB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en-US"/>
        </w:rPr>
        <w:t>项目效益指标由</w:t>
      </w:r>
      <w:r>
        <w:rPr>
          <w:rFonts w:hint="default" w:ascii="Times New Roman" w:hAnsi="Times New Roman" w:eastAsia="仿宋_GB2312" w:cs="Times New Roman"/>
          <w:sz w:val="32"/>
          <w:szCs w:val="32"/>
          <w:lang w:val="en-US" w:eastAsia="zh-CN" w:bidi="en-US"/>
        </w:rPr>
        <w:t>2</w:t>
      </w:r>
      <w:r>
        <w:rPr>
          <w:rFonts w:hint="default" w:ascii="Times New Roman" w:hAnsi="Times New Roman" w:eastAsia="仿宋_GB2312" w:cs="Times New Roman"/>
          <w:sz w:val="32"/>
          <w:szCs w:val="32"/>
          <w:lang w:bidi="en-US"/>
        </w:rPr>
        <w:t>个二级指标，</w:t>
      </w:r>
      <w:r>
        <w:rPr>
          <w:rFonts w:hint="eastAsia" w:ascii="Times New Roman" w:hAnsi="Times New Roman" w:eastAsia="仿宋_GB2312" w:cs="Times New Roman"/>
          <w:sz w:val="32"/>
          <w:szCs w:val="32"/>
          <w:lang w:val="en-US" w:eastAsia="zh-CN" w:bidi="en-US"/>
        </w:rPr>
        <w:t>5</w:t>
      </w:r>
      <w:r>
        <w:rPr>
          <w:rFonts w:hint="default" w:ascii="Times New Roman" w:hAnsi="Times New Roman" w:eastAsia="仿宋_GB2312" w:cs="Times New Roman"/>
          <w:sz w:val="32"/>
          <w:szCs w:val="32"/>
          <w:lang w:bidi="en-US"/>
        </w:rPr>
        <w:t>个三级指标构成，权重分</w:t>
      </w:r>
      <w:r>
        <w:rPr>
          <w:rFonts w:hint="eastAsia" w:ascii="Times New Roman" w:hAnsi="Times New Roman" w:eastAsia="仿宋_GB2312" w:cs="Times New Roman"/>
          <w:sz w:val="32"/>
          <w:szCs w:val="32"/>
          <w:lang w:val="en-US" w:eastAsia="zh-CN" w:bidi="en-US"/>
        </w:rPr>
        <w:t>30</w:t>
      </w:r>
      <w:r>
        <w:rPr>
          <w:rFonts w:hint="default" w:ascii="Times New Roman" w:hAnsi="Times New Roman" w:eastAsia="仿宋_GB2312" w:cs="Times New Roman"/>
          <w:sz w:val="32"/>
          <w:szCs w:val="32"/>
          <w:lang w:bidi="en-US"/>
        </w:rPr>
        <w:t>分，实际得分</w:t>
      </w:r>
      <w:r>
        <w:rPr>
          <w:rFonts w:hint="default" w:ascii="Times New Roman" w:hAnsi="Times New Roman" w:eastAsia="仿宋_GB2312" w:cs="Times New Roman"/>
          <w:sz w:val="32"/>
          <w:szCs w:val="32"/>
          <w:lang w:val="en-US" w:eastAsia="zh-CN" w:bidi="en-US"/>
        </w:rPr>
        <w:t>2</w:t>
      </w:r>
      <w:r>
        <w:rPr>
          <w:rFonts w:hint="eastAsia" w:ascii="Times New Roman" w:hAnsi="Times New Roman" w:eastAsia="仿宋_GB2312" w:cs="Times New Roman"/>
          <w:sz w:val="32"/>
          <w:szCs w:val="32"/>
          <w:lang w:val="en-US" w:eastAsia="zh-CN" w:bidi="en-US"/>
        </w:rPr>
        <w:t>6.44</w:t>
      </w:r>
      <w:r>
        <w:rPr>
          <w:rFonts w:hint="default" w:ascii="Times New Roman" w:hAnsi="Times New Roman" w:eastAsia="仿宋_GB2312" w:cs="Times New Roman"/>
          <w:sz w:val="32"/>
          <w:szCs w:val="32"/>
          <w:lang w:bidi="en-US"/>
        </w:rPr>
        <w:t>分。各指标业绩值和绩效分值如表4-4所示：</w:t>
      </w:r>
    </w:p>
    <w:p w14:paraId="45E2FFD4">
      <w:pPr>
        <w:pStyle w:val="11"/>
        <w:pageBreakBefore w:val="0"/>
        <w:wordWrap/>
        <w:topLinePunct w:val="0"/>
        <w:autoSpaceDE/>
        <w:autoSpaceDN/>
        <w:bidi w:val="0"/>
        <w:adjustRightInd w:val="0"/>
        <w:snapToGrid w:val="0"/>
        <w:ind w:left="0" w:leftChars="0" w:right="0" w:firstLine="0" w:firstLineChars="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表4-4项目绩效类指标体系表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7"/>
        <w:gridCol w:w="4371"/>
        <w:gridCol w:w="1065"/>
        <w:gridCol w:w="870"/>
      </w:tblGrid>
      <w:tr w14:paraId="1654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shd w:val="clear" w:color="auto" w:fill="D7D7D7" w:themeFill="background1" w:themeFillShade="D8"/>
            <w:tcMar>
              <w:top w:w="15" w:type="dxa"/>
              <w:left w:w="15" w:type="dxa"/>
              <w:right w:w="15" w:type="dxa"/>
            </w:tcMar>
            <w:vAlign w:val="center"/>
          </w:tcPr>
          <w:p w14:paraId="1398CF9B">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color w:val="000000"/>
                <w:kern w:val="0"/>
                <w:sz w:val="21"/>
                <w:szCs w:val="21"/>
                <w:lang w:bidi="ar"/>
              </w:rPr>
              <w:t>二级指标</w:t>
            </w:r>
          </w:p>
        </w:tc>
        <w:tc>
          <w:tcPr>
            <w:tcW w:w="2622" w:type="pct"/>
            <w:shd w:val="clear" w:color="auto" w:fill="D7D7D7" w:themeFill="background1" w:themeFillShade="D8"/>
            <w:tcMar>
              <w:top w:w="15" w:type="dxa"/>
              <w:left w:w="15" w:type="dxa"/>
              <w:right w:w="15" w:type="dxa"/>
            </w:tcMar>
            <w:vAlign w:val="center"/>
          </w:tcPr>
          <w:p w14:paraId="021CE073">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color w:val="000000"/>
                <w:kern w:val="0"/>
                <w:sz w:val="21"/>
                <w:szCs w:val="21"/>
                <w:lang w:bidi="ar"/>
              </w:rPr>
              <w:t>三级指标</w:t>
            </w:r>
          </w:p>
        </w:tc>
        <w:tc>
          <w:tcPr>
            <w:tcW w:w="639" w:type="pct"/>
            <w:shd w:val="clear" w:color="auto" w:fill="D7D7D7" w:themeFill="background1" w:themeFillShade="D8"/>
            <w:tcMar>
              <w:top w:w="15" w:type="dxa"/>
              <w:left w:w="15" w:type="dxa"/>
              <w:right w:w="15" w:type="dxa"/>
            </w:tcMar>
            <w:vAlign w:val="center"/>
          </w:tcPr>
          <w:p w14:paraId="1774FC03">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color w:val="000000"/>
                <w:kern w:val="0"/>
                <w:sz w:val="21"/>
                <w:szCs w:val="21"/>
                <w:lang w:bidi="ar"/>
              </w:rPr>
              <w:t>权重</w:t>
            </w:r>
          </w:p>
        </w:tc>
        <w:tc>
          <w:tcPr>
            <w:tcW w:w="522" w:type="pct"/>
            <w:shd w:val="clear" w:color="auto" w:fill="D7D7D7" w:themeFill="background1" w:themeFillShade="D8"/>
            <w:tcMar>
              <w:top w:w="15" w:type="dxa"/>
              <w:left w:w="15" w:type="dxa"/>
              <w:right w:w="15" w:type="dxa"/>
            </w:tcMar>
            <w:vAlign w:val="center"/>
          </w:tcPr>
          <w:p w14:paraId="63261D17">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kern w:val="0"/>
                <w:sz w:val="21"/>
                <w:szCs w:val="21"/>
                <w:lang w:bidi="ar"/>
              </w:rPr>
            </w:pPr>
            <w:r>
              <w:rPr>
                <w:rFonts w:hint="default" w:ascii="Times New Roman" w:hAnsi="Times New Roman" w:eastAsia="仿宋_GB2312" w:cs="Times New Roman"/>
                <w:b/>
                <w:color w:val="000000"/>
                <w:kern w:val="0"/>
                <w:sz w:val="21"/>
                <w:szCs w:val="21"/>
                <w:lang w:bidi="ar"/>
              </w:rPr>
              <w:t>得分</w:t>
            </w:r>
          </w:p>
        </w:tc>
      </w:tr>
      <w:tr w14:paraId="25C2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vMerge w:val="restart"/>
            <w:shd w:val="clear" w:color="auto" w:fill="auto"/>
            <w:tcMar>
              <w:top w:w="15" w:type="dxa"/>
              <w:left w:w="15" w:type="dxa"/>
              <w:right w:w="15" w:type="dxa"/>
            </w:tcMar>
            <w:vAlign w:val="center"/>
          </w:tcPr>
          <w:p w14:paraId="401B3AC4">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社会效益</w:t>
            </w:r>
          </w:p>
        </w:tc>
        <w:tc>
          <w:tcPr>
            <w:tcW w:w="2622" w:type="pct"/>
            <w:shd w:val="clear" w:color="auto" w:fill="auto"/>
            <w:tcMar>
              <w:top w:w="15" w:type="dxa"/>
              <w:left w:w="15" w:type="dxa"/>
              <w:right w:w="15" w:type="dxa"/>
            </w:tcMar>
            <w:vAlign w:val="center"/>
          </w:tcPr>
          <w:p w14:paraId="0496FCBD">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信息化系统可用性</w:t>
            </w:r>
          </w:p>
        </w:tc>
        <w:tc>
          <w:tcPr>
            <w:tcW w:w="639" w:type="pct"/>
            <w:shd w:val="clear" w:color="auto" w:fill="auto"/>
            <w:tcMar>
              <w:top w:w="15" w:type="dxa"/>
              <w:left w:w="15" w:type="dxa"/>
              <w:right w:w="15" w:type="dxa"/>
            </w:tcMar>
            <w:vAlign w:val="center"/>
          </w:tcPr>
          <w:p w14:paraId="65B641E1">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c>
          <w:tcPr>
            <w:tcW w:w="522" w:type="pct"/>
            <w:shd w:val="clear" w:color="auto" w:fill="auto"/>
            <w:tcMar>
              <w:top w:w="15" w:type="dxa"/>
              <w:left w:w="15" w:type="dxa"/>
              <w:right w:w="15" w:type="dxa"/>
            </w:tcMar>
            <w:vAlign w:val="center"/>
          </w:tcPr>
          <w:p w14:paraId="4047D3AE">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3</w:t>
            </w:r>
          </w:p>
        </w:tc>
      </w:tr>
      <w:tr w14:paraId="11A6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vMerge w:val="continue"/>
            <w:shd w:val="clear" w:color="auto" w:fill="auto"/>
            <w:tcMar>
              <w:top w:w="15" w:type="dxa"/>
              <w:left w:w="15" w:type="dxa"/>
              <w:right w:w="15" w:type="dxa"/>
            </w:tcMar>
            <w:vAlign w:val="center"/>
          </w:tcPr>
          <w:p w14:paraId="20AE0C61">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bidi="ar"/>
              </w:rPr>
            </w:pPr>
          </w:p>
        </w:tc>
        <w:tc>
          <w:tcPr>
            <w:tcW w:w="2622" w:type="pct"/>
            <w:shd w:val="clear" w:color="auto" w:fill="auto"/>
            <w:tcMar>
              <w:top w:w="15" w:type="dxa"/>
              <w:left w:w="15" w:type="dxa"/>
              <w:right w:w="15" w:type="dxa"/>
            </w:tcMar>
            <w:vAlign w:val="center"/>
          </w:tcPr>
          <w:p w14:paraId="3C3AC66F">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社会安全保障能力</w:t>
            </w:r>
          </w:p>
        </w:tc>
        <w:tc>
          <w:tcPr>
            <w:tcW w:w="639" w:type="pct"/>
            <w:shd w:val="clear" w:color="auto" w:fill="auto"/>
            <w:tcMar>
              <w:top w:w="15" w:type="dxa"/>
              <w:left w:w="15" w:type="dxa"/>
              <w:right w:w="15" w:type="dxa"/>
            </w:tcMar>
            <w:vAlign w:val="center"/>
          </w:tcPr>
          <w:p w14:paraId="07D898DD">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c>
          <w:tcPr>
            <w:tcW w:w="522" w:type="pct"/>
            <w:shd w:val="clear" w:color="auto" w:fill="auto"/>
            <w:tcMar>
              <w:top w:w="15" w:type="dxa"/>
              <w:left w:w="15" w:type="dxa"/>
              <w:right w:w="15" w:type="dxa"/>
            </w:tcMar>
            <w:vAlign w:val="center"/>
          </w:tcPr>
          <w:p w14:paraId="7CA385DB">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5</w:t>
            </w:r>
          </w:p>
        </w:tc>
      </w:tr>
      <w:tr w14:paraId="251D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vMerge w:val="continue"/>
            <w:shd w:val="clear" w:color="auto" w:fill="auto"/>
            <w:tcMar>
              <w:top w:w="15" w:type="dxa"/>
              <w:left w:w="15" w:type="dxa"/>
              <w:right w:w="15" w:type="dxa"/>
            </w:tcMar>
            <w:vAlign w:val="center"/>
          </w:tcPr>
          <w:p w14:paraId="25D26D9D">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bidi="ar"/>
              </w:rPr>
            </w:pPr>
          </w:p>
        </w:tc>
        <w:tc>
          <w:tcPr>
            <w:tcW w:w="2622" w:type="pct"/>
            <w:shd w:val="clear" w:color="auto" w:fill="auto"/>
            <w:tcMar>
              <w:top w:w="15" w:type="dxa"/>
              <w:left w:w="15" w:type="dxa"/>
              <w:right w:w="15" w:type="dxa"/>
            </w:tcMar>
            <w:vAlign w:val="center"/>
          </w:tcPr>
          <w:p w14:paraId="4BC728F8">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社会治理精细化</w:t>
            </w:r>
          </w:p>
        </w:tc>
        <w:tc>
          <w:tcPr>
            <w:tcW w:w="639" w:type="pct"/>
            <w:shd w:val="clear" w:color="auto" w:fill="auto"/>
            <w:tcMar>
              <w:top w:w="15" w:type="dxa"/>
              <w:left w:w="15" w:type="dxa"/>
              <w:right w:w="15" w:type="dxa"/>
            </w:tcMar>
            <w:vAlign w:val="center"/>
          </w:tcPr>
          <w:p w14:paraId="2E46C57E">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c>
          <w:tcPr>
            <w:tcW w:w="522" w:type="pct"/>
            <w:shd w:val="clear" w:color="auto" w:fill="auto"/>
            <w:tcMar>
              <w:top w:w="15" w:type="dxa"/>
              <w:left w:w="15" w:type="dxa"/>
              <w:right w:w="15" w:type="dxa"/>
            </w:tcMar>
            <w:vAlign w:val="center"/>
          </w:tcPr>
          <w:p w14:paraId="09C9E618">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r>
      <w:tr w14:paraId="098F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vMerge w:val="continue"/>
            <w:shd w:val="clear" w:color="auto" w:fill="auto"/>
            <w:tcMar>
              <w:top w:w="15" w:type="dxa"/>
              <w:left w:w="15" w:type="dxa"/>
              <w:right w:w="15" w:type="dxa"/>
            </w:tcMar>
            <w:vAlign w:val="center"/>
          </w:tcPr>
          <w:p w14:paraId="7F64DCBD">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bidi="ar"/>
              </w:rPr>
            </w:pPr>
          </w:p>
        </w:tc>
        <w:tc>
          <w:tcPr>
            <w:tcW w:w="2622" w:type="pct"/>
            <w:shd w:val="clear" w:color="auto" w:fill="auto"/>
            <w:tcMar>
              <w:top w:w="15" w:type="dxa"/>
              <w:left w:w="15" w:type="dxa"/>
              <w:right w:w="15" w:type="dxa"/>
            </w:tcMar>
            <w:vAlign w:val="center"/>
          </w:tcPr>
          <w:p w14:paraId="514D9433">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信息整合及数据共享</w:t>
            </w:r>
          </w:p>
        </w:tc>
        <w:tc>
          <w:tcPr>
            <w:tcW w:w="639" w:type="pct"/>
            <w:shd w:val="clear" w:color="auto" w:fill="auto"/>
            <w:tcMar>
              <w:top w:w="15" w:type="dxa"/>
              <w:left w:w="15" w:type="dxa"/>
              <w:right w:w="15" w:type="dxa"/>
            </w:tcMar>
            <w:vAlign w:val="center"/>
          </w:tcPr>
          <w:p w14:paraId="0BE6D578">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w:t>
            </w:r>
          </w:p>
        </w:tc>
        <w:tc>
          <w:tcPr>
            <w:tcW w:w="522" w:type="pct"/>
            <w:shd w:val="clear" w:color="auto" w:fill="auto"/>
            <w:tcMar>
              <w:top w:w="15" w:type="dxa"/>
              <w:left w:w="15" w:type="dxa"/>
              <w:right w:w="15" w:type="dxa"/>
            </w:tcMar>
            <w:vAlign w:val="center"/>
          </w:tcPr>
          <w:p w14:paraId="76156111">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w:t>
            </w:r>
          </w:p>
        </w:tc>
      </w:tr>
      <w:tr w14:paraId="6C4D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16" w:type="pct"/>
            <w:shd w:val="clear" w:color="auto" w:fill="auto"/>
            <w:tcMar>
              <w:top w:w="15" w:type="dxa"/>
              <w:left w:w="15" w:type="dxa"/>
              <w:right w:w="15" w:type="dxa"/>
            </w:tcMar>
            <w:vAlign w:val="center"/>
          </w:tcPr>
          <w:p w14:paraId="63731CE7">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服务对象满意度</w:t>
            </w:r>
          </w:p>
        </w:tc>
        <w:tc>
          <w:tcPr>
            <w:tcW w:w="2622" w:type="pct"/>
            <w:shd w:val="clear" w:color="auto" w:fill="auto"/>
            <w:tcMar>
              <w:top w:w="15" w:type="dxa"/>
              <w:left w:w="15" w:type="dxa"/>
              <w:right w:w="15" w:type="dxa"/>
            </w:tcMar>
            <w:vAlign w:val="center"/>
          </w:tcPr>
          <w:p w14:paraId="4EE5D5A0">
            <w:pPr>
              <w:pageBreakBefore w:val="0"/>
              <w:wordWrap/>
              <w:topLinePunct w:val="0"/>
              <w:autoSpaceDE/>
              <w:autoSpaceDN/>
              <w:bidi w:val="0"/>
              <w:adjustRightInd w:val="0"/>
              <w:snapToGrid w:val="0"/>
              <w:spacing w:line="240" w:lineRule="auto"/>
              <w:ind w:left="0" w:leftChars="0" w:right="0"/>
              <w:jc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服务对象满意度</w:t>
            </w:r>
          </w:p>
        </w:tc>
        <w:tc>
          <w:tcPr>
            <w:tcW w:w="639" w:type="pct"/>
            <w:shd w:val="clear" w:color="auto" w:fill="auto"/>
            <w:tcMar>
              <w:top w:w="15" w:type="dxa"/>
              <w:left w:w="15" w:type="dxa"/>
              <w:right w:w="15" w:type="dxa"/>
            </w:tcMar>
            <w:vAlign w:val="center"/>
          </w:tcPr>
          <w:p w14:paraId="61342CF4">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10</w:t>
            </w:r>
          </w:p>
        </w:tc>
        <w:tc>
          <w:tcPr>
            <w:tcW w:w="522" w:type="pct"/>
            <w:shd w:val="clear" w:color="auto" w:fill="auto"/>
            <w:tcMar>
              <w:top w:w="15" w:type="dxa"/>
              <w:left w:w="15" w:type="dxa"/>
              <w:right w:w="15" w:type="dxa"/>
            </w:tcMar>
            <w:vAlign w:val="center"/>
          </w:tcPr>
          <w:p w14:paraId="34C106D0">
            <w:pPr>
              <w:pageBreakBefore w:val="0"/>
              <w:wordWrap/>
              <w:topLinePunct w:val="0"/>
              <w:autoSpaceDE/>
              <w:autoSpaceDN/>
              <w:bidi w:val="0"/>
              <w:adjustRightInd w:val="0"/>
              <w:snapToGrid w:val="0"/>
              <w:spacing w:line="240" w:lineRule="auto"/>
              <w:ind w:left="0" w:leftChars="0" w:right="0" w:rightChars="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9.44</w:t>
            </w:r>
          </w:p>
        </w:tc>
      </w:tr>
      <w:tr w14:paraId="50EF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838" w:type="pct"/>
            <w:gridSpan w:val="2"/>
            <w:shd w:val="clear" w:color="auto" w:fill="auto"/>
            <w:tcMar>
              <w:top w:w="15" w:type="dxa"/>
              <w:left w:w="15" w:type="dxa"/>
              <w:right w:w="15" w:type="dxa"/>
            </w:tcMar>
            <w:vAlign w:val="center"/>
          </w:tcPr>
          <w:p w14:paraId="3BDF857F">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合计</w:t>
            </w:r>
          </w:p>
        </w:tc>
        <w:tc>
          <w:tcPr>
            <w:tcW w:w="639" w:type="pct"/>
            <w:shd w:val="clear" w:color="auto" w:fill="auto"/>
            <w:tcMar>
              <w:top w:w="15" w:type="dxa"/>
              <w:left w:w="15" w:type="dxa"/>
              <w:right w:w="15" w:type="dxa"/>
            </w:tcMar>
            <w:vAlign w:val="center"/>
          </w:tcPr>
          <w:p w14:paraId="68A38EE7">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kern w:val="0"/>
                <w:sz w:val="21"/>
                <w:szCs w:val="21"/>
                <w:lang w:val="en-US" w:eastAsia="zh-CN" w:bidi="ar"/>
              </w:rPr>
              <w:t>30</w:t>
            </w:r>
          </w:p>
        </w:tc>
        <w:tc>
          <w:tcPr>
            <w:tcW w:w="522" w:type="pct"/>
            <w:shd w:val="clear" w:color="auto" w:fill="auto"/>
            <w:tcMar>
              <w:top w:w="15" w:type="dxa"/>
              <w:left w:w="15" w:type="dxa"/>
              <w:right w:w="15" w:type="dxa"/>
            </w:tcMar>
            <w:vAlign w:val="center"/>
          </w:tcPr>
          <w:p w14:paraId="703FF492">
            <w:pPr>
              <w:pageBreakBefore w:val="0"/>
              <w:widowControl/>
              <w:wordWrap/>
              <w:topLinePunct w:val="0"/>
              <w:autoSpaceDE/>
              <w:autoSpaceDN/>
              <w:bidi w:val="0"/>
              <w:adjustRightInd w:val="0"/>
              <w:snapToGrid w:val="0"/>
              <w:spacing w:line="240" w:lineRule="auto"/>
              <w:ind w:left="0" w:leftChars="0" w:right="0"/>
              <w:jc w:val="center"/>
              <w:textAlignment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rPr>
              <w:t>26.44</w:t>
            </w:r>
          </w:p>
        </w:tc>
      </w:tr>
      <w:bookmarkEnd w:id="55"/>
    </w:tbl>
    <w:p w14:paraId="4106E623">
      <w:pPr>
        <w:pStyle w:val="3"/>
        <w:keepNext/>
        <w:keepLines/>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default" w:ascii="Times New Roman" w:hAnsi="Times New Roman" w:cs="Times New Roman"/>
          <w:lang w:val="en-US" w:eastAsia="zh-CN"/>
        </w:rPr>
      </w:pPr>
      <w:bookmarkStart w:id="138" w:name="_Toc8410"/>
      <w:bookmarkStart w:id="139" w:name="_Toc21956"/>
      <w:bookmarkStart w:id="140" w:name="_Toc23907"/>
      <w:bookmarkStart w:id="141" w:name="_Toc9295"/>
      <w:bookmarkStart w:id="142" w:name="_Toc6622"/>
      <w:r>
        <w:rPr>
          <w:rFonts w:hint="eastAsia" w:ascii="Times New Roman" w:hAnsi="Times New Roman" w:cs="Times New Roman"/>
          <w:lang w:val="en-US" w:eastAsia="zh-CN"/>
        </w:rPr>
        <w:t>五</w:t>
      </w:r>
      <w:r>
        <w:rPr>
          <w:rFonts w:hint="default" w:ascii="Times New Roman" w:hAnsi="Times New Roman" w:cs="Times New Roman"/>
          <w:lang w:val="en-US" w:eastAsia="zh-CN"/>
        </w:rPr>
        <w:t>、主要绩效</w:t>
      </w:r>
      <w:bookmarkEnd w:id="138"/>
      <w:bookmarkEnd w:id="139"/>
      <w:bookmarkEnd w:id="140"/>
      <w:bookmarkEnd w:id="141"/>
      <w:bookmarkEnd w:id="142"/>
    </w:p>
    <w:p w14:paraId="72F0D696">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jc w:val="both"/>
        <w:textAlignment w:val="auto"/>
        <w:rPr>
          <w:rFonts w:hint="default" w:ascii="Times New Roman" w:hAnsi="Times New Roman" w:cs="Times New Roman"/>
          <w:highlight w:val="none"/>
          <w:lang w:val="en-US" w:eastAsia="zh-CN"/>
        </w:rPr>
      </w:pPr>
      <w:bookmarkStart w:id="143" w:name="_Toc2227"/>
      <w:bookmarkStart w:id="144" w:name="_Toc24552"/>
      <w:bookmarkStart w:id="145" w:name="_Toc12084"/>
      <w:bookmarkStart w:id="146" w:name="_Toc31929"/>
      <w:bookmarkStart w:id="147" w:name="_Toc3684"/>
      <w:bookmarkStart w:id="148" w:name="_Toc25454"/>
      <w:r>
        <w:rPr>
          <w:rFonts w:hint="default" w:ascii="Times New Roman" w:hAnsi="Times New Roman" w:cs="Times New Roman"/>
          <w:lang w:val="en-US" w:eastAsia="zh-CN"/>
        </w:rPr>
        <w:t>（一）</w:t>
      </w:r>
      <w:bookmarkEnd w:id="143"/>
      <w:r>
        <w:rPr>
          <w:rFonts w:hint="eastAsia" w:ascii="Times New Roman" w:hAnsi="Times New Roman" w:cs="Times New Roman"/>
          <w:lang w:val="en-US" w:eastAsia="zh-CN"/>
        </w:rPr>
        <w:t>超额完成“湘易办”超级服务端建设运营工作任务</w:t>
      </w:r>
      <w:bookmarkEnd w:id="144"/>
      <w:bookmarkEnd w:id="145"/>
      <w:bookmarkEnd w:id="146"/>
      <w:bookmarkEnd w:id="147"/>
      <w:bookmarkEnd w:id="148"/>
    </w:p>
    <w:p w14:paraId="58B9C1B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val="0"/>
          <w:bCs/>
          <w:sz w:val="32"/>
          <w:szCs w:val="32"/>
          <w:lang w:val="en-US" w:eastAsia="zh-CN" w:bidi="zh-CN"/>
        </w:rPr>
        <w:t>深入贯彻落实省委、省政府关于建好用好“湘易办”的决策部署，充分发挥“湘易办”超级服务端作为推动数字政府建设的总引擎作用，永州市各级建立“一把手负责、一名领导分管、一个专班推进”的工作机制，超额完成省定年度目标任务，全市上线“一网通办”事项772项，汇聚99类、92万余条电子证照，发布399条惠企政策、989项办事指南、349项“免申即享”事项，均居全省前列。突出特色，开设“湘易办”永州旗舰店，针对政务服务高频事项，创新打造了“秒批秒办”、“远程导办”“营商地图”等多样化应用场景。2023年度永州市已上线市直、县市区政务服务、公共服务事项2万余项，高频特色服务事项120项，办件量突破8万件。</w:t>
      </w:r>
    </w:p>
    <w:p w14:paraId="3D41BF46">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3" w:firstLineChars="200"/>
        <w:jc w:val="both"/>
        <w:textAlignment w:val="auto"/>
        <w:rPr>
          <w:rFonts w:hint="eastAsia" w:ascii="Times New Roman" w:hAnsi="Times New Roman" w:cs="Times New Roman"/>
          <w:lang w:val="en-US" w:eastAsia="zh-CN"/>
        </w:rPr>
      </w:pPr>
      <w:bookmarkStart w:id="149" w:name="_Toc16957"/>
      <w:bookmarkStart w:id="150" w:name="_Toc2413"/>
      <w:bookmarkStart w:id="151" w:name="_Toc4748"/>
      <w:bookmarkStart w:id="152" w:name="_Toc29401"/>
      <w:bookmarkStart w:id="153" w:name="_Toc18101"/>
      <w:r>
        <w:rPr>
          <w:rFonts w:hint="eastAsia" w:ascii="Times New Roman" w:hAnsi="Times New Roman" w:eastAsia="楷体_GB2312" w:cs="Times New Roman"/>
          <w:b/>
          <w:sz w:val="32"/>
          <w:szCs w:val="36"/>
          <w:lang w:val="en-US" w:eastAsia="zh-CN" w:bidi="ar-SA"/>
        </w:rPr>
        <w:t>（二）</w:t>
      </w:r>
      <w:r>
        <w:rPr>
          <w:rFonts w:hint="default" w:ascii="Times New Roman" w:hAnsi="Times New Roman" w:cs="Times New Roman"/>
          <w:lang w:val="en-US" w:eastAsia="zh-CN"/>
        </w:rPr>
        <w:t>提高社会安全保障能力</w:t>
      </w:r>
      <w:bookmarkEnd w:id="149"/>
      <w:bookmarkEnd w:id="150"/>
      <w:bookmarkEnd w:id="151"/>
      <w:bookmarkEnd w:id="152"/>
      <w:bookmarkEnd w:id="153"/>
    </w:p>
    <w:p w14:paraId="01FD90F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b w:val="0"/>
          <w:bCs/>
          <w:sz w:val="32"/>
          <w:szCs w:val="32"/>
          <w:lang w:val="en-US" w:eastAsia="zh-CN" w:bidi="zh-CN"/>
        </w:rPr>
        <w:t>2023年度永州市利用视频监控破解刑事案件1329起，处理治安事件2264起，处理交通事务1391起，抓获犯罪嫌疑人2453人，抓获在逃人员1096人，寻找走失人口及为社会群众提供服务5977次。强化了信息监控，提高社会管控能力，智慧永州项目建设截至2024年4月针对特殊人群走访服务共325322次，分别是完成刑满释放人员服务记录48992次、社区矫正人员服务记录20995次、易肇事肇祸严重精神病人员服务记录19672次、吸毒人员服务记录235663次。发现上报125489件矛盾纠纷调解线索，调解办结124379件。</w:t>
      </w:r>
    </w:p>
    <w:p w14:paraId="495319BA">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rPr>
          <w:rFonts w:hint="default" w:ascii="Times New Roman" w:hAnsi="Times New Roman" w:cs="Times New Roman"/>
          <w:lang w:val="en-US" w:eastAsia="zh-CN"/>
        </w:rPr>
      </w:pPr>
      <w:bookmarkStart w:id="154" w:name="_Toc11880"/>
      <w:bookmarkStart w:id="155" w:name="_Toc31313"/>
      <w:bookmarkStart w:id="156" w:name="_Toc28270"/>
      <w:bookmarkStart w:id="157" w:name="_Toc26993"/>
      <w:bookmarkStart w:id="158" w:name="_Toc27239"/>
      <w:r>
        <w:rPr>
          <w:rFonts w:hint="eastAsia" w:ascii="Times New Roman" w:hAnsi="Times New Roman" w:eastAsia="楷体_GB2312" w:cs="Times New Roman"/>
          <w:b/>
          <w:sz w:val="32"/>
          <w:szCs w:val="36"/>
          <w:lang w:val="en-US" w:eastAsia="zh-CN" w:bidi="ar-SA"/>
        </w:rPr>
        <w:t>（三）</w:t>
      </w:r>
      <w:r>
        <w:rPr>
          <w:rFonts w:hint="eastAsia" w:ascii="Times New Roman" w:hAnsi="Times New Roman" w:cs="Times New Roman"/>
          <w:lang w:val="en-US" w:eastAsia="zh-CN"/>
        </w:rPr>
        <w:t>提高</w:t>
      </w:r>
      <w:r>
        <w:rPr>
          <w:rFonts w:hint="default" w:ascii="Times New Roman" w:hAnsi="Times New Roman" w:cs="Times New Roman"/>
          <w:lang w:val="en-US" w:eastAsia="zh-CN"/>
        </w:rPr>
        <w:t>社会治理服务精细化水平</w:t>
      </w:r>
      <w:bookmarkEnd w:id="154"/>
      <w:bookmarkEnd w:id="155"/>
      <w:bookmarkEnd w:id="156"/>
      <w:bookmarkEnd w:id="157"/>
    </w:p>
    <w:p w14:paraId="4D406DF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b w:val="0"/>
          <w:bCs w:val="0"/>
          <w:kern w:val="0"/>
          <w:sz w:val="32"/>
          <w:szCs w:val="32"/>
          <w:lang w:val="en-US" w:eastAsia="zh-CN" w:bidi="zh-CN"/>
        </w:rPr>
      </w:pPr>
      <w:r>
        <w:rPr>
          <w:rFonts w:hint="default" w:ascii="Times New Roman" w:hAnsi="Times New Roman" w:eastAsia="仿宋_GB2312" w:cs="Times New Roman"/>
          <w:b w:val="0"/>
          <w:bCs w:val="0"/>
          <w:kern w:val="0"/>
          <w:sz w:val="32"/>
          <w:szCs w:val="32"/>
          <w:lang w:val="en-US" w:eastAsia="zh-CN" w:bidi="zh-CN"/>
        </w:rPr>
        <w:t>永州市成功入选全国第一期市域社会治理现代化试点城市，通过“永州市智慧永州一、二期”、“雪亮工程”等多个项目的建设，初步破解了跨地区跨部门跨层级政务服务中标准不统一、平台不联通、数据不共享、业务不协同等突出问题，进一步推动</w:t>
      </w:r>
      <w:r>
        <w:rPr>
          <w:rFonts w:hint="default" w:ascii="Times New Roman" w:hAnsi="Times New Roman" w:eastAsia="仿宋_GB2312" w:cs="Times New Roman"/>
          <w:b w:val="0"/>
          <w:bCs w:val="0"/>
          <w:kern w:val="0"/>
          <w:sz w:val="32"/>
          <w:szCs w:val="32"/>
          <w:lang w:val="en-US" w:bidi="zh-CN"/>
        </w:rPr>
        <w:t>“放管服”</w:t>
      </w:r>
      <w:r>
        <w:rPr>
          <w:rFonts w:hint="default" w:ascii="Times New Roman" w:hAnsi="Times New Roman" w:eastAsia="仿宋_GB2312" w:cs="Times New Roman"/>
          <w:b w:val="0"/>
          <w:bCs w:val="0"/>
          <w:kern w:val="0"/>
          <w:sz w:val="32"/>
          <w:szCs w:val="32"/>
          <w:lang w:val="en-US" w:eastAsia="zh-CN" w:bidi="zh-CN"/>
        </w:rPr>
        <w:t>改革向纵深推进。</w:t>
      </w:r>
      <w:bookmarkEnd w:id="158"/>
      <w:r>
        <w:rPr>
          <w:rFonts w:hint="default" w:ascii="Times New Roman" w:hAnsi="Times New Roman" w:eastAsia="仿宋_GB2312" w:cs="Times New Roman"/>
          <w:b w:val="0"/>
          <w:bCs w:val="0"/>
          <w:kern w:val="0"/>
          <w:sz w:val="32"/>
          <w:szCs w:val="32"/>
          <w:lang w:val="en-US" w:eastAsia="zh-CN" w:bidi="zh-CN"/>
        </w:rPr>
        <w:t>实现全市573万人口、216万户实有房屋、2.3万个综治机构队伍、5.2万特殊人群、2.1万个两新组织等综治数据“一网统管”；基层公共服务覆盖全市3305个村居社区，自运行以来共办理便民服务事项7934613件；整合12345等各类公共服务热线、政府网站、市长信箱、网络问政平台、微信、手机APP、基层网格、数字城管等社情民意接报渠道，按照“六步闭环”工作程序，对基层和群众的咨询、求助、投诉举报等事项建立“一口受理、联动办结”的联动处置工作机制。截</w:t>
      </w:r>
      <w:r>
        <w:rPr>
          <w:rFonts w:hint="eastAsia" w:ascii="Times New Roman" w:hAnsi="Times New Roman" w:eastAsia="仿宋_GB2312" w:cs="Times New Roman"/>
          <w:b w:val="0"/>
          <w:bCs w:val="0"/>
          <w:kern w:val="0"/>
          <w:sz w:val="32"/>
          <w:szCs w:val="32"/>
          <w:lang w:val="en-US" w:eastAsia="zh-CN" w:bidi="zh-CN"/>
        </w:rPr>
        <w:t>至</w:t>
      </w:r>
      <w:r>
        <w:rPr>
          <w:rFonts w:hint="default" w:ascii="Times New Roman" w:hAnsi="Times New Roman" w:eastAsia="仿宋_GB2312" w:cs="Times New Roman"/>
          <w:b w:val="0"/>
          <w:bCs w:val="0"/>
          <w:kern w:val="0"/>
          <w:sz w:val="32"/>
          <w:szCs w:val="32"/>
          <w:lang w:val="en-US" w:eastAsia="zh-CN" w:bidi="zh-CN"/>
        </w:rPr>
        <w:t>目前共办理3132543件；数字城管自系统运行以来共受理案件59.9万件，结案59.5万件，办结率99</w:t>
      </w:r>
      <w:r>
        <w:rPr>
          <w:rFonts w:hint="eastAsia" w:ascii="Times New Roman" w:hAnsi="Times New Roman" w:eastAsia="仿宋_GB2312" w:cs="Times New Roman"/>
          <w:b w:val="0"/>
          <w:bCs w:val="0"/>
          <w:kern w:val="0"/>
          <w:sz w:val="32"/>
          <w:szCs w:val="32"/>
          <w:lang w:val="en-US" w:eastAsia="zh-CN" w:bidi="zh-CN"/>
        </w:rPr>
        <w:t>.33</w:t>
      </w:r>
      <w:r>
        <w:rPr>
          <w:rFonts w:hint="default" w:ascii="Times New Roman" w:hAnsi="Times New Roman" w:eastAsia="仿宋_GB2312" w:cs="Times New Roman"/>
          <w:b w:val="0"/>
          <w:bCs w:val="0"/>
          <w:kern w:val="0"/>
          <w:sz w:val="32"/>
          <w:szCs w:val="32"/>
          <w:lang w:val="en-US" w:eastAsia="zh-CN" w:bidi="zh-CN"/>
        </w:rPr>
        <w:t>%。</w:t>
      </w:r>
    </w:p>
    <w:p w14:paraId="72F1F2DB">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rPr>
          <w:rFonts w:hint="eastAsia" w:ascii="Times New Roman" w:hAnsi="Times New Roman" w:cs="Times New Roman"/>
          <w:highlight w:val="none"/>
          <w:lang w:val="en-US" w:eastAsia="zh-CN"/>
        </w:rPr>
      </w:pPr>
      <w:bookmarkStart w:id="159" w:name="_Toc21253"/>
      <w:bookmarkStart w:id="160" w:name="_Toc32652"/>
      <w:bookmarkStart w:id="161" w:name="_Toc27891"/>
      <w:bookmarkStart w:id="162" w:name="_Toc19213"/>
      <w:r>
        <w:rPr>
          <w:rFonts w:hint="eastAsia" w:ascii="Times New Roman" w:hAnsi="Times New Roman" w:eastAsia="楷体_GB2312" w:cs="Times New Roman"/>
          <w:b/>
          <w:sz w:val="32"/>
          <w:szCs w:val="36"/>
          <w:lang w:val="en-US" w:eastAsia="zh-CN" w:bidi="ar-SA"/>
        </w:rPr>
        <w:t>（四）</w:t>
      </w:r>
      <w:r>
        <w:rPr>
          <w:rFonts w:hint="eastAsia" w:ascii="Times New Roman" w:hAnsi="Times New Roman" w:cs="Times New Roman"/>
          <w:highlight w:val="none"/>
          <w:lang w:val="en-US" w:eastAsia="zh-CN"/>
        </w:rPr>
        <w:t>推进政务信息化互通共享建设</w:t>
      </w:r>
      <w:bookmarkEnd w:id="159"/>
      <w:bookmarkEnd w:id="160"/>
      <w:bookmarkEnd w:id="161"/>
      <w:bookmarkEnd w:id="162"/>
    </w:p>
    <w:p w14:paraId="19D5B7C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b w:val="0"/>
          <w:bCs/>
          <w:sz w:val="32"/>
          <w:szCs w:val="32"/>
          <w:lang w:val="en-US"/>
        </w:rPr>
      </w:pPr>
      <w:r>
        <w:rPr>
          <w:rFonts w:hint="eastAsia" w:ascii="Times New Roman" w:hAnsi="Times New Roman" w:eastAsia="仿宋_GB2312"/>
          <w:b w:val="0"/>
          <w:bCs w:val="0"/>
          <w:kern w:val="0"/>
          <w:sz w:val="32"/>
          <w:szCs w:val="32"/>
          <w:lang w:val="en-US" w:eastAsia="zh-CN" w:bidi="zh-CN"/>
        </w:rPr>
        <w:t>通过智慧永州综合应用及电子政务公共平台建设，永州市政务数据资源体系建设和共享应用取得初步突破，大数据支撑“放管服”改革作用更加凸显；建设完善了人口、法人、空间地理、经济信息、房产房屋、城市部件等6大基础数据库，完成了71个系统的数据归集对接，建立了政务信息共享交换平台和政府数据开放平台，初步形成了统一高效、互联互通、安全可靠的数据资源体系。实施“湘易办”旗舰店建设及推广应用项目，推动政务服务从政府部门供给导向向企业和群众需求导向转变，打破事项办理的属地限制，依托创新AI+政务服务系统和永州全市各级政务服务机构，强化数字政府改革建设支撑，打通业务链条和数据共享堵点，推进政务服务事项“全程智能无人干预秒批秒办”“跨省通办、省内通办”，建设人民满意的服务型政府。</w:t>
      </w:r>
    </w:p>
    <w:p w14:paraId="2663A1FA">
      <w:pPr>
        <w:pStyle w:val="3"/>
        <w:keepNext/>
        <w:keepLines/>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default" w:ascii="Times New Roman" w:hAnsi="Times New Roman" w:cs="Times New Roman"/>
          <w:lang w:val="en-US"/>
        </w:rPr>
      </w:pPr>
      <w:bookmarkStart w:id="163" w:name="_Toc10451"/>
      <w:bookmarkStart w:id="164" w:name="_Toc5628"/>
      <w:bookmarkStart w:id="165" w:name="_Toc24766"/>
      <w:bookmarkStart w:id="166" w:name="_Toc25420"/>
      <w:bookmarkStart w:id="167" w:name="_Toc18278"/>
      <w:r>
        <w:rPr>
          <w:rFonts w:hint="eastAsia" w:ascii="Times New Roman" w:hAnsi="Times New Roman" w:cs="Times New Roman"/>
          <w:lang w:val="en-US" w:eastAsia="zh-CN"/>
        </w:rPr>
        <w:t>六</w:t>
      </w:r>
      <w:r>
        <w:rPr>
          <w:rFonts w:hint="default" w:ascii="Times New Roman" w:hAnsi="Times New Roman" w:cs="Times New Roman"/>
          <w:lang w:val="en-US"/>
        </w:rPr>
        <w:t>、主要问题</w:t>
      </w:r>
      <w:bookmarkEnd w:id="163"/>
      <w:bookmarkEnd w:id="164"/>
      <w:bookmarkEnd w:id="165"/>
      <w:bookmarkEnd w:id="166"/>
      <w:bookmarkEnd w:id="167"/>
    </w:p>
    <w:p w14:paraId="201F2ADC">
      <w:pPr>
        <w:pStyle w:val="4"/>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Times New Roman" w:hAnsi="Times New Roman" w:cs="Times New Roman"/>
          <w:lang w:val="en-US" w:eastAsia="zh-CN"/>
        </w:rPr>
      </w:pPr>
      <w:bookmarkStart w:id="168" w:name="_Toc14021"/>
      <w:bookmarkStart w:id="169" w:name="_Toc22583"/>
      <w:bookmarkStart w:id="170" w:name="_Toc2410"/>
      <w:bookmarkStart w:id="171" w:name="_Toc22666"/>
      <w:bookmarkStart w:id="172" w:name="_Toc10135"/>
      <w:bookmarkStart w:id="173" w:name="_Toc1000"/>
      <w:r>
        <w:rPr>
          <w:rFonts w:hint="default" w:ascii="Times New Roman" w:hAnsi="Times New Roman" w:cs="Times New Roman"/>
        </w:rPr>
        <w:t>（一）</w:t>
      </w:r>
      <w:bookmarkEnd w:id="168"/>
      <w:bookmarkEnd w:id="169"/>
      <w:bookmarkStart w:id="174" w:name="_Toc7772"/>
      <w:r>
        <w:rPr>
          <w:rFonts w:hint="eastAsia" w:ascii="Times New Roman" w:hAnsi="Times New Roman" w:cs="Times New Roman"/>
          <w:lang w:val="en-US" w:eastAsia="zh-CN"/>
        </w:rPr>
        <w:t>绩效管理意识不强</w:t>
      </w:r>
      <w:bookmarkEnd w:id="170"/>
      <w:bookmarkEnd w:id="171"/>
      <w:bookmarkEnd w:id="172"/>
      <w:bookmarkEnd w:id="173"/>
    </w:p>
    <w:p w14:paraId="6CAE91D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val="0"/>
          <w:bCs/>
          <w:sz w:val="32"/>
          <w:szCs w:val="32"/>
          <w:lang w:val="en-US" w:eastAsia="zh-CN" w:bidi="zh-CN"/>
        </w:rPr>
        <w:t>根据被评价单位提供的该项目绩效目标表，绩效目标从数量、质量、时效以及经济效益等方面进行了细化，但存在个别指标设置欠合理，如《智慧永州一二期项目尾款绩效目标表》中设置生态效益指标为“对环境破坏率”，智慧永州为信息化建设项目，该效益指标与项目内容不匹配</w:t>
      </w:r>
      <w:bookmarkEnd w:id="174"/>
      <w:r>
        <w:rPr>
          <w:rFonts w:hint="eastAsia" w:ascii="Times New Roman" w:hAnsi="Times New Roman" w:eastAsia="仿宋_GB2312" w:cs="Times New Roman"/>
          <w:b w:val="0"/>
          <w:bCs/>
          <w:sz w:val="32"/>
          <w:szCs w:val="32"/>
          <w:lang w:val="en-US" w:eastAsia="zh-CN" w:bidi="zh-CN"/>
        </w:rPr>
        <w:t>。</w:t>
      </w:r>
    </w:p>
    <w:p w14:paraId="40ADA62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Times New Roman" w:hAnsi="Times New Roman" w:cs="Times New Roman"/>
          <w:lang w:val="en-US" w:eastAsia="zh-CN"/>
        </w:rPr>
      </w:pPr>
      <w:bookmarkStart w:id="175" w:name="_Toc22042"/>
      <w:r>
        <w:rPr>
          <w:rFonts w:hint="eastAsia" w:ascii="Times New Roman" w:hAnsi="Times New Roman" w:eastAsia="楷体_GB2312" w:cs="Times New Roman"/>
          <w:b/>
          <w:sz w:val="32"/>
          <w:szCs w:val="36"/>
          <w:lang w:val="en-US" w:eastAsia="zh-CN" w:bidi="ar-SA"/>
        </w:rPr>
        <w:t>（二）</w:t>
      </w:r>
      <w:r>
        <w:rPr>
          <w:rFonts w:hint="eastAsia" w:ascii="Times New Roman" w:hAnsi="Times New Roman" w:cs="Times New Roman"/>
          <w:lang w:val="en-US" w:eastAsia="zh-CN"/>
        </w:rPr>
        <w:t>统筹管理机制待完善</w:t>
      </w:r>
      <w:bookmarkEnd w:id="175"/>
    </w:p>
    <w:p w14:paraId="235EB0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b w:val="0"/>
          <w:bCs/>
          <w:sz w:val="32"/>
          <w:szCs w:val="32"/>
          <w:lang w:val="en-US" w:eastAsia="zh-CN"/>
        </w:rPr>
        <w:t>永州市信息化建设项目在运行过程中仍存在部门分工不明确、边界不清晰等问题，信息化建设统一规划和统筹管理力度有待加强。如</w:t>
      </w:r>
      <w:r>
        <w:rPr>
          <w:rFonts w:hint="default" w:ascii="Times New Roman" w:hAnsi="Times New Roman" w:eastAsia="仿宋_GB2312" w:cs="Times New Roman"/>
          <w:b w:val="0"/>
          <w:bCs/>
          <w:sz w:val="32"/>
          <w:szCs w:val="32"/>
          <w:lang w:val="en-US" w:eastAsia="zh-CN" w:bidi="zh-CN"/>
        </w:rPr>
        <w:t>全市政府信息系统等级保护测评项目，</w:t>
      </w:r>
      <w:r>
        <w:rPr>
          <w:rFonts w:hint="eastAsia" w:ascii="Times New Roman" w:hAnsi="Times New Roman" w:eastAsia="仿宋_GB2312" w:cs="Times New Roman"/>
          <w:b w:val="0"/>
          <w:bCs/>
          <w:sz w:val="32"/>
          <w:szCs w:val="32"/>
          <w:lang w:val="en-US" w:eastAsia="zh-CN" w:bidi="zh-CN"/>
        </w:rPr>
        <w:t>因</w:t>
      </w:r>
      <w:r>
        <w:rPr>
          <w:rFonts w:hint="default" w:ascii="Times New Roman" w:hAnsi="Times New Roman" w:eastAsia="仿宋_GB2312" w:cs="Times New Roman"/>
          <w:b w:val="0"/>
          <w:bCs/>
          <w:sz w:val="32"/>
          <w:szCs w:val="32"/>
          <w:lang w:val="en-US" w:eastAsia="zh-CN"/>
        </w:rPr>
        <w:t>前期方案设计不合理影响</w:t>
      </w:r>
      <w:r>
        <w:rPr>
          <w:rFonts w:hint="eastAsia" w:ascii="Times New Roman" w:hAnsi="Times New Roman" w:eastAsia="仿宋_GB2312" w:cs="Times New Roman"/>
          <w:b w:val="0"/>
          <w:bCs/>
          <w:sz w:val="32"/>
          <w:szCs w:val="32"/>
          <w:lang w:val="en-US" w:eastAsia="zh-CN"/>
        </w:rPr>
        <w:t>了</w:t>
      </w:r>
      <w:r>
        <w:rPr>
          <w:rFonts w:hint="default" w:ascii="Times New Roman" w:hAnsi="Times New Roman" w:eastAsia="仿宋_GB2312" w:cs="Times New Roman"/>
          <w:b w:val="0"/>
          <w:bCs/>
          <w:sz w:val="32"/>
          <w:szCs w:val="32"/>
          <w:lang w:val="en-US" w:eastAsia="zh-CN"/>
        </w:rPr>
        <w:t>项目实施进度。</w:t>
      </w:r>
      <w:r>
        <w:rPr>
          <w:rFonts w:hint="eastAsia" w:ascii="Times New Roman" w:hAnsi="Times New Roman" w:eastAsia="仿宋_GB2312" w:cs="Times New Roman"/>
          <w:b w:val="0"/>
          <w:bCs/>
          <w:sz w:val="32"/>
          <w:szCs w:val="32"/>
          <w:lang w:val="en-US" w:eastAsia="zh-CN"/>
        </w:rPr>
        <w:t>主要原因</w:t>
      </w:r>
      <w:r>
        <w:rPr>
          <w:rFonts w:hint="default" w:ascii="Times New Roman" w:hAnsi="Times New Roman" w:eastAsia="仿宋_GB2312" w:cs="Times New Roman"/>
          <w:b w:val="0"/>
          <w:bCs/>
          <w:sz w:val="32"/>
          <w:szCs w:val="32"/>
          <w:lang w:val="en-US" w:eastAsia="zh-CN" w:bidi="zh-CN"/>
        </w:rPr>
        <w:t>一是未根据项目实际情况制定具体的实施方案，对检测后整改责任划分不明确，未充分考虑整改资金的保障问题，导致各单位整改主动性较差、整改不够及时、整改资金不能及时到位；二是</w:t>
      </w:r>
      <w:r>
        <w:rPr>
          <w:rFonts w:hint="eastAsia" w:ascii="Times New Roman" w:hAnsi="Times New Roman" w:eastAsia="仿宋_GB2312" w:cs="Times New Roman"/>
          <w:b w:val="0"/>
          <w:bCs/>
          <w:sz w:val="32"/>
          <w:szCs w:val="32"/>
          <w:lang w:val="en-US" w:eastAsia="zh-CN" w:bidi="zh-CN"/>
        </w:rPr>
        <w:t>各部门之间</w:t>
      </w:r>
      <w:r>
        <w:rPr>
          <w:rFonts w:hint="default" w:ascii="Times New Roman" w:hAnsi="Times New Roman" w:eastAsia="仿宋_GB2312" w:cs="Times New Roman"/>
          <w:b w:val="0"/>
          <w:bCs/>
          <w:sz w:val="32"/>
          <w:szCs w:val="32"/>
          <w:lang w:val="en-US" w:eastAsia="zh-CN" w:bidi="zh-CN"/>
        </w:rPr>
        <w:t>工作衔接不到位，行政审批局</w:t>
      </w:r>
      <w:r>
        <w:rPr>
          <w:rFonts w:hint="eastAsia" w:ascii="Times New Roman" w:hAnsi="Times New Roman" w:eastAsia="仿宋_GB2312" w:cs="Times New Roman"/>
          <w:b w:val="0"/>
          <w:bCs/>
          <w:sz w:val="32"/>
          <w:szCs w:val="32"/>
          <w:lang w:val="en-US" w:eastAsia="zh-CN" w:bidi="zh-CN"/>
        </w:rPr>
        <w:t>负责</w:t>
      </w:r>
      <w:r>
        <w:rPr>
          <w:rFonts w:hint="default" w:ascii="Times New Roman" w:hAnsi="Times New Roman" w:eastAsia="仿宋_GB2312" w:cs="Times New Roman"/>
          <w:b w:val="0"/>
          <w:bCs/>
          <w:sz w:val="32"/>
          <w:szCs w:val="32"/>
          <w:lang w:val="en-US" w:eastAsia="zh-CN" w:bidi="zh-CN"/>
        </w:rPr>
        <w:t>集中采购</w:t>
      </w:r>
      <w:r>
        <w:rPr>
          <w:rFonts w:hint="eastAsia" w:ascii="Times New Roman" w:hAnsi="Times New Roman" w:eastAsia="仿宋_GB2312" w:cs="Times New Roman"/>
          <w:b w:val="0"/>
          <w:bCs/>
          <w:sz w:val="32"/>
          <w:szCs w:val="32"/>
          <w:lang w:val="en-US" w:eastAsia="zh-CN" w:bidi="zh-CN"/>
        </w:rPr>
        <w:t>，</w:t>
      </w:r>
      <w:r>
        <w:rPr>
          <w:rFonts w:hint="default" w:ascii="Times New Roman" w:hAnsi="Times New Roman" w:eastAsia="仿宋_GB2312" w:cs="Times New Roman"/>
          <w:b w:val="0"/>
          <w:bCs/>
          <w:sz w:val="32"/>
          <w:szCs w:val="32"/>
          <w:lang w:val="en-US" w:eastAsia="zh-CN" w:bidi="zh-CN"/>
        </w:rPr>
        <w:t>市公安局</w:t>
      </w:r>
      <w:r>
        <w:rPr>
          <w:rFonts w:hint="eastAsia" w:ascii="Times New Roman" w:hAnsi="Times New Roman" w:eastAsia="仿宋_GB2312" w:cs="Times New Roman"/>
          <w:b w:val="0"/>
          <w:bCs/>
          <w:sz w:val="32"/>
          <w:szCs w:val="32"/>
          <w:lang w:val="en-US" w:eastAsia="zh-CN" w:bidi="zh-CN"/>
        </w:rPr>
        <w:t>负责</w:t>
      </w:r>
      <w:r>
        <w:rPr>
          <w:rFonts w:hint="default" w:ascii="Times New Roman" w:hAnsi="Times New Roman" w:eastAsia="仿宋_GB2312" w:cs="Times New Roman"/>
          <w:b w:val="0"/>
          <w:bCs/>
          <w:sz w:val="32"/>
          <w:szCs w:val="32"/>
          <w:lang w:val="en-US" w:eastAsia="zh-CN" w:bidi="zh-CN"/>
        </w:rPr>
        <w:t>提供检测清单，</w:t>
      </w:r>
      <w:r>
        <w:rPr>
          <w:rFonts w:hint="eastAsia" w:ascii="Times New Roman" w:hAnsi="Times New Roman" w:eastAsia="仿宋_GB2312" w:cs="Times New Roman"/>
          <w:b w:val="0"/>
          <w:bCs/>
          <w:sz w:val="32"/>
          <w:szCs w:val="32"/>
          <w:lang w:val="en-US" w:eastAsia="zh-CN" w:bidi="zh-CN"/>
        </w:rPr>
        <w:t>双方</w:t>
      </w:r>
      <w:r>
        <w:rPr>
          <w:rFonts w:hint="default" w:ascii="Times New Roman" w:hAnsi="Times New Roman" w:eastAsia="仿宋_GB2312" w:cs="Times New Roman"/>
          <w:b w:val="0"/>
          <w:bCs/>
          <w:sz w:val="32"/>
          <w:szCs w:val="32"/>
          <w:lang w:val="en-US" w:eastAsia="zh-CN" w:bidi="zh-CN"/>
        </w:rPr>
        <w:t>未就该清单与各市直单位进行核对统计，导致集中采购后，出现重复采购情况，</w:t>
      </w:r>
      <w:r>
        <w:rPr>
          <w:rFonts w:hint="eastAsia" w:ascii="Times New Roman" w:hAnsi="Times New Roman" w:eastAsia="仿宋_GB2312" w:cs="Times New Roman"/>
          <w:b w:val="0"/>
          <w:bCs/>
          <w:sz w:val="32"/>
          <w:szCs w:val="32"/>
          <w:lang w:val="en-US" w:eastAsia="zh-CN" w:bidi="zh-CN"/>
        </w:rPr>
        <w:t>包括</w:t>
      </w:r>
      <w:r>
        <w:rPr>
          <w:rFonts w:hint="default" w:ascii="Times New Roman" w:hAnsi="Times New Roman" w:eastAsia="仿宋_GB2312" w:cs="Times New Roman"/>
          <w:b w:val="0"/>
          <w:bCs/>
          <w:sz w:val="32"/>
          <w:szCs w:val="32"/>
          <w:lang w:val="en-US" w:eastAsia="zh-CN" w:bidi="zh-CN"/>
        </w:rPr>
        <w:t>永州市市场监督管理局的智慧监管系统和永州市气瓶信息化监管系统，实际已于2022年11月完成了等级保护测评；</w:t>
      </w:r>
      <w:r>
        <w:rPr>
          <w:rFonts w:hint="eastAsia" w:ascii="Times New Roman" w:hAnsi="Times New Roman" w:eastAsia="仿宋_GB2312" w:cs="Times New Roman"/>
          <w:b w:val="0"/>
          <w:bCs/>
          <w:sz w:val="32"/>
          <w:szCs w:val="32"/>
          <w:lang w:val="en-US" w:eastAsia="zh-CN" w:bidi="zh-CN"/>
        </w:rPr>
        <w:t>三是</w:t>
      </w:r>
      <w:r>
        <w:rPr>
          <w:rFonts w:hint="default" w:ascii="Times New Roman" w:hAnsi="Times New Roman" w:eastAsia="仿宋_GB2312" w:cs="Times New Roman"/>
          <w:b w:val="0"/>
          <w:bCs/>
          <w:sz w:val="32"/>
          <w:szCs w:val="32"/>
          <w:lang w:val="en-US" w:eastAsia="zh-CN" w:bidi="zh-CN"/>
        </w:rPr>
        <w:t>存在部分系统实际已停用的情况，未能在采购之前及时</w:t>
      </w:r>
      <w:r>
        <w:rPr>
          <w:rFonts w:hint="eastAsia" w:ascii="Times New Roman" w:hAnsi="Times New Roman" w:eastAsia="仿宋_GB2312" w:cs="Times New Roman"/>
          <w:b w:val="0"/>
          <w:bCs/>
          <w:sz w:val="32"/>
          <w:szCs w:val="32"/>
          <w:lang w:val="en-US" w:eastAsia="zh-CN" w:bidi="zh-CN"/>
        </w:rPr>
        <w:t>处理</w:t>
      </w:r>
      <w:r>
        <w:rPr>
          <w:rFonts w:hint="default" w:ascii="Times New Roman" w:hAnsi="Times New Roman" w:eastAsia="仿宋_GB2312" w:cs="Times New Roman"/>
          <w:b w:val="0"/>
          <w:bCs/>
          <w:sz w:val="32"/>
          <w:szCs w:val="32"/>
          <w:lang w:val="en-US" w:eastAsia="zh-CN" w:bidi="zh-CN"/>
        </w:rPr>
        <w:t>，如永州市应急管理局的永州智慧安监、永州市水利局的永州市防汛抗旱信息系统等。</w:t>
      </w:r>
    </w:p>
    <w:p w14:paraId="1278A749">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jc w:val="both"/>
        <w:textAlignment w:val="auto"/>
        <w:rPr>
          <w:rFonts w:hint="eastAsia" w:ascii="Times New Roman" w:hAnsi="Times New Roman" w:cs="Times New Roman"/>
          <w:lang w:val="en-US" w:eastAsia="zh-CN"/>
        </w:rPr>
      </w:pPr>
      <w:bookmarkStart w:id="176" w:name="_Toc10295"/>
      <w:bookmarkStart w:id="177" w:name="_Toc22916"/>
      <w:bookmarkStart w:id="178" w:name="_Toc5643"/>
      <w:bookmarkStart w:id="179" w:name="_Toc22387"/>
      <w:bookmarkStart w:id="180" w:name="_Toc29075"/>
      <w:r>
        <w:rPr>
          <w:rFonts w:hint="eastAsia" w:ascii="Times New Roman" w:hAnsi="Times New Roman" w:eastAsia="楷体_GB2312" w:cs="Times New Roman"/>
          <w:b/>
          <w:sz w:val="32"/>
          <w:szCs w:val="36"/>
          <w:lang w:val="en-US" w:eastAsia="zh-CN" w:bidi="ar-SA"/>
        </w:rPr>
        <w:t>（三）</w:t>
      </w:r>
      <w:r>
        <w:rPr>
          <w:rFonts w:hint="eastAsia" w:ascii="Times New Roman" w:hAnsi="Times New Roman" w:cs="Times New Roman"/>
          <w:lang w:val="en-US" w:eastAsia="zh-CN"/>
        </w:rPr>
        <w:t>项目建设管理不规范</w:t>
      </w:r>
      <w:bookmarkEnd w:id="176"/>
      <w:bookmarkEnd w:id="177"/>
      <w:bookmarkEnd w:id="178"/>
      <w:bookmarkEnd w:id="179"/>
    </w:p>
    <w:p w14:paraId="3D5CE2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b w:val="0"/>
          <w:bCs/>
          <w:sz w:val="32"/>
          <w:szCs w:val="32"/>
          <w:lang w:val="en-US"/>
        </w:rPr>
      </w:pPr>
      <w:r>
        <w:rPr>
          <w:rFonts w:hint="default" w:ascii="Times New Roman" w:hAnsi="Times New Roman" w:eastAsia="仿宋_GB2312" w:cs="Times New Roman"/>
          <w:b w:val="0"/>
          <w:bCs/>
          <w:sz w:val="32"/>
          <w:szCs w:val="32"/>
          <w:lang w:val="en-US" w:eastAsia="zh-CN"/>
        </w:rPr>
        <w:t>一是项目变更程序不合规，如永州智慧政协（二期）项目，根据《项目合同补充协议书》，中国人民政治协商会议湖南省永州委员会与中国联合网络通信有限公司永州市分公司根据项目实际情况及建设单位实际业务需求变化对合同约定内容进行调整，补充合同无签订时间，补充合同签订领导批示时间为2021年6月24日，而工程变更申请审批通过时间为2020年11月27日，项目变更补充合同签订不及时。二是部分项目进度缓慢、部分项目验收不及时、个别项目验收不规范，如永州智慧政协（二期）项目，2019年11月签订永州市智慧政协（二期）项目采购合同，根据合同约定，应于合同签订后22个工作日内完成项目建设，系统开发建设应于2019年12月底之前完成，因试运行期间发生了工程变更，项目实际终验时间为2021年2月1日。三是个别项目资料报审与开工审批程序倒置，如雪亮工程项目，经审核项目实施资料，湖南致信信息股份有限公司下发开工令时间为2021年6月6日，项目工程施工组织设计/方案报审时间为2021年6月15日，审核通过时间为2021年6月16日；根据监理单位下发的《监理工程师通知单》，截至2021年6月30日，建设单位仍未补齐开工报审资料。</w:t>
      </w:r>
      <w:bookmarkEnd w:id="180"/>
    </w:p>
    <w:p w14:paraId="7D45F336">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jc w:val="both"/>
        <w:textAlignment w:val="auto"/>
        <w:rPr>
          <w:rFonts w:hint="eastAsia" w:ascii="Times New Roman" w:hAnsi="Times New Roman" w:cs="Times New Roman"/>
          <w:lang w:val="en-US" w:eastAsia="zh-CN"/>
        </w:rPr>
      </w:pPr>
      <w:bookmarkStart w:id="181" w:name="_Toc28102"/>
      <w:bookmarkStart w:id="182" w:name="_Toc19222"/>
      <w:bookmarkStart w:id="183" w:name="_Toc6820"/>
      <w:bookmarkStart w:id="184" w:name="_Toc11889"/>
      <w:bookmarkStart w:id="185" w:name="_Toc13229"/>
      <w:r>
        <w:rPr>
          <w:rFonts w:hint="eastAsia" w:ascii="Times New Roman" w:hAnsi="Times New Roman" w:eastAsia="楷体_GB2312" w:cs="Times New Roman"/>
          <w:b/>
          <w:sz w:val="32"/>
          <w:szCs w:val="36"/>
          <w:lang w:val="en-US" w:eastAsia="zh-CN" w:bidi="ar-SA"/>
        </w:rPr>
        <w:t>（四）</w:t>
      </w:r>
      <w:r>
        <w:rPr>
          <w:rFonts w:hint="eastAsia" w:ascii="Times New Roman" w:hAnsi="Times New Roman" w:cs="Times New Roman"/>
          <w:lang w:val="en-US" w:eastAsia="zh-CN"/>
        </w:rPr>
        <w:t>主管部门后续监管不到位</w:t>
      </w:r>
      <w:bookmarkEnd w:id="181"/>
      <w:bookmarkEnd w:id="182"/>
      <w:bookmarkEnd w:id="183"/>
      <w:bookmarkEnd w:id="184"/>
      <w:bookmarkEnd w:id="185"/>
    </w:p>
    <w:p w14:paraId="78A94D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lang w:val="en-US" w:eastAsia="zh-CN"/>
        </w:rPr>
      </w:pPr>
      <w:r>
        <w:rPr>
          <w:rFonts w:hint="eastAsia" w:ascii="Times New Roman" w:hAnsi="Times New Roman" w:eastAsia="仿宋_GB2312" w:cs="Times New Roman"/>
          <w:b w:val="0"/>
          <w:bCs/>
          <w:sz w:val="32"/>
          <w:szCs w:val="32"/>
          <w:lang w:val="en-US" w:eastAsia="zh-CN"/>
        </w:rPr>
        <w:t>项目完成后存在重建设、轻管理现象。一是运维管理流于形式，如智慧永州项目，评价组对其2022年至2023年6月份运行维护报告进行审查，发现云计算中心日常巡查记录表内容均未填写、运行维护报告所属日期与报告内容不一致，如2022年6月《系统运行维护报告》，报告封面日期为9月，系统版本记录为2022年10月20日，且经对比，2022年6月与2023年1月份《系统运行维护报告》内容一致，运维报告信息不真实。二是个别项目建设后未签订运维合同，如智慧永州视频共享平台项目，项目于2017年7月14日开工建设，于2018年3月7日完成验收，项目整体质保期2年，项目建成后未就运维事项签订相关合同，共享平台处于无运维保障的运转状态。</w:t>
      </w:r>
    </w:p>
    <w:p w14:paraId="5D9E6C06">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jc w:val="both"/>
        <w:textAlignment w:val="auto"/>
        <w:rPr>
          <w:rFonts w:hint="eastAsia" w:ascii="Times New Roman" w:hAnsi="Times New Roman" w:cs="Times New Roman"/>
          <w:lang w:val="en-US" w:eastAsia="zh-CN"/>
        </w:rPr>
      </w:pPr>
      <w:bookmarkStart w:id="186" w:name="_Toc27125"/>
      <w:bookmarkStart w:id="187" w:name="_Toc17093"/>
      <w:bookmarkStart w:id="188" w:name="_Toc4070"/>
      <w:bookmarkStart w:id="189" w:name="_Toc1195"/>
      <w:bookmarkStart w:id="190" w:name="_Toc8777"/>
      <w:r>
        <w:rPr>
          <w:rFonts w:hint="eastAsia" w:ascii="Times New Roman" w:hAnsi="Times New Roman" w:eastAsia="楷体_GB2312" w:cs="Times New Roman"/>
          <w:b/>
          <w:sz w:val="32"/>
          <w:szCs w:val="36"/>
          <w:lang w:val="en-US" w:eastAsia="zh-CN" w:bidi="ar-SA"/>
        </w:rPr>
        <w:t>（五）</w:t>
      </w:r>
      <w:r>
        <w:rPr>
          <w:rFonts w:hint="eastAsia" w:ascii="Times New Roman" w:hAnsi="Times New Roman" w:cs="Times New Roman"/>
          <w:lang w:val="en-US" w:eastAsia="zh-CN"/>
        </w:rPr>
        <w:t>信息化资产管理</w:t>
      </w:r>
      <w:bookmarkEnd w:id="186"/>
      <w:bookmarkEnd w:id="187"/>
      <w:bookmarkEnd w:id="188"/>
      <w:r>
        <w:rPr>
          <w:rFonts w:hint="eastAsia" w:ascii="Times New Roman" w:hAnsi="Times New Roman" w:cs="Times New Roman"/>
          <w:lang w:val="en-US" w:eastAsia="zh-CN"/>
        </w:rPr>
        <w:t>权责未厘清</w:t>
      </w:r>
      <w:bookmarkEnd w:id="189"/>
    </w:p>
    <w:p w14:paraId="1442045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lang w:val="en-US" w:eastAsia="zh-CN"/>
        </w:rPr>
      </w:pPr>
      <w:r>
        <w:rPr>
          <w:rFonts w:hint="eastAsia" w:ascii="Times New Roman" w:hAnsi="Times New Roman" w:eastAsia="仿宋_GB2312" w:cs="Times New Roman"/>
          <w:b w:val="0"/>
          <w:bCs/>
          <w:sz w:val="32"/>
          <w:szCs w:val="32"/>
          <w:lang w:val="en-US" w:eastAsia="zh-CN"/>
        </w:rPr>
        <w:t>信息化资产界定不够明确、分类不够清晰，</w:t>
      </w:r>
      <w:bookmarkEnd w:id="190"/>
      <w:r>
        <w:rPr>
          <w:rFonts w:hint="eastAsia" w:ascii="Times New Roman" w:hAnsi="Times New Roman" w:eastAsia="仿宋_GB2312" w:cs="Times New Roman"/>
          <w:b w:val="0"/>
          <w:bCs/>
          <w:sz w:val="32"/>
          <w:szCs w:val="32"/>
          <w:lang w:val="en-US" w:eastAsia="zh-CN"/>
        </w:rPr>
        <w:t>不利于部门信息化资产管理，后期信息化运维费用支出范围较难界定。</w:t>
      </w:r>
      <w:r>
        <w:rPr>
          <w:rFonts w:hint="eastAsia" w:ascii="Times New Roman" w:hAnsi="Times New Roman" w:eastAsia="仿宋_GB2312" w:cs="Times New Roman"/>
          <w:b w:val="0"/>
          <w:bCs/>
          <w:sz w:val="32"/>
          <w:szCs w:val="32"/>
          <w:highlight w:val="none"/>
          <w:lang w:val="en-US" w:eastAsia="zh-CN"/>
        </w:rPr>
        <w:t>如雪亮工程项目已于2022年10月通过国家验收，</w:t>
      </w:r>
      <w:r>
        <w:rPr>
          <w:rFonts w:hint="eastAsia" w:ascii="Times New Roman" w:hAnsi="Times New Roman" w:eastAsia="仿宋_GB2312" w:cs="Times New Roman"/>
          <w:b w:val="0"/>
          <w:bCs/>
          <w:sz w:val="32"/>
          <w:szCs w:val="32"/>
          <w:lang w:val="en-US" w:eastAsia="zh-CN"/>
        </w:rPr>
        <w:t>截至2024年3月27日，项目仍未完全移交。按照《永州市（市本级）公共安全视频监控建设联网项目合同》，联通数据科技有限公司提供的免费运维期自2022年10月国家验收完成至2023年10月，为期一年，截至绩效评价日，因项目资产权属划分不明晰，未就该项目与联通数据科技有限公司签订后续运维服务合同。</w:t>
      </w:r>
    </w:p>
    <w:p w14:paraId="331C2E4E">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default" w:ascii="Times New Roman" w:hAnsi="Times New Roman" w:eastAsia="楷体_GB2312" w:cs="Times New Roman"/>
          <w:b/>
          <w:sz w:val="32"/>
          <w:szCs w:val="36"/>
          <w:highlight w:val="none"/>
          <w:lang w:val="en-US" w:eastAsia="zh-CN" w:bidi="ar-SA"/>
        </w:rPr>
      </w:pPr>
      <w:bookmarkStart w:id="191" w:name="_Toc30576"/>
      <w:r>
        <w:rPr>
          <w:rFonts w:hint="eastAsia" w:ascii="Times New Roman" w:hAnsi="Times New Roman" w:eastAsia="楷体_GB2312" w:cs="Times New Roman"/>
          <w:b/>
          <w:sz w:val="32"/>
          <w:szCs w:val="36"/>
          <w:lang w:val="en-US" w:eastAsia="zh-CN" w:bidi="ar-SA"/>
        </w:rPr>
        <w:t>（六）</w:t>
      </w:r>
      <w:r>
        <w:rPr>
          <w:rFonts w:hint="eastAsia" w:ascii="Times New Roman" w:hAnsi="Times New Roman" w:eastAsia="楷体_GB2312" w:cs="Times New Roman"/>
          <w:b/>
          <w:sz w:val="32"/>
          <w:szCs w:val="36"/>
          <w:highlight w:val="none"/>
          <w:lang w:val="en-US" w:eastAsia="zh-CN" w:bidi="ar-SA"/>
        </w:rPr>
        <w:t>信息化数据共享供需对接不够充分</w:t>
      </w:r>
      <w:bookmarkEnd w:id="191"/>
    </w:p>
    <w:p w14:paraId="12BB4AE9">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3" w:firstLineChars="200"/>
        <w:jc w:val="both"/>
        <w:textAlignment w:val="auto"/>
        <w:outlineLvl w:val="9"/>
        <w:rPr>
          <w:rFonts w:hint="eastAsia"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bCs/>
          <w:sz w:val="32"/>
          <w:szCs w:val="32"/>
          <w:lang w:val="en-US" w:eastAsia="zh-CN" w:bidi="zh-CN"/>
        </w:rPr>
        <w:t>一是部分系统贡献质量不高、使用率低。</w:t>
      </w:r>
      <w:r>
        <w:rPr>
          <w:rFonts w:hint="eastAsia" w:ascii="仿宋_GB2312" w:hAnsi="仿宋_GB2312" w:eastAsia="仿宋_GB2312" w:cs="仿宋_GB2312"/>
          <w:sz w:val="32"/>
          <w:szCs w:val="32"/>
          <w:lang w:val="en-US" w:eastAsia="zh-CN" w:bidi="zh-CN"/>
        </w:rPr>
        <w:t>当前数据共享仍是“部门主导”，没有体现“需求导向”，存在政务数据“拿不到”、“拿不全”、“共享数据无人问津”等现象，</w:t>
      </w:r>
      <w:r>
        <w:rPr>
          <w:rFonts w:hint="eastAsia" w:ascii="Times New Roman" w:hAnsi="Times New Roman" w:eastAsia="仿宋_GB2312" w:cs="Times New Roman"/>
          <w:sz w:val="32"/>
          <w:szCs w:val="32"/>
          <w:lang w:val="en-US" w:eastAsia="zh-CN" w:bidi="zh-CN"/>
        </w:rPr>
        <w:t>系统价值有待进一步挖掘</w:t>
      </w:r>
      <w:r>
        <w:rPr>
          <w:rFonts w:hint="default" w:ascii="Times New Roman" w:hAnsi="Times New Roman" w:eastAsia="仿宋_GB2312" w:cs="Times New Roman"/>
          <w:sz w:val="32"/>
          <w:szCs w:val="32"/>
          <w:lang w:val="en-US" w:eastAsia="zh-CN" w:bidi="zh-CN"/>
        </w:rPr>
        <w:t>。</w:t>
      </w:r>
      <w:r>
        <w:rPr>
          <w:rFonts w:hint="eastAsia" w:ascii="Times New Roman" w:hAnsi="Times New Roman" w:eastAsia="仿宋_GB2312" w:cs="Times New Roman"/>
          <w:sz w:val="32"/>
          <w:szCs w:val="32"/>
          <w:lang w:val="en-US" w:eastAsia="zh-CN" w:bidi="zh-CN"/>
        </w:rPr>
        <w:t>如智慧永州项目，目前冷水滩区、道县、祁阳市、新田县等9个区县通过数据拷贝形式共享，存在数据更新不及时、准确性不高的问题，且行政审批局依托现有资源难以监测系统各模块数据资源更新是否及时；如永州智慧政协（二期）项目，政协履职质量评价体系模块弃用，2023年12月用户登录次数仅6次，2024年4月用户登录次数仅29次，用户使用率低。主要原因为：智慧政协系统模块与政协云系统模块存在功能重叠部分，目前大部分政协履职工作均按照省委员会办公厅指导意见通过政协云系统完成，不再重复工作内容，且2023年度无“三创三争三好”考核要求，故政协履职质量评价体系模块无使用需求；此外，存在智慧政协平台与湖南省政协云平台统计数据不一致的情况，截至2024年4月23日，智慧政协平台中社情民意3401条，湖南省政协云平台2232条，智慧政协平台中微建议13781条，湖南省政协云平台16632条，智慧政协平台中提案数2819条，湖南省政协云平台992条。经了解，主要原因如下：一是智慧政协平台中早期部分数据为人工补录，存在补录不齐全的情况，二是自政协委员工作与湖南省政协云平台融合后，智慧政协大部分数据来源于自动抓取湖南省政协云平台业务数据，存在数据丢失的情况。</w:t>
      </w:r>
    </w:p>
    <w:p w14:paraId="6541850D">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3" w:firstLineChars="200"/>
        <w:jc w:val="both"/>
        <w:textAlignment w:val="auto"/>
        <w:outlineLvl w:val="9"/>
        <w:rPr>
          <w:rFonts w:hint="eastAsia"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bCs/>
          <w:sz w:val="32"/>
          <w:szCs w:val="32"/>
          <w:lang w:val="en-US" w:eastAsia="zh-CN" w:bidi="zh-CN"/>
        </w:rPr>
        <w:t>二是个别项目设备运行率较低。</w:t>
      </w:r>
      <w:r>
        <w:rPr>
          <w:rFonts w:hint="eastAsia" w:ascii="Times New Roman" w:hAnsi="Times New Roman" w:eastAsia="仿宋_GB2312" w:cs="Times New Roman"/>
          <w:sz w:val="32"/>
          <w:szCs w:val="32"/>
          <w:lang w:val="en-US" w:eastAsia="zh-CN" w:bidi="zh-CN"/>
        </w:rPr>
        <w:t>如雪亮工程项目，由于项目运维已到期，运维公司已停止前端运维工作，目前市本级雪亮工程监控建设点位在线率及社会监控共享接入点位在线率较低。根据永州市市级共享总平台显示，截至2024年3月27日，市本级雪亮工程监控总点位数743个，在线点位533个，在线率71.73%。经补充了解，市委市政府会议已明确了运维主体为市公安局，目前在走相关移交和申请预算流程，运维合同签订后能按要求恢复。</w:t>
      </w:r>
    </w:p>
    <w:p w14:paraId="71FEFFB0">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3" w:firstLineChars="200"/>
        <w:jc w:val="both"/>
        <w:textAlignment w:val="auto"/>
        <w:outlineLvl w:val="9"/>
        <w:rPr>
          <w:rFonts w:hint="default"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bCs/>
          <w:sz w:val="32"/>
          <w:szCs w:val="32"/>
          <w:highlight w:val="none"/>
          <w:lang w:val="en-US" w:eastAsia="zh-CN" w:bidi="zh-CN"/>
        </w:rPr>
        <w:t>三是项目整改不及时。</w:t>
      </w:r>
      <w:r>
        <w:rPr>
          <w:rFonts w:hint="eastAsia" w:ascii="Times New Roman" w:hAnsi="Times New Roman" w:eastAsia="仿宋_GB2312" w:cs="Times New Roman"/>
          <w:sz w:val="32"/>
          <w:szCs w:val="32"/>
          <w:lang w:val="en-US" w:eastAsia="zh-CN" w:bidi="zh-CN"/>
        </w:rPr>
        <w:t>截至2024年3月27日，</w:t>
      </w:r>
      <w:r>
        <w:rPr>
          <w:rFonts w:hint="eastAsia" w:ascii="Times New Roman" w:hAnsi="Times New Roman" w:eastAsia="仿宋_GB2312" w:cs="Times New Roman"/>
          <w:sz w:val="32"/>
          <w:szCs w:val="32"/>
          <w:highlight w:val="none"/>
          <w:lang w:val="en-US" w:eastAsia="zh-CN" w:bidi="zh-CN"/>
        </w:rPr>
        <w:t>全市政府信息系统等级保护测评项目</w:t>
      </w:r>
      <w:r>
        <w:rPr>
          <w:rFonts w:hint="eastAsia" w:ascii="Times New Roman" w:hAnsi="Times New Roman" w:eastAsia="仿宋_GB2312" w:cs="Times New Roman"/>
          <w:sz w:val="32"/>
          <w:szCs w:val="32"/>
          <w:lang w:val="en-US" w:eastAsia="zh-CN" w:bidi="zh-CN"/>
        </w:rPr>
        <w:t>已完成初测并需要整改的系统共65个，仅两个系统完成整改和回归测试并出具《等级测评报告》，整改完成率3.08%。</w:t>
      </w:r>
    </w:p>
    <w:p w14:paraId="3AB1A497">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default" w:ascii="Times New Roman" w:hAnsi="Times New Roman" w:eastAsia="楷体_GB2312" w:cs="Times New Roman"/>
          <w:b/>
          <w:sz w:val="32"/>
          <w:szCs w:val="36"/>
          <w:lang w:val="en-US" w:eastAsia="zh-CN" w:bidi="ar-SA"/>
        </w:rPr>
      </w:pPr>
      <w:bookmarkStart w:id="192" w:name="_Toc10643"/>
      <w:bookmarkStart w:id="193" w:name="_Toc8570"/>
      <w:bookmarkStart w:id="194" w:name="_Toc6571"/>
      <w:bookmarkStart w:id="195" w:name="_Toc28136"/>
      <w:r>
        <w:rPr>
          <w:rFonts w:hint="eastAsia" w:ascii="Times New Roman" w:hAnsi="Times New Roman" w:eastAsia="楷体_GB2312" w:cs="Times New Roman"/>
          <w:b/>
          <w:sz w:val="32"/>
          <w:szCs w:val="36"/>
          <w:lang w:val="en-US" w:eastAsia="zh-CN" w:bidi="ar-SA"/>
        </w:rPr>
        <w:t>（七）政府采购管理不规范</w:t>
      </w:r>
      <w:bookmarkEnd w:id="192"/>
      <w:bookmarkEnd w:id="193"/>
      <w:bookmarkEnd w:id="194"/>
      <w:bookmarkEnd w:id="195"/>
    </w:p>
    <w:p w14:paraId="63062D18">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3" w:firstLineChars="200"/>
        <w:jc w:val="both"/>
        <w:textAlignment w:val="auto"/>
        <w:outlineLvl w:val="9"/>
        <w:rPr>
          <w:rFonts w:hint="default" w:ascii="Times New Roman" w:hAnsi="Times New Roman" w:eastAsia="仿宋_GB2312" w:cs="Times New Roman"/>
          <w:sz w:val="32"/>
          <w:szCs w:val="32"/>
          <w:lang w:val="en-US" w:eastAsia="zh-CN" w:bidi="zh-CN"/>
        </w:rPr>
      </w:pPr>
      <w:r>
        <w:rPr>
          <w:rFonts w:hint="eastAsia" w:ascii="Times New Roman" w:hAnsi="Times New Roman" w:eastAsia="仿宋_GB2312" w:cs="Times New Roman"/>
          <w:b/>
          <w:bCs/>
          <w:sz w:val="32"/>
          <w:szCs w:val="32"/>
          <w:lang w:val="en-US" w:eastAsia="zh-CN" w:bidi="zh-CN"/>
        </w:rPr>
        <w:t>一是未严格落实政府采购流程。</w:t>
      </w:r>
      <w:r>
        <w:rPr>
          <w:rFonts w:hint="eastAsia" w:ascii="Times New Roman" w:hAnsi="Times New Roman" w:eastAsia="仿宋_GB2312" w:cs="Times New Roman"/>
          <w:b w:val="0"/>
          <w:sz w:val="32"/>
          <w:szCs w:val="32"/>
          <w:lang w:val="en-US" w:eastAsia="zh-CN" w:bidi="zh-CN"/>
        </w:rPr>
        <w:t>根据《中华人民共和国政府采购法》、《湖南省2016年省级政府集中采购目录及政府采购限额标准》等文件，服务项目金额达到100万元以上的项目应当采用公开招标方式，但永州市云计算服务项目未落实政府采购流程，直接签订了项目服务合同，采购流程不够规范。二是存在合同履行在前，签订在后的情况。如永州市政府门户网站运维、电子政务外网网络租赁以及电信电路服务业务费用项目。</w:t>
      </w:r>
    </w:p>
    <w:p w14:paraId="5B2F1127">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textAlignment w:val="auto"/>
        <w:rPr>
          <w:rFonts w:hint="eastAsia" w:ascii="Times New Roman" w:hAnsi="Times New Roman" w:cs="Times New Roman"/>
          <w:lang w:val="en-US" w:eastAsia="zh-CN"/>
        </w:rPr>
      </w:pPr>
      <w:bookmarkStart w:id="196" w:name="_Toc26042"/>
      <w:bookmarkStart w:id="197" w:name="_Toc26894"/>
      <w:bookmarkStart w:id="198" w:name="_Toc31616"/>
      <w:bookmarkStart w:id="199" w:name="_Toc25153"/>
      <w:bookmarkStart w:id="200" w:name="_Toc26627"/>
      <w:r>
        <w:rPr>
          <w:rFonts w:hint="eastAsia" w:ascii="Times New Roman" w:hAnsi="Times New Roman" w:eastAsia="楷体_GB2312" w:cs="Times New Roman"/>
          <w:b/>
          <w:sz w:val="32"/>
          <w:szCs w:val="36"/>
          <w:lang w:val="en-US" w:eastAsia="zh-CN" w:bidi="ar-SA"/>
        </w:rPr>
        <w:t>（八）</w:t>
      </w:r>
      <w:r>
        <w:rPr>
          <w:rFonts w:hint="eastAsia" w:ascii="Times New Roman" w:hAnsi="Times New Roman" w:cs="Times New Roman"/>
          <w:lang w:val="en-US" w:eastAsia="zh-CN"/>
        </w:rPr>
        <w:t>合同管理不规范</w:t>
      </w:r>
      <w:bookmarkEnd w:id="196"/>
      <w:bookmarkEnd w:id="197"/>
      <w:bookmarkEnd w:id="198"/>
      <w:bookmarkEnd w:id="199"/>
    </w:p>
    <w:p w14:paraId="478405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楷体_GB2312" w:cs="Times New Roman"/>
          <w:lang w:val="en-US" w:eastAsia="zh-CN"/>
        </w:rPr>
      </w:pPr>
      <w:r>
        <w:rPr>
          <w:rFonts w:hint="eastAsia" w:ascii="Times New Roman" w:hAnsi="Times New Roman" w:eastAsia="仿宋_GB2312" w:cs="Times New Roman"/>
          <w:b w:val="0"/>
          <w:sz w:val="32"/>
          <w:szCs w:val="32"/>
          <w:lang w:val="en-US" w:eastAsia="zh-CN" w:bidi="zh-CN"/>
        </w:rPr>
        <w:t>一是个别项目合同变更不规范，如全市政府信息系统等级保护测评项目因存在重复采购以及部分系统已停用的情况，经合同签订双方协商，在保持原合同价不变的情况下，采取替换系统测评的形式完成合同约定测评数量，但截至2024年4月，双方未就该情况签订补充协议。二是个别项目未严格履行合同约定。根据智慧永州综合应用电子政务公共平台项目合同签订内容，运维服务期第六年，投资方和采购方对前5年合同履行情况进行综合评价，并于当年6月底前确定是否续约服务。智慧永州项目（一期）于2017年5月19日完成终验，经审核，2023年度投资与采购方未对合同履行情况进行综合评价。三是合同签订不及时。电子政务外网网络租赁项目于2019年8月22日在市公共资源交易中心完成招标，按照中标通知书的规定，施工单位应在收到通知书7个工作日内签订施工合同并备案，实际于2019年11月14日签订完成。四是未按合同约定支付款项。如全市政府信息系统等级保护测评项目，根据《网络安全等级保护测评项目合同书》第三条第二点，合同生效后的15个工作日内甲方将合同总价款的50%支付给乙方，截至2024年3月27日，该资金仍未支付。</w:t>
      </w:r>
    </w:p>
    <w:bookmarkEnd w:id="200"/>
    <w:p w14:paraId="33AC4807">
      <w:pPr>
        <w:pStyle w:val="3"/>
        <w:keepNext/>
        <w:keepLines/>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cs="Times New Roman"/>
          <w:highlight w:val="none"/>
          <w:lang w:val="en-US"/>
        </w:rPr>
      </w:pPr>
      <w:bookmarkStart w:id="201" w:name="_Toc27027"/>
      <w:bookmarkStart w:id="202" w:name="_Toc19271"/>
      <w:bookmarkStart w:id="203" w:name="_Toc20841"/>
      <w:bookmarkStart w:id="204" w:name="_Toc14666"/>
      <w:bookmarkStart w:id="205" w:name="_Toc15808"/>
      <w:r>
        <w:rPr>
          <w:rFonts w:hint="eastAsia" w:ascii="Times New Roman" w:hAnsi="Times New Roman" w:cs="Times New Roman"/>
          <w:highlight w:val="none"/>
          <w:lang w:val="en-US" w:eastAsia="zh-CN"/>
        </w:rPr>
        <w:t>七</w:t>
      </w:r>
      <w:r>
        <w:rPr>
          <w:rFonts w:hint="default" w:ascii="Times New Roman" w:hAnsi="Times New Roman" w:cs="Times New Roman"/>
          <w:highlight w:val="none"/>
          <w:lang w:val="en-US"/>
        </w:rPr>
        <w:t>、相关建议</w:t>
      </w:r>
      <w:bookmarkEnd w:id="201"/>
      <w:bookmarkEnd w:id="202"/>
      <w:bookmarkEnd w:id="203"/>
      <w:bookmarkEnd w:id="204"/>
      <w:bookmarkEnd w:id="205"/>
    </w:p>
    <w:p w14:paraId="1E9964FE">
      <w:pPr>
        <w:pStyle w:val="4"/>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Times New Roman" w:hAnsi="Times New Roman" w:cs="Times New Roman"/>
          <w:lang w:eastAsia="zh-CN"/>
        </w:rPr>
      </w:pPr>
      <w:bookmarkStart w:id="206" w:name="_Toc6781"/>
      <w:bookmarkStart w:id="207" w:name="_Toc19045"/>
      <w:bookmarkStart w:id="208" w:name="_Toc25831"/>
      <w:bookmarkStart w:id="209" w:name="_Toc12235"/>
      <w:bookmarkStart w:id="210" w:name="_Toc21538"/>
      <w:bookmarkStart w:id="211" w:name="_Toc13517"/>
      <w:r>
        <w:rPr>
          <w:rFonts w:hint="default" w:ascii="Times New Roman" w:hAnsi="Times New Roman" w:cs="Times New Roman"/>
        </w:rPr>
        <w:t>（一）</w:t>
      </w:r>
      <w:bookmarkEnd w:id="206"/>
      <w:r>
        <w:rPr>
          <w:rFonts w:hint="eastAsia" w:ascii="Times New Roman" w:hAnsi="Times New Roman" w:cs="Times New Roman"/>
          <w:lang w:val="en-US" w:eastAsia="zh-CN"/>
        </w:rPr>
        <w:t>提高</w:t>
      </w:r>
      <w:r>
        <w:rPr>
          <w:rFonts w:hint="default" w:ascii="Times New Roman" w:hAnsi="Times New Roman" w:cs="Times New Roman"/>
        </w:rPr>
        <w:t>预算绩效管理意识</w:t>
      </w:r>
      <w:bookmarkEnd w:id="207"/>
      <w:bookmarkEnd w:id="208"/>
      <w:bookmarkEnd w:id="209"/>
      <w:bookmarkEnd w:id="210"/>
    </w:p>
    <w:p w14:paraId="50E305C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val="0"/>
          <w:bCs/>
          <w:sz w:val="32"/>
          <w:szCs w:val="32"/>
          <w:lang w:val="en-US"/>
        </w:rPr>
        <w:t>一是</w:t>
      </w:r>
      <w:r>
        <w:rPr>
          <w:rFonts w:hint="eastAsia" w:ascii="Times New Roman" w:hAnsi="Times New Roman" w:eastAsia="仿宋_GB2312" w:cs="Times New Roman"/>
          <w:b w:val="0"/>
          <w:bCs/>
          <w:sz w:val="32"/>
          <w:szCs w:val="32"/>
          <w:lang w:val="en-US" w:eastAsia="zh-CN"/>
        </w:rPr>
        <w:t>预算</w:t>
      </w:r>
      <w:r>
        <w:rPr>
          <w:rFonts w:hint="default" w:ascii="Times New Roman" w:hAnsi="Times New Roman" w:eastAsia="仿宋_GB2312" w:cs="Times New Roman"/>
          <w:b w:val="0"/>
          <w:bCs/>
          <w:sz w:val="32"/>
          <w:szCs w:val="32"/>
          <w:lang w:val="en-US"/>
        </w:rPr>
        <w:t>绩效管理制度化。应建立健全绩效管理制度，包括绩效管理工作内容、责任主体、管理原则等。</w:t>
      </w:r>
      <w:r>
        <w:rPr>
          <w:rFonts w:hint="eastAsia" w:ascii="Times New Roman" w:hAnsi="Times New Roman" w:eastAsia="仿宋_GB2312" w:cs="Times New Roman"/>
          <w:b w:val="0"/>
          <w:bCs/>
          <w:sz w:val="32"/>
          <w:szCs w:val="32"/>
          <w:lang w:val="en-US" w:eastAsia="zh-CN"/>
        </w:rPr>
        <w:t>二是</w:t>
      </w:r>
      <w:r>
        <w:rPr>
          <w:rFonts w:hint="default" w:ascii="Times New Roman" w:hAnsi="Times New Roman" w:eastAsia="仿宋_GB2312" w:cs="Times New Roman"/>
          <w:b w:val="0"/>
          <w:bCs/>
          <w:sz w:val="32"/>
          <w:szCs w:val="32"/>
          <w:lang w:val="en-US"/>
        </w:rPr>
        <w:t>建议各预算单位根据部门实际情况，</w:t>
      </w:r>
      <w:r>
        <w:rPr>
          <w:rFonts w:hint="eastAsia" w:ascii="Times New Roman" w:hAnsi="Times New Roman" w:eastAsia="仿宋_GB2312" w:cs="Times New Roman"/>
          <w:b w:val="0"/>
          <w:bCs/>
          <w:sz w:val="32"/>
          <w:szCs w:val="32"/>
          <w:lang w:val="en-US" w:eastAsia="zh-CN"/>
        </w:rPr>
        <w:t>对</w:t>
      </w:r>
      <w:r>
        <w:rPr>
          <w:rFonts w:hint="default" w:ascii="Times New Roman" w:hAnsi="Times New Roman" w:eastAsia="仿宋_GB2312" w:cs="Times New Roman"/>
          <w:b w:val="0"/>
          <w:bCs/>
          <w:sz w:val="32"/>
          <w:szCs w:val="32"/>
          <w:lang w:val="en-US"/>
        </w:rPr>
        <w:t>项目支出绩效评价指标中的“绩效”根据单位实际情况进行合理的细化和量化，通过自评表各项评价指标，直观反映绩效目标完成情况。</w:t>
      </w:r>
      <w:bookmarkEnd w:id="211"/>
    </w:p>
    <w:p w14:paraId="4B90C167">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eastAsia" w:ascii="Times New Roman" w:hAnsi="Times New Roman" w:eastAsia="楷体_GB2312" w:cs="Times New Roman"/>
          <w:b/>
          <w:sz w:val="32"/>
          <w:szCs w:val="36"/>
          <w:lang w:val="en-US" w:eastAsia="zh-CN" w:bidi="ar-SA"/>
        </w:rPr>
      </w:pPr>
      <w:bookmarkStart w:id="212" w:name="_Toc26433"/>
      <w:r>
        <w:rPr>
          <w:rFonts w:hint="eastAsia" w:ascii="Times New Roman" w:hAnsi="Times New Roman" w:eastAsia="楷体_GB2312" w:cs="Times New Roman"/>
          <w:b/>
          <w:sz w:val="32"/>
          <w:szCs w:val="36"/>
          <w:lang w:val="en-US" w:eastAsia="zh-CN" w:bidi="ar-SA"/>
        </w:rPr>
        <w:t>（二）完善统筹管理机制</w:t>
      </w:r>
      <w:bookmarkEnd w:id="212"/>
    </w:p>
    <w:p w14:paraId="012006D7">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lang w:val="en-US" w:eastAsia="zh-CN" w:bidi="zh-CN"/>
        </w:rPr>
      </w:pPr>
      <w:r>
        <w:rPr>
          <w:rFonts w:hint="eastAsia" w:ascii="Times New Roman" w:hAnsi="Times New Roman" w:eastAsia="仿宋_GB2312" w:cs="Times New Roman"/>
          <w:b w:val="0"/>
          <w:bCs/>
          <w:sz w:val="32"/>
          <w:szCs w:val="32"/>
          <w:lang w:val="en-US" w:eastAsia="zh-CN" w:bidi="zh-CN"/>
        </w:rPr>
        <w:t>强化机制保障，按照以统为主、统分结合、注重实效的原则，组织跨部门、跨层级的信息化建设。明确目标、责任、牵头单位和实施机构，将推动政务信息系统跨部门、跨层级互联互通、信息共享作为建设主线贯穿始终。</w:t>
      </w:r>
    </w:p>
    <w:p w14:paraId="48AE2CCB">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default" w:ascii="Times New Roman" w:hAnsi="Times New Roman" w:eastAsia="楷体_GB2312" w:cs="Times New Roman"/>
          <w:b/>
          <w:sz w:val="32"/>
          <w:szCs w:val="36"/>
          <w:lang w:val="en-US" w:eastAsia="zh-CN" w:bidi="ar-SA"/>
        </w:rPr>
      </w:pPr>
      <w:bookmarkStart w:id="213" w:name="_Toc19112"/>
      <w:r>
        <w:rPr>
          <w:rFonts w:hint="eastAsia" w:ascii="Times New Roman" w:hAnsi="Times New Roman" w:eastAsia="楷体_GB2312" w:cs="Times New Roman"/>
          <w:b/>
          <w:sz w:val="32"/>
          <w:szCs w:val="36"/>
          <w:lang w:val="en-US" w:eastAsia="zh-CN" w:bidi="ar-SA"/>
        </w:rPr>
        <w:t>（三）规范项目建设管理</w:t>
      </w:r>
      <w:bookmarkEnd w:id="213"/>
    </w:p>
    <w:p w14:paraId="41AB916E">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落实项目单位对项目实施全过程管理的责任，提高项目管理的全面性和精细性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加强主管部门对项目单位的监督检查。</w:t>
      </w:r>
      <w:r>
        <w:rPr>
          <w:rFonts w:hint="eastAsia" w:ascii="Times New Roman" w:hAnsi="Times New Roman" w:eastAsia="仿宋_GB2312" w:cs="Times New Roman"/>
          <w:sz w:val="32"/>
          <w:szCs w:val="32"/>
          <w:lang w:val="en-US" w:eastAsia="zh-CN"/>
        </w:rPr>
        <w:t>一是落实项目建设主体责任，及时跟进项目建设进度，及时沟通协调建设过程中的问题，督促承建单位按时完成建设任务。二是进一步完善项目长效管理机制，有效防范系统风险，加强对运维单位的管理，根据日常维护情况以及故障发生统计，针对系统中存在的隐患问题，加大维护保养力度，增加巡检频率，部署信息化监控手段，使运行维护规范化、检查考核常态化。</w:t>
      </w:r>
    </w:p>
    <w:p w14:paraId="050FCB90">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default" w:ascii="Times New Roman" w:hAnsi="Times New Roman" w:eastAsia="楷体_GB2312" w:cs="Times New Roman"/>
          <w:b/>
          <w:sz w:val="32"/>
          <w:szCs w:val="36"/>
          <w:highlight w:val="none"/>
          <w:lang w:val="en-US" w:eastAsia="zh-CN" w:bidi="ar-SA"/>
        </w:rPr>
      </w:pPr>
      <w:bookmarkStart w:id="214" w:name="_Toc13196"/>
      <w:bookmarkStart w:id="215" w:name="_Toc1602"/>
      <w:bookmarkStart w:id="216" w:name="_Toc11818"/>
      <w:bookmarkStart w:id="217" w:name="_Toc15938"/>
      <w:r>
        <w:rPr>
          <w:rFonts w:hint="eastAsia" w:ascii="Times New Roman" w:hAnsi="Times New Roman" w:eastAsia="楷体_GB2312" w:cs="Times New Roman"/>
          <w:b/>
          <w:sz w:val="32"/>
          <w:szCs w:val="36"/>
          <w:lang w:val="en-US" w:eastAsia="zh-CN" w:bidi="ar-SA"/>
        </w:rPr>
        <w:t>（四）</w:t>
      </w:r>
      <w:bookmarkEnd w:id="214"/>
      <w:bookmarkEnd w:id="215"/>
      <w:bookmarkEnd w:id="216"/>
      <w:r>
        <w:rPr>
          <w:rFonts w:hint="eastAsia" w:ascii="Times New Roman" w:hAnsi="Times New Roman" w:eastAsia="楷体_GB2312" w:cs="Times New Roman"/>
          <w:b/>
          <w:sz w:val="32"/>
          <w:szCs w:val="36"/>
          <w:highlight w:val="none"/>
          <w:lang w:val="en-US" w:eastAsia="zh-CN" w:bidi="ar-SA"/>
        </w:rPr>
        <w:t>强化主管部门监管</w:t>
      </w:r>
      <w:bookmarkEnd w:id="217"/>
    </w:p>
    <w:p w14:paraId="55E881D2">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一是建立健全信息化资产管理制度，严格按照制度规范信息化资产管理。及时办理信息化资产移交手续，明晰管理责任。二是加强项目建设后续运维管理，提升运维管理的精细化能力。搭建一体化的运维平台，实施运维对象集中管控和智能运维，建设包括“监、管、控、析、安、服”等在内的一体化运维平台，形成运维数据、运维工具、运维流程、运维团队的一体化运维管理能力，确立以统一运维平台为抓手的现代化运维模式，构建一体化的运维管理体系，优化运维保障流程。</w:t>
      </w:r>
    </w:p>
    <w:p w14:paraId="67975133">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eastAsia" w:ascii="Times New Roman" w:hAnsi="Times New Roman" w:eastAsia="楷体_GB2312" w:cs="Times New Roman"/>
          <w:b/>
          <w:sz w:val="32"/>
          <w:szCs w:val="36"/>
          <w:lang w:val="en-US" w:eastAsia="zh-CN" w:bidi="ar-SA"/>
        </w:rPr>
      </w:pPr>
      <w:bookmarkStart w:id="218" w:name="_Toc12917"/>
      <w:bookmarkStart w:id="219" w:name="_Toc29467"/>
      <w:bookmarkStart w:id="220" w:name="_Toc30512"/>
      <w:bookmarkStart w:id="221" w:name="_Toc5860"/>
      <w:r>
        <w:rPr>
          <w:rFonts w:hint="eastAsia" w:ascii="Times New Roman" w:hAnsi="Times New Roman" w:eastAsia="楷体_GB2312" w:cs="Times New Roman"/>
          <w:b/>
          <w:sz w:val="32"/>
          <w:szCs w:val="36"/>
          <w:lang w:val="en-US" w:eastAsia="zh-CN" w:bidi="ar-SA"/>
        </w:rPr>
        <w:t>（五）加强信息化安全保障能力</w:t>
      </w:r>
      <w:bookmarkEnd w:id="218"/>
    </w:p>
    <w:p w14:paraId="1EB2FE70">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强化安全管理责任，完善数据安全运维运营保障机制，明确各方权责，建立信息化系统安全评估、责任落实个重大事件处置机制；二是提升安全保障能力，建立健全动态监测、协同相应的信息化安全技术保障体系，强化日常监测、通报预警等。</w:t>
      </w:r>
    </w:p>
    <w:p w14:paraId="3BC9DC13">
      <w:pPr>
        <w:pStyle w:val="8"/>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3" w:firstLineChars="200"/>
        <w:jc w:val="both"/>
        <w:textAlignment w:val="auto"/>
        <w:outlineLvl w:val="1"/>
        <w:rPr>
          <w:rFonts w:hint="eastAsia" w:ascii="Times New Roman" w:hAnsi="Times New Roman" w:eastAsia="楷体_GB2312" w:cs="Times New Roman"/>
          <w:b/>
          <w:sz w:val="32"/>
          <w:szCs w:val="36"/>
          <w:lang w:val="en-US" w:eastAsia="zh-CN" w:bidi="ar-SA"/>
        </w:rPr>
      </w:pPr>
      <w:bookmarkStart w:id="222" w:name="_Toc12165"/>
      <w:r>
        <w:rPr>
          <w:rFonts w:hint="eastAsia" w:ascii="Times New Roman" w:hAnsi="Times New Roman" w:eastAsia="楷体_GB2312" w:cs="Times New Roman"/>
          <w:b/>
          <w:sz w:val="32"/>
          <w:szCs w:val="36"/>
          <w:lang w:val="en-US" w:eastAsia="zh-CN" w:bidi="ar-SA"/>
        </w:rPr>
        <w:t>（六）制定行业数据激励机制</w:t>
      </w:r>
      <w:bookmarkEnd w:id="219"/>
      <w:bookmarkEnd w:id="220"/>
      <w:bookmarkEnd w:id="221"/>
      <w:bookmarkEnd w:id="222"/>
    </w:p>
    <w:p w14:paraId="3DE158CF">
      <w:pPr>
        <w:pStyle w:val="8"/>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Chars="0" w:firstLine="640" w:firstLineChars="200"/>
        <w:jc w:val="both"/>
        <w:textAlignment w:val="auto"/>
        <w:outlineLvl w:val="9"/>
        <w:rPr>
          <w:rFonts w:hint="default" w:ascii="Times New Roman" w:hAnsi="Times New Roman" w:eastAsia="楷体_GB2312" w:cs="Times New Roman"/>
          <w:b/>
          <w:sz w:val="32"/>
          <w:szCs w:val="36"/>
          <w:lang w:val="en-US" w:eastAsia="zh-CN" w:bidi="ar-SA"/>
        </w:rPr>
      </w:pPr>
      <w:r>
        <w:rPr>
          <w:rFonts w:hint="eastAsia" w:ascii="Times New Roman" w:hAnsi="Times New Roman" w:eastAsia="仿宋_GB2312" w:cs="Times New Roman"/>
          <w:sz w:val="32"/>
          <w:szCs w:val="32"/>
          <w:lang w:val="en-US" w:eastAsia="zh-CN" w:bidi="zh-CN"/>
        </w:rPr>
        <w:t>探索数据共享激励机制，将数据质量、数据利用率，数据贡献度等纳入数据共享评价体系，对数据共享突出、积极共享数据的单位给予表彰、奖励等支持，对产生的共享成果建立补偿机制，提高数据共享开放的主动性和积极性，建立信息化项目建设与数据共享挂钩机制，未落实数据共享开放要求的不予批准项目建设，做到先共享再续建、新建设必共享。探索数据共享监测模式，建立数据共享监督与问责机制，发挥数据供应和使用部门的监督作用，加快完善各行业数据应用标准规范，统一共享数据的类型、格式、属性，提高数据可用性，降低数据利用的复杂度，推动数据要素融合运用，切实保障数据安全可用。</w:t>
      </w:r>
    </w:p>
    <w:p w14:paraId="032E2EE7">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textAlignment w:val="auto"/>
        <w:rPr>
          <w:rFonts w:hint="eastAsia" w:ascii="Times New Roman" w:hAnsi="Times New Roman" w:cs="Times New Roman"/>
          <w:lang w:val="en-US" w:eastAsia="zh-CN"/>
        </w:rPr>
      </w:pPr>
      <w:bookmarkStart w:id="223" w:name="_Toc5960"/>
      <w:bookmarkStart w:id="224" w:name="_Toc30688"/>
      <w:bookmarkStart w:id="225" w:name="_Toc8255"/>
      <w:bookmarkStart w:id="226" w:name="_Toc4516"/>
      <w:bookmarkStart w:id="227" w:name="_Toc48"/>
      <w:r>
        <w:rPr>
          <w:rFonts w:hint="eastAsia" w:ascii="Times New Roman" w:hAnsi="Times New Roman" w:eastAsia="楷体_GB2312" w:cs="Times New Roman"/>
          <w:b/>
          <w:sz w:val="32"/>
          <w:szCs w:val="36"/>
          <w:lang w:val="en-US" w:eastAsia="zh-CN" w:bidi="ar-SA"/>
        </w:rPr>
        <w:t>（</w:t>
      </w:r>
      <w:r>
        <w:rPr>
          <w:rFonts w:hint="eastAsia" w:ascii="Times New Roman" w:hAnsi="Times New Roman" w:cs="Times New Roman"/>
          <w:b/>
          <w:sz w:val="32"/>
          <w:szCs w:val="36"/>
          <w:lang w:val="en-US" w:eastAsia="zh-CN" w:bidi="ar-SA"/>
        </w:rPr>
        <w:t>七</w:t>
      </w:r>
      <w:r>
        <w:rPr>
          <w:rFonts w:hint="eastAsia" w:ascii="Times New Roman" w:hAnsi="Times New Roman" w:eastAsia="楷体_GB2312" w:cs="Times New Roman"/>
          <w:b/>
          <w:sz w:val="32"/>
          <w:szCs w:val="36"/>
          <w:lang w:val="en-US" w:eastAsia="zh-CN" w:bidi="ar-SA"/>
        </w:rPr>
        <w:t>）</w:t>
      </w:r>
      <w:r>
        <w:rPr>
          <w:rFonts w:hint="eastAsia" w:ascii="Times New Roman" w:hAnsi="Times New Roman" w:cs="Times New Roman"/>
          <w:b/>
          <w:sz w:val="32"/>
          <w:szCs w:val="36"/>
          <w:lang w:val="en-US" w:eastAsia="zh-CN" w:bidi="ar-SA"/>
        </w:rPr>
        <w:t>深化数据高效共享</w:t>
      </w:r>
      <w:bookmarkEnd w:id="223"/>
      <w:bookmarkEnd w:id="224"/>
      <w:bookmarkEnd w:id="225"/>
      <w:bookmarkEnd w:id="226"/>
    </w:p>
    <w:p w14:paraId="6819ED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firstLine="640" w:firstLineChars="200"/>
        <w:jc w:val="both"/>
        <w:textAlignment w:val="auto"/>
        <w:outlineLvl w:val="9"/>
        <w:rPr>
          <w:rFonts w:hint="eastAsia" w:ascii="Times New Roman" w:hAnsi="Times New Roman" w:eastAsia="仿宋_GB2312" w:cs="Times New Roman"/>
          <w:b w:val="0"/>
          <w:sz w:val="32"/>
          <w:szCs w:val="32"/>
          <w:lang w:val="en-US" w:eastAsia="zh-CN" w:bidi="zh-CN"/>
        </w:rPr>
      </w:pPr>
      <w:r>
        <w:rPr>
          <w:rFonts w:hint="eastAsia" w:ascii="Times New Roman" w:hAnsi="Times New Roman" w:eastAsia="仿宋_GB2312" w:cs="Times New Roman"/>
          <w:b w:val="0"/>
          <w:sz w:val="32"/>
          <w:szCs w:val="32"/>
          <w:lang w:val="en-US" w:eastAsia="zh-CN" w:bidi="zh-CN"/>
        </w:rPr>
        <w:t>按照“谁管理谁负责、谁提供谁负责、谁使用谁负责”的原则，建立健全数据质量反馈整改责任机制和激励机制，加强数据质量事前、事中和事后监督检查，实现问题数据可反馈、共享过程可追溯、数据质量问题可定责，推动数据源头治理、系统治理。强化数据提供部门数据治理职责，数据提供部门要按照法律法规和相关标准规范严格履行数据归集、加工、共享等工作职责，确保数据真实、可用、有效共享。完善数据安全运营监管保障机制，构建统一高效、协同联动的数据安全运行管理体系，形成数据安全管理闭环，筑牢数据安全防线。</w:t>
      </w:r>
      <w:bookmarkEnd w:id="227"/>
    </w:p>
    <w:p w14:paraId="2DC1EB8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3" w:firstLineChars="200"/>
        <w:textAlignment w:val="auto"/>
        <w:rPr>
          <w:rFonts w:hint="default" w:ascii="Times New Roman" w:hAnsi="Times New Roman" w:cs="Times New Roman"/>
          <w:lang w:val="en-US" w:eastAsia="zh-CN"/>
        </w:rPr>
      </w:pPr>
      <w:bookmarkStart w:id="228" w:name="_Toc16220"/>
      <w:r>
        <w:rPr>
          <w:rFonts w:hint="eastAsia" w:ascii="Times New Roman" w:hAnsi="Times New Roman" w:eastAsia="楷体_GB2312" w:cs="Times New Roman"/>
          <w:b/>
          <w:sz w:val="32"/>
          <w:szCs w:val="36"/>
          <w:lang w:val="en-US" w:eastAsia="zh-CN" w:bidi="ar-SA"/>
        </w:rPr>
        <w:t>（</w:t>
      </w:r>
      <w:r>
        <w:rPr>
          <w:rFonts w:hint="eastAsia" w:ascii="Times New Roman" w:hAnsi="Times New Roman" w:cs="Times New Roman"/>
          <w:b/>
          <w:sz w:val="32"/>
          <w:szCs w:val="36"/>
          <w:lang w:val="en-US" w:eastAsia="zh-CN" w:bidi="ar-SA"/>
        </w:rPr>
        <w:t>八</w:t>
      </w:r>
      <w:r>
        <w:rPr>
          <w:rFonts w:hint="eastAsia" w:ascii="Times New Roman" w:hAnsi="Times New Roman" w:eastAsia="楷体_GB2312" w:cs="Times New Roman"/>
          <w:b/>
          <w:sz w:val="32"/>
          <w:szCs w:val="36"/>
          <w:lang w:val="en-US" w:eastAsia="zh-CN" w:bidi="ar-SA"/>
        </w:rPr>
        <w:t>）</w:t>
      </w:r>
      <w:r>
        <w:rPr>
          <w:rFonts w:hint="eastAsia" w:ascii="Times New Roman" w:hAnsi="Times New Roman" w:cs="Times New Roman"/>
          <w:b/>
          <w:sz w:val="32"/>
          <w:szCs w:val="36"/>
          <w:lang w:val="en-US" w:eastAsia="zh-CN" w:bidi="ar-SA"/>
        </w:rPr>
        <w:t>抓好合同及采购管理</w:t>
      </w:r>
      <w:bookmarkEnd w:id="228"/>
    </w:p>
    <w:p w14:paraId="639C197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highlight w:val="none"/>
          <w:lang w:val="en-US" w:eastAsia="zh-CN"/>
        </w:rPr>
        <w:t>一是严格遵循合同管理制度。项目合同内容发生变时，应及时签订项目合同补充协议等。确保项目建设实施合规。</w:t>
      </w:r>
      <w:r>
        <w:rPr>
          <w:rFonts w:hint="eastAsia" w:ascii="Times New Roman" w:hAnsi="Times New Roman" w:eastAsia="仿宋_GB2312" w:cs="Times New Roman"/>
          <w:sz w:val="32"/>
          <w:szCs w:val="32"/>
          <w:lang w:val="en-US" w:eastAsia="zh-CN"/>
        </w:rPr>
        <w:t>二是规范项目实施流程，明确相关采购、验收、归档流程和相关要求。加大对政府采购过程的监管和指导力度，严格规范、落实政府采购程序，切忌流程倒置，扩大项目实施风险。</w:t>
      </w:r>
    </w:p>
    <w:p w14:paraId="5A66207F">
      <w:pPr>
        <w:pageBreakBefore w:val="0"/>
        <w:widowControl w:val="0"/>
        <w:kinsoku/>
        <w:wordWrap/>
        <w:topLinePunct w:val="0"/>
        <w:autoSpaceDE w:val="0"/>
        <w:autoSpaceDN w:val="0"/>
        <w:bidi w:val="0"/>
        <w:adjustRightInd w:val="0"/>
        <w:snapToGrid w:val="0"/>
        <w:spacing w:line="600" w:lineRule="exact"/>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湖南</w:t>
      </w:r>
      <w:r>
        <w:rPr>
          <w:rFonts w:hint="eastAsia" w:ascii="Times New Roman" w:hAnsi="Times New Roman" w:eastAsia="仿宋" w:cs="Times New Roman"/>
          <w:sz w:val="32"/>
          <w:szCs w:val="32"/>
          <w:lang w:val="en-US" w:eastAsia="zh-CN"/>
        </w:rPr>
        <w:t>省</w:t>
      </w:r>
      <w:r>
        <w:rPr>
          <w:rFonts w:hint="default" w:ascii="Times New Roman" w:hAnsi="Times New Roman" w:eastAsia="仿宋_GB2312" w:cs="Times New Roman"/>
          <w:sz w:val="32"/>
          <w:szCs w:val="32"/>
          <w:lang w:val="en-US" w:eastAsia="zh-CN"/>
        </w:rPr>
        <w:t>效政管理咨询</w:t>
      </w:r>
      <w:r>
        <w:rPr>
          <w:rFonts w:hint="default" w:ascii="Times New Roman" w:hAnsi="Times New Roman" w:eastAsia="仿宋_GB2312" w:cs="Times New Roman"/>
          <w:sz w:val="32"/>
          <w:szCs w:val="32"/>
          <w:lang w:val="en-US"/>
        </w:rPr>
        <w:t>有限</w:t>
      </w:r>
      <w:r>
        <w:rPr>
          <w:rFonts w:hint="eastAsia" w:ascii="Times New Roman" w:hAnsi="Times New Roman" w:eastAsia="仿宋_GB2312" w:cs="Times New Roman"/>
          <w:sz w:val="32"/>
          <w:szCs w:val="32"/>
          <w:lang w:val="en-US" w:eastAsia="zh-CN"/>
        </w:rPr>
        <w:t>公司</w:t>
      </w:r>
    </w:p>
    <w:p w14:paraId="18035978">
      <w:pPr>
        <w:pageBreakBefore w:val="0"/>
        <w:widowControl w:val="0"/>
        <w:kinsoku/>
        <w:wordWrap/>
        <w:topLinePunct w:val="0"/>
        <w:autoSpaceDE w:val="0"/>
        <w:autoSpaceDN w:val="0"/>
        <w:bidi w:val="0"/>
        <w:adjustRightInd w:val="0"/>
        <w:snapToGrid w:val="0"/>
        <w:spacing w:line="600" w:lineRule="exact"/>
        <w:jc w:val="righ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月</w:t>
      </w:r>
    </w:p>
    <w:bookmarkEnd w:id="56"/>
    <w:p w14:paraId="63BECA45">
      <w:pPr>
        <w:pageBreakBefore w:val="0"/>
        <w:widowControl w:val="0"/>
        <w:kinsoku/>
        <w:wordWrap/>
        <w:topLinePunct w:val="0"/>
        <w:bidi w:val="0"/>
        <w:snapToGrid w:val="0"/>
        <w:spacing w:line="600" w:lineRule="exact"/>
        <w:textAlignment w:val="auto"/>
        <w:rPr>
          <w:rFonts w:hint="default" w:ascii="Times New Roman" w:hAnsi="Times New Roman" w:cs="Times New Roman"/>
          <w:lang w:val="en-US"/>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6" w:charSpace="0"/>
        </w:sectPr>
      </w:pPr>
    </w:p>
    <w:p w14:paraId="5A27596F">
      <w:pPr>
        <w:keepNext w:val="0"/>
        <w:keepLines w:val="0"/>
        <w:pageBreakBefore w:val="0"/>
        <w:widowControl w:val="0"/>
        <w:kinsoku/>
        <w:wordWrap/>
        <w:overflowPunct/>
        <w:topLinePunct w:val="0"/>
        <w:autoSpaceDE w:val="0"/>
        <w:autoSpaceDN w:val="0"/>
        <w:bidi w:val="0"/>
        <w:adjustRightInd/>
        <w:snapToGrid/>
        <w:ind w:left="0" w:leftChars="0" w:firstLine="0" w:firstLineChars="0"/>
        <w:textAlignment w:val="auto"/>
        <w:outlineLvl w:val="0"/>
        <w:rPr>
          <w:rFonts w:hint="default" w:ascii="Times New Roman" w:hAnsi="Times New Roman" w:eastAsia="楷体_GB2312" w:cs="Times New Roman"/>
          <w:b/>
          <w:kern w:val="2"/>
          <w:sz w:val="32"/>
          <w:szCs w:val="28"/>
          <w:lang w:val="en-US" w:eastAsia="zh-CN" w:bidi="ar-SA"/>
        </w:rPr>
      </w:pPr>
      <w:bookmarkStart w:id="229" w:name="_Toc5020"/>
      <w:bookmarkStart w:id="230" w:name="_Toc7283"/>
      <w:bookmarkStart w:id="231" w:name="_Toc29654"/>
      <w:bookmarkStart w:id="232" w:name="_Toc32643"/>
      <w:bookmarkStart w:id="233" w:name="_Toc29818"/>
      <w:r>
        <w:rPr>
          <w:rFonts w:hint="default" w:ascii="Times New Roman" w:hAnsi="Times New Roman" w:eastAsia="楷体_GB2312" w:cs="Times New Roman"/>
          <w:b/>
          <w:kern w:val="2"/>
          <w:sz w:val="32"/>
          <w:szCs w:val="28"/>
          <w:lang w:val="en-US" w:eastAsia="zh-CN" w:bidi="ar-SA"/>
        </w:rPr>
        <w:t>附件1：项目绩效评价指标体系评分表</w:t>
      </w:r>
      <w:bookmarkEnd w:id="229"/>
      <w:bookmarkEnd w:id="230"/>
      <w:bookmarkEnd w:id="231"/>
      <w:bookmarkEnd w:id="232"/>
      <w:bookmarkEnd w:id="233"/>
    </w:p>
    <w:p w14:paraId="44B0D3CD">
      <w:pPr>
        <w:pStyle w:val="2"/>
        <w:rPr>
          <w:rFonts w:hint="default"/>
          <w:lang w:val="en-US"/>
        </w:rPr>
      </w:pPr>
    </w:p>
    <w:tbl>
      <w:tblPr>
        <w:tblStyle w:val="20"/>
        <w:tblW w:w="140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577"/>
        <w:gridCol w:w="911"/>
        <w:gridCol w:w="450"/>
        <w:gridCol w:w="695"/>
        <w:gridCol w:w="545"/>
        <w:gridCol w:w="2498"/>
        <w:gridCol w:w="2376"/>
        <w:gridCol w:w="768"/>
        <w:gridCol w:w="4580"/>
      </w:tblGrid>
      <w:tr w14:paraId="308D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1CA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一级指标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11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57D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二级指标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D96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分值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A30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三级指标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2A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分值</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78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指标解释</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BE7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评价标准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E16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得分</w:t>
            </w:r>
          </w:p>
        </w:tc>
        <w:tc>
          <w:tcPr>
            <w:tcW w:w="4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AD4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评价说明</w:t>
            </w:r>
          </w:p>
        </w:tc>
      </w:tr>
      <w:tr w14:paraId="077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6E77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项目决策</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19B3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FDA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项目立项</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9811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499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立项依据充分性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39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693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项目立项是否符合法律法规、相关政策、发展规划以及部门职责，用以反映和考核决策（立项）的依据情况。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ED5">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①项目立项符合中央、湖南省</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以及</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永州市的法律法规、发展规划和相关政策；</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②项目立项与部门职责范围相符，与部门内部其他相关项目划分明确，避免交叉重复。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424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55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①依据《国务院关于印发“十三五”国家信息化规划的通知》（国发〔2016〕73号）、《湖南省 “十三五”信息化发展规划》（湘网办发〔2018〕19号）、《永州市新型工业化“十三五”发展规划》等文件，永州市确定了信息化领域3-5年的发展规划，明确“积极推进区域数据中心的建设，促进海量数据处理、大数据应用等产业发展，积极发展移动互联网和物联网核心关键技术和高端产品”。</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本次评价项目主要由永州市行政审批局、永州市人民政府办公室、中国共产党永州市委员会办公室以及中国人民政治协商会议湖南省永州市委员会负责组织建设，市级直属单位等部门使用，项目立项与部门职责范围相符，与部门内部其他相关项目划分明确。</w:t>
            </w:r>
          </w:p>
        </w:tc>
      </w:tr>
      <w:tr w14:paraId="5FBD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4F0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DC5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BF3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5FB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311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立项程序规范性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A8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93D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评价项目经费的年度使用计划，申报、批复程序是否符合相关管理办法；项目从立项到实施以及实施过程中的调整是否履行相应手续；项目决策过程是否具体、清晰有效，用以反映和考核项目立项的规范情况。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3E3">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①设立的项目内容是否按照规定的程序申请设立;</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②事前是否已经过必要的可行性研究、技术方案论证</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需求分析</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、专家论证、风险评估、集体决策等。</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F1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A9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各项目立项前已经过必要的可行性研究、技术方案论证</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需求分析</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、专家论证、风险评估、集体决策等。项目立项均有相关部门会议纪要，各项目均编制了项目建设方案，经由市电子政务办审查；由永州市财政局出具预算评审报告，给出项目预算意见。</w:t>
            </w:r>
          </w:p>
        </w:tc>
      </w:tr>
      <w:tr w14:paraId="0F58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37A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B79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145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D8A4">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6B6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方案设计合理性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5F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B6E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运维方案应考虑信息化资产规模，评价建设项目方案是否从长远角度考虑了后期运维的相关问题；是否针对项目进行了必要的技术路线分析，用以反映和考核方案设计合理性。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55A8">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①运维方案考虑了建设方案设计架构、数据等技术适用性分析;</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②运维方案考虑了公共服务信息化系统使用的需求，考虑系统的可扩展性；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A3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CD5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通过对市行政审批局的调研，在项目招标过程中的技术文件中，可以看出设计方案考虑了项目建设方案的设计架构、数据等技</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术</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适用性分析；考虑了系统具有可扩展性等。但存在部分项目存在前期规划不充分，方案设计不合理的情况。如，全市政府信息系统等级保护测评项目，未根据项目实际情况制定具体的实施方案，对检测后整改责任划分不明确，未充分考虑整改资金的保障问题。扣1分。</w:t>
            </w:r>
          </w:p>
        </w:tc>
      </w:tr>
      <w:tr w14:paraId="171E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D3D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ACB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0B28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绩效目标</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C72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7B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绩效目标合理性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4E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CCE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项目所设定的绩效目标是否依据充分，是否符合客观实际，用以反映和考核预算支出绩效目标与预算支出实施的相符情况。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B16">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①是否设置绩效目标或相关的工作任务目标；</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②目标是否符合国家相关法律法规、国民经济发展规划和省委省政府重大部署；</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③是否与实际工作内容具有相关性；</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④预期产出和效果符合正常业绩水平。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2CD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D8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制定了《信息化项目基本运转资金绩效目标表》、《永州市公共安全视频监控建设联网应用项目（雪亮工程）绩效目标表》等，预算支出绩效目标与实际工作内容具有相关性，预期产出和效果符合正常业绩水平，但存在个别项目未设置绩效目标表，如市政府办公大楼电子政务内网机房普通密码设备换装</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涉M</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项目；存在个别指标内容设置与实际工作不相关的情况，如《智慧永州一二期项目尾款绩效目标表》中设置生态效益指标“对环境破坏率”，智慧永州为信息化建设项目，该效益指标与项目内容不匹配。扣0.5分。</w:t>
            </w:r>
          </w:p>
        </w:tc>
      </w:tr>
      <w:tr w14:paraId="42D9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CF4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EDD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7BC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4CC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3E2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绩效指标明确性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E73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1D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依</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据</w:t>
            </w:r>
            <w:bookmarkStart w:id="235" w:name="_GoBack"/>
            <w:bookmarkEnd w:id="235"/>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绩效目标设定的绩效指标是否清晰、细化、可衡量等，用以反映和考核项目绩效目标的明细化情况。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F0D">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①绩效目标从数量、质量、时效以及经济效益、社会效益、生态效益、可持续影响、满意度等方面进行细化、分解；</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②通过清晰、可衡量的指标值予以体现，尽量进行定量表述，不能以量化形式表述的，采用定性形式表述；</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③与目标任务数或工作计划数相对应，与预算确定的项目投资额或资金量相匹配。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58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CE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绩效目标从数量、质量、时效以及经济效益等方面进行细化，能通过清晰、可衡量的指标值予以体现，能较好的与目标任务数或工作计划数相对应。</w:t>
            </w:r>
          </w:p>
        </w:tc>
      </w:tr>
      <w:tr w14:paraId="3697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C81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347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01C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资金投入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A2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E2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预算编制科学性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92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341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预算编制是否经过科学论证、有明确标准，资金额度与年度目标是否相适应，用以反映和考核预算支出预算编制的科学性、合理性情况。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BAF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①各任务</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子项目</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具有明确的需求分析，且与项目内容相匹配;</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预算</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充分考虑信息化资产状况，与信息化资产相匹配，编制依据充分；</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③预算编制合理，年度计划聚焦主干业务，自下而上按需求汇总，并参考以往年度实际需求，制定有明确的测算依据。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72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E2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本项目预算内容与项目内容基本匹配，未出现预算超出项目实施范围现象。项目预算编制合理，年度计划聚焦主干业务，自下而上根据合同签订金额以及项目建设进度进行编制汇总，并参考以往年度实际支出，制定有明确的测算依据。</w:t>
            </w:r>
          </w:p>
        </w:tc>
      </w:tr>
      <w:tr w14:paraId="2AC1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212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项目过程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A82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2ADC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资金管理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0C27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5D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预算执行率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73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856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预算资金是否按照计划执行，用以反映或考核预算支出预算执行情况。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0E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预算执行率=（实际支出资金/实际到位资金）×100%。</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实际支出资金：实际支出的资金。</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得分等于指标分值*预算执行率。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DA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1.92</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16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本项目预算资金5412.69万元，实际支出5191.10万元，预算执行率95.91%。</w:t>
            </w:r>
          </w:p>
        </w:tc>
      </w:tr>
      <w:tr w14:paraId="0CD5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12F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C2C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668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DE0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254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资金使用合规性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03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F8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预算资金使用是否符合相关的财务管理制度规定，用以反映和考核预算资金的规范运行情况。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35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①符合国家财经法规和财务管理制度以及有关专项资金管理办法的规定；</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②运维费支出专项核算，运维费支出已分类核算;</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③资金拨付符合项目预算批复或合同规定的用途;</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④资金的拨付有完整的审批程序和手续；</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⑤支出依据合规、未虚列项目支出，无截留、挤占、挪用项目资金，无超标准开支的情况。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74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55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经核对项目支出记账凭证，资金使用、会计处理符合国家财经法规、会计准则的规定，资金的拨付有完整的审批程序和手续，符合项目预算批复和规定用途。</w:t>
            </w:r>
          </w:p>
        </w:tc>
      </w:tr>
      <w:tr w14:paraId="08E5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FF1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E9D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29EA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组织实施</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DCCE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1F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管理制度健全性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B4B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98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实施单位的财务和业务管理制度是否健全，用以反映和考核财务和业务管理制度对预算支出顺利实施的保障情况。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EAF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①已建立完善的信息化资产管理制度、完备的需求及预算审核制度、资金管理、成本控制、进度控制、质量管理、采购和合同管理等方面的业务管理制度；</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②相关管理制度合法、合规、完整；</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③相关管理制度及时更新，适应实际业务需求。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9A2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5F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市行政审批局信息化工作组织机构健全，但信息化资产管理、数据共享监测、系统运维管理等相关制度有待完善。单位信息化资产界定不够明确、分类不够清晰，信息化主管单位对服务采购项目未能做到按效付费。扣1分。</w:t>
            </w:r>
          </w:p>
        </w:tc>
      </w:tr>
      <w:tr w14:paraId="175F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0485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A4D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3A9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C05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B0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制度执行有效性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2D2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329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项目管理、财务管理、资金管理、资产管理、项目合作管理、档案管理等，是否按相关管理制度有效执行，用以反映和考核相关管理制度的有效执行情况。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3F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①项目实施的人员条件、场地设备、信息支撑等落实到位;</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②项目调整及支出调整履行完整的审批手续;</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③项目严格执行招标投标、政府采购、合同管理、项目验收等制度要求；</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④信息化资产主责部门定期归类整理信息化</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资产台账</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并及时归档，信息化资产掌握详实,分类清晰。</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上述情况每发现一例扣0.2分。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D51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61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实施的人员条件、场地设备、信息支撑等条件均落实到位。但合同管理、政府采购、项目验收、资产管理等方面执行不力。一是政府采购管理不规范，共5例，如永州市政府门户网站运维项目、云计算服务项目未严格落实政府采购流程，如存在政府采购程序后置的情况，电子政务外网网络租赁、电信电路服务业务费用存在合同履约在前，签订在后的情况；二是合同管理不规范，共5例，如全市政府信息系统等级保护测评项目未根据合同变更内容及时补签变更合同，智慧永州项目（一期）未按照合同约定合同在约定年限对合同履行情况进行综合评价；三是项目验收不合规，共1例，如智慧政协（二期）项目验收时合同约定内容未完成；四是资产管理欠规范，共2例，如雪亮工程及智慧永州项目资产移交不及时，存在资产权属划分不清的情况。上述不合规情况共13例，扣2.6分。</w:t>
            </w:r>
          </w:p>
        </w:tc>
      </w:tr>
      <w:tr w14:paraId="355C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91F3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项目产出</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60AC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F407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产出数量</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EB18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31C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项目建设完成率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969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17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实施的实际产出数与计划产出数的比率，用以反映和考核预算支出产出数量目标的实现程度。评价项目实际完成时间和计划完成时间之间是否存在较大差异，用以反映和考核产出时效目标的实现程度。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239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项目建设数量完成率达到100%。项目建设数量完成率=（实际建设数量/计划建设数量）*100%。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18E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C36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2023年度计划新建信息化项目5个，实际按照预期计划完成数字永州指挥中心与市应急指挥中心系统互通项目、永州市“湘易办”旗舰店建设及推广应用项目以及涉M高清电视会议系统设备</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涉M</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的建设工作。如“湘易办”旗舰店建设及推广应用项目省定指标任务为：“一网通办”事项达到700项，集成可应用的电子证照种类达到80类，“湘易办”用户数量达到230万用户（7月后不再考核）。截至2023年11月，已完成“一网通办”事项772项，集成可应用的电子证照114类，推广注册数量155万用户。但存在两个项目进度缓慢，截至2024年4月仍未完工，如全市政府信息系统等级保护测评以及市政府办公大楼电子政务内网机房普通密码设备换装</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涉M</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项目。扣1.6分。</w:t>
            </w:r>
          </w:p>
        </w:tc>
      </w:tr>
      <w:tr w14:paraId="4384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9B8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883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F90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ACF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9B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租赁及服务采购项目完成率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515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7D6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实施的实际产出数与计划产出数的比率，用以反映和考核预算支出产出数量目标的实现程度。评价项目实际完成时间和计划完成时间之间是否存在较大差异，用以反映和考核产出时效目标的实现程度。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61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①服务采购数量完成率达到100%。服务采购数量完成率=（实际采购数量/计划采购数量）*100%。</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②配套设施租赁完成率达到100%。配套设施租赁完成率=（实际完成配套设施租赁数量/计划完成配套设施租赁数量）*100%。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78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FEE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内租赁及服务采购项目共5个，市政务云计算中心机房租赁合同签订时间为2015年1月26日，合同金额180万元，根据合同约定第七年支付尾款66万元，经双方协商2023年度支付尾款50万元，合同款已结清；电子政务外网网络租赁项目于2019年11月14日签订租赁合同，租赁期三年，合同2023年度合计支付358.13万元，余款已结清；“互联网+政务服务”短信服务项目2022年度共发送466.61万条，单价为0.038元/条，2023年度支付17.73万元；云计算服务项目2021年7月1日至2022年6月30日合同周期实际使用云资源5847.51万元，各单位云资源申请均按要求交付，但个别合同内容未完成，主要系2021-2022年因疫情原因</w:t>
            </w: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导致未及时组织</w:t>
            </w:r>
            <w:r>
              <w:rPr>
                <w:rFonts w:hint="eastAsia" w:asci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企业化</w:t>
            </w:r>
            <w:r>
              <w:rPr>
                <w:rFonts w:hint="eastAsia" w:ascii="仿宋_GB2312" w:hAnsi="宋体"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数字领导力培训，</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2023年9月华为协助市委组织部组织</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市委、市政府</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学员到华为现场学习。</w:t>
            </w:r>
          </w:p>
        </w:tc>
      </w:tr>
      <w:tr w14:paraId="185D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B9F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755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68F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FC5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D77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项目运维完成率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C7A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391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实施的实际产出数与计划产出数的比率，用以反映和考核预算支出产出数量目标的实现程度。评价项目实际完成时间和计划完成时间之间是否存在较大差异，用以反映和考核产出时效目标的实现程度。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21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项目运维完成率达到100%。项目运维完成率=（实际运维数量/计划运维数量）*100%。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84F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4D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预算内运维类项目共4个，均按照合同条款约定或系统运维管理办法提供项目运维，运维完成率100%。但评价中发现，存在部分项目运维合同已过期，未续签运维合同导致运维服务目前处于暂停状态的情况，共2例，如，雪亮工程项目，联通数据科技有限公司提供的免费运维期自2022年10月国家验收完成至2023年10月，为期一年，截至2024年4月，因项目资产权属划分不明晰，未就该项目与联通数据科技有限公司签订后续运维服务合同，经补充了解，现</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市委、市政府</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会议已明确了运维主体为市公安局，目前在走相关移交和申请预算流程。存在建设项目运维覆盖不全的情况，如智慧永州视频共享平台项目，项目于2017年7月14日开工建设，于2018年3月7日完成验收，项目整体质保期2年，项目建成后未就运维事项签订相关合同，共享平台处于无运维保障的运转状态。扣0.5分。</w:t>
            </w:r>
          </w:p>
        </w:tc>
      </w:tr>
      <w:tr w14:paraId="3D99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3C0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B6C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6477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产出质量</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DCAA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13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建设程序合规性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B98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14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考察信息化平台建设项目建设程序的合规性。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3C7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合规得满分，每发现一例明显不合规情况扣0.5分。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D14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9F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是建设项目变更程序不规范，如永州市智慧政协（二期）项目，根据《项目合同补充协议书》，中国人民政治协商会议湖南省永州委员会与中国联合网络通信有限公司永州市分公司根据项目实际情况及建设单位实际业务需求变化对合同约定内容进行调整，补充合同无签订时间，补充合同签订领导批示时间为2021年6月24日，而工程变更申请审批通过时间为2020年11月27日，项目变更补充合同签订不及时；二是项目建设程序不规范，如雪亮工程项目，湖南致信信息股份有限公司下发开工令时间为2021年6月6日，项目工程施工组织设计/方案报审时间为2021年6月15日，审核通过时间为2021年6月16日；根据监理单位下发的《监理工程师通知单》，截至2021年6月30日，建设单位仍未补齐开工报审资料。经补充了解，该项目所涉及的点位资料必须要等项目监控点位现场勘测所有相关方签订监控点位变更后方能提供（到了7月点位的勘测和变更确认才结束），所以监理出具了相应监理单督促补充资料。扣0.5分。</w:t>
            </w:r>
          </w:p>
        </w:tc>
      </w:tr>
      <w:tr w14:paraId="7334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CEC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9EA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5CF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815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C95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建设项目验收合格率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379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37B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考察信息化平台建设项目验收合格情况。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47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合格得满分，每发现一例不合格扣0.5分。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F3B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7D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经审核，未见验收不合格的情况，但存在验收时仍未完成合同约定任务的情况，如永州市智慧政协（二期）项目，于2019年11月签订项目合同，根据合同约定，应于合同签订后22个工作日内完成项目建设，项目实际终验时间为2021年2月1日，且验收时海报策划与设计制作、易拉宝策划与设计制作、整体汇报演示方案策划及现场实施及11个县区推广工作均未完成。扣0.5分。</w:t>
            </w:r>
          </w:p>
        </w:tc>
      </w:tr>
      <w:tr w14:paraId="7BA4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207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A15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1C1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ED7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072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信息化系统运行稳定性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F4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398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考察信息化系统是否能够稳定运行，运行维护标准规范性，反映系统在应用层的安全可靠。</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56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①系统平台稳定运行；</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②运维期间无重大事故发生;</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③相关设备稳定运行；</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④设备使用率95%以上。</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上述每发现一项明显不符情况扣1分。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0EE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00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是个别系统存在运维监控不到位的情况，经现场调研及访谈了解，永州市政府门户网站运维2022年度存在技术服务提供不及时、后台卡顿、监测报错等情况共10例，2023年度存在后台信息发布功能故障、服务提供不到位、故障修复不及时等情况共7例；智慧政协（二期）项目；二是个别项目设备运行率较低，如智慧永州项目，截至2024年4月，数字城管摄像头由于道路修建、电力、通讯线路等各种原因导致视频在线率仅31%。扣2分。</w:t>
            </w:r>
          </w:p>
        </w:tc>
      </w:tr>
      <w:tr w14:paraId="18C0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9E2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43B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1EB4">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AAE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17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数据资源管理情况</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B5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4B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考察信息化项目建设中各数据资源共享的及时性、真实性、准确性，考察数据资源申请及使用流程合规性。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FD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①资源共享及时、真实、准确。</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②数据资源申请及使用流程合规。</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上述每发现一例不符扣0.5分。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99F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01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是经访谈了解，目前冷水滩区、道县、祁阳市、新田县等9个区县通过数据拷贝形式共享，数据更新及时性、准确性均有待提高，且行政审批局依托现有资源难以监测系统各模块数据更新是否及时；二是评价组通过统计分析智慧永州综合应用电子政务公共平台业务及基础数据库数据增长情况，发现2022年至2023年期间6个基础数据库中5个数据库无数据增长情况，业务库仅社治事件这一数据项有数据增长，数据共享更新不及时，数据共享质量有待提高；三是华为云计算服务项目，存在云资源申请单填写不规范以及验收交付不及时的情况，如市财政局申请国有资产统计系统云资源，服务商确认时间为2022年9月21日，用户单位验收确认时间为2022年11月22日，与合同约定应在服务商确认订单后10内完成验收交付不符。扣1.5分。</w:t>
            </w:r>
          </w:p>
        </w:tc>
      </w:tr>
      <w:tr w14:paraId="5CB7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1E74">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369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1F8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0C8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387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运维管理规范性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FD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3F3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考察信息化系统建设项目后续运维管理是否规范。</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B2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管理规范得满分，每发现一项不规范扣0.5分。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41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EB3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一是运维管理质量有待提高，存在个别项目运维报告内容不全、重复的情况，如智慧永州项目（一期）；二是个别项目建设后未签订运维合同，如智慧永州视频共享平台项目，项目于2017年7月14日开工建设，于2018年3月7日完成验收，项目整体质保期2年，项目建成后未就运维事项签订相关合同，共享平台处于无运维保障的运转状态。扣1分。</w:t>
            </w:r>
          </w:p>
        </w:tc>
      </w:tr>
      <w:tr w14:paraId="7D5F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4F8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F31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5A18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产出时效</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22B7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9CC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项目完成及时性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E4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12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项目实际完成时间与计划完成时间的比较，用以反映和考核项目产出时效目标的实现程度。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B1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及时得满分，每发现一例不及时扣0.2分，扣完为止。</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D0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53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建设项目基本能按照项目计划及合同约定完工，但存在3例完工不及时、项目进度缓慢的情况，如全市政府信息系统等级保护测评，根据市公安局下发的《关于深入推进全市网络与信息系统安全等级保护工作的通知》，要求于2023年10月31日前完成等级保护测评工作，并报公安机关备案，截至2024年3月27日，已完成66个系统测评，项目完成进度82.5%；市政府办公大楼电子政务内网机房普通密码设备换装</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涉M</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于2023年11月29日签订合同，根据合同约定，由甲方提交密码设备列表申请，乙方待申请批复后组织生产装配，但截至2024年4月，该设备仍未完成安装；永州智慧政协（二期）项目，根据合同约定，应于合同签订后22个工作日内完成项目建设，系统开发建设应于2019年12月底之前完成，因试运行期间发生了工程变更，项目实际终验时间为2021年2月1日。扣0.6分。</w:t>
            </w:r>
          </w:p>
        </w:tc>
      </w:tr>
      <w:tr w14:paraId="302A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25E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743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72E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1E3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373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验收及时性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B27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9D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项目实际验收时间与计划验收时间的比较，用以反映和考核项目产出时效目标的实现程度。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6F6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及时得满分，每发现一例不及时扣0.2分，扣完为止。</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4F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17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建设项目基本能按照项目计划及合同约定及时执行验收程序，但存在2例验收不及时的情况，如永州市政府门户网站运维项目，服务期限为2022年全年，项目验收时间为2023年12月1日；电子政务外网网络租赁项目，根据合同要求，线路联通并使用正常后，甲方在收到乙方的验收申请和相关验收资料后，10个工作日内进行验收，该项目于2019年8月底开始实施，2019年12月底基本完成项目建设，实际于2020年12月12日组织专家评委对项目进行验收。扣0.4分。</w:t>
            </w:r>
          </w:p>
        </w:tc>
      </w:tr>
      <w:tr w14:paraId="0A8E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064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C7A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BE3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4D33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E54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运维报告提交及时性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678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AE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考察实际提交时间与计划提交时间的比较，用以反映和考核项目产出时效目标的实现程度。考察运维项目运维报告提交及时性。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70D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及时得满分，每发现一例不及时扣0.2分，扣完为止。</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F5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465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经了解，第一年度云服务合同期间华为云计算技术有限公司未按时每月向永州市行政审批服务局及时报送运维报告，2023年开始按规定准时报送。扣0.2分。</w:t>
            </w:r>
          </w:p>
        </w:tc>
      </w:tr>
      <w:tr w14:paraId="7C78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387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015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89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产出成本</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3D9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83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资金节约率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882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DE6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评价基础设施、系统软件在持续支持业务发展的同时，减少采购成本。</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6C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各项目资金节约率均≥0%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F2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A7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支出均没有超合同约定金额，采购价格基本严格按照前期调研论证的价格执行。且经项目组核对各项目采购预算及实际合同签订金额，未出现超预算现象，部分实际支付时通过充分协商达成友好核减协议，采购资金节约率均≥0%，如智慧永州一、二期项目总金额8545.99万元，经协商后核减1353.97万元，资金节约率为15.84%。</w:t>
            </w:r>
          </w:p>
        </w:tc>
      </w:tr>
      <w:tr w14:paraId="5CF9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CF01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项目效益</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1360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B1C9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社会效益</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2EA0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009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信息化系统可用性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95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FD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考察信息化系统的可用性。</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2F5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信息化系统能满足政务工作需求，为政务工作提供有力支持。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CAC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81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经项目组现场调研，永州市政府门户网站运维、永州智慧政协（二期）项目、雪亮工程项目、华为云计算服务项目、智慧永州综合应用及电子政务公共平台、“湘易办”等全年均能正常运行，有系统管理人员负责后台运行维护。根据市行政审批局提供的运维报告，未发生出现部分部件失效、影响系统正常运行，或网络丢包严重或延迟较大，影响正常业务运作等严重问题，系统各阶段内运行良好。但部分项目运行仍有所不足，一是存在个别信息化系统以及部分系统模块使用率较低的情况，如，永州智慧政协（二期）项目系统使用率低，2023年12月用户登录次数仅6次，政协履职质量评价体系模块因无考核需求已弃用；智慧永州项目部分模块业务数据产生量为0，使用率低。二是信息化系统使用率较低。评价组通过统计分析智慧永州综合应用电子政务公共平台业务数据增长情况，发现存在个别模块业务数据量增长为0，无使用需求，如社会治理系统,部分数据项2023年度业务数据增长量低于10%，如联动事件系统-社会服务类2023年度较2022年度业务数据量增长率为7.47%，公共服务类系统，宁远县与蓝山县2023年度较2022年度业务数据量增长率分别为7.07%、0.09%。扣2分。</w:t>
            </w:r>
          </w:p>
        </w:tc>
      </w:tr>
      <w:tr w14:paraId="1BAD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14C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602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A4F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C35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C1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社会安全保障能力</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C28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076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考察项目实施是否有效提高社会安全保障能力。</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A7A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监控视频及视频共享平台建设能有效提高社会安全保障能力。</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B4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37D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2023</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年度永州市利用视频监控破解刑事案件</w:t>
            </w:r>
            <w:r>
              <w:rPr>
                <w:rStyle w:val="57"/>
                <w:rFonts w:eastAsia="宋体"/>
                <w:color w:val="000000" w:themeColor="text1"/>
                <w:lang w:val="en-US" w:eastAsia="zh-CN" w:bidi="ar"/>
                <w14:textFill>
                  <w14:solidFill>
                    <w14:schemeClr w14:val="tx1"/>
                  </w14:solidFill>
                </w14:textFill>
              </w:rPr>
              <w:t>1329</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起，处理治安事件</w:t>
            </w:r>
            <w:r>
              <w:rPr>
                <w:rStyle w:val="57"/>
                <w:rFonts w:eastAsia="宋体"/>
                <w:color w:val="000000" w:themeColor="text1"/>
                <w:lang w:val="en-US" w:eastAsia="zh-CN" w:bidi="ar"/>
                <w14:textFill>
                  <w14:solidFill>
                    <w14:schemeClr w14:val="tx1"/>
                  </w14:solidFill>
                </w14:textFill>
              </w:rPr>
              <w:t>2264</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起，处理交通事务</w:t>
            </w:r>
            <w:r>
              <w:rPr>
                <w:rStyle w:val="57"/>
                <w:rFonts w:eastAsia="宋体"/>
                <w:color w:val="000000" w:themeColor="text1"/>
                <w:lang w:val="en-US" w:eastAsia="zh-CN" w:bidi="ar"/>
                <w14:textFill>
                  <w14:solidFill>
                    <w14:schemeClr w14:val="tx1"/>
                  </w14:solidFill>
                </w14:textFill>
              </w:rPr>
              <w:t>1391</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起，抓获犯罪嫌疑人</w:t>
            </w:r>
            <w:r>
              <w:rPr>
                <w:rStyle w:val="57"/>
                <w:rFonts w:eastAsia="宋体"/>
                <w:color w:val="000000" w:themeColor="text1"/>
                <w:lang w:val="en-US" w:eastAsia="zh-CN" w:bidi="ar"/>
                <w14:textFill>
                  <w14:solidFill>
                    <w14:schemeClr w14:val="tx1"/>
                  </w14:solidFill>
                </w14:textFill>
              </w:rPr>
              <w:t>2453</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人，抓获在逃人员</w:t>
            </w:r>
            <w:r>
              <w:rPr>
                <w:rStyle w:val="57"/>
                <w:rFonts w:eastAsia="宋体"/>
                <w:color w:val="000000" w:themeColor="text1"/>
                <w:lang w:val="en-US" w:eastAsia="zh-CN" w:bidi="ar"/>
                <w14:textFill>
                  <w14:solidFill>
                    <w14:schemeClr w14:val="tx1"/>
                  </w14:solidFill>
                </w14:textFill>
              </w:rPr>
              <w:t>1096</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人，寻找走失人口及为社会群众提供服务</w:t>
            </w:r>
            <w:r>
              <w:rPr>
                <w:rStyle w:val="57"/>
                <w:rFonts w:eastAsia="宋体"/>
                <w:color w:val="000000" w:themeColor="text1"/>
                <w:lang w:val="en-US" w:eastAsia="zh-CN" w:bidi="ar"/>
                <w14:textFill>
                  <w14:solidFill>
                    <w14:schemeClr w14:val="tx1"/>
                  </w14:solidFill>
                </w14:textFill>
              </w:rPr>
              <w:t>5977</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次。强化了信息监控，提高社会管控能力，智慧永州项目建设截至</w:t>
            </w:r>
            <w:r>
              <w:rPr>
                <w:rStyle w:val="57"/>
                <w:rFonts w:eastAsia="宋体"/>
                <w:color w:val="000000" w:themeColor="text1"/>
                <w:lang w:val="en-US" w:eastAsia="zh-CN" w:bidi="ar"/>
                <w14:textFill>
                  <w14:solidFill>
                    <w14:schemeClr w14:val="tx1"/>
                  </w14:solidFill>
                </w14:textFill>
              </w:rPr>
              <w:t>2024</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年</w:t>
            </w:r>
            <w:r>
              <w:rPr>
                <w:rStyle w:val="57"/>
                <w:rFonts w:eastAsia="宋体"/>
                <w:color w:val="000000" w:themeColor="text1"/>
                <w:lang w:val="en-US" w:eastAsia="zh-CN" w:bidi="ar"/>
                <w14:textFill>
                  <w14:solidFill>
                    <w14:schemeClr w14:val="tx1"/>
                  </w14:solidFill>
                </w14:textFill>
              </w:rPr>
              <w:t>4</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月针对特殊人群走访服务共</w:t>
            </w:r>
            <w:r>
              <w:rPr>
                <w:rStyle w:val="57"/>
                <w:rFonts w:eastAsia="宋体"/>
                <w:color w:val="000000" w:themeColor="text1"/>
                <w:lang w:val="en-US" w:eastAsia="zh-CN" w:bidi="ar"/>
                <w14:textFill>
                  <w14:solidFill>
                    <w14:schemeClr w14:val="tx1"/>
                  </w14:solidFill>
                </w14:textFill>
              </w:rPr>
              <w:t>325322</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次，分别是完成刑满释放人员服务记录</w:t>
            </w:r>
            <w:r>
              <w:rPr>
                <w:rStyle w:val="57"/>
                <w:rFonts w:eastAsia="宋体"/>
                <w:color w:val="000000" w:themeColor="text1"/>
                <w:lang w:val="en-US" w:eastAsia="zh-CN" w:bidi="ar"/>
                <w14:textFill>
                  <w14:solidFill>
                    <w14:schemeClr w14:val="tx1"/>
                  </w14:solidFill>
                </w14:textFill>
              </w:rPr>
              <w:t>48992</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次、社区矫正人员服务记录</w:t>
            </w:r>
            <w:r>
              <w:rPr>
                <w:rStyle w:val="57"/>
                <w:rFonts w:eastAsia="宋体"/>
                <w:color w:val="000000" w:themeColor="text1"/>
                <w:lang w:val="en-US" w:eastAsia="zh-CN" w:bidi="ar"/>
                <w14:textFill>
                  <w14:solidFill>
                    <w14:schemeClr w14:val="tx1"/>
                  </w14:solidFill>
                </w14:textFill>
              </w:rPr>
              <w:t>20995</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次、易肇事肇祸严重精神病人员服务记录</w:t>
            </w:r>
            <w:r>
              <w:rPr>
                <w:rStyle w:val="57"/>
                <w:rFonts w:eastAsia="宋体"/>
                <w:color w:val="000000" w:themeColor="text1"/>
                <w:lang w:val="en-US" w:eastAsia="zh-CN" w:bidi="ar"/>
                <w14:textFill>
                  <w14:solidFill>
                    <w14:schemeClr w14:val="tx1"/>
                  </w14:solidFill>
                </w14:textFill>
              </w:rPr>
              <w:t>19672</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次、吸毒人员服务记录</w:t>
            </w:r>
            <w:r>
              <w:rPr>
                <w:rStyle w:val="57"/>
                <w:rFonts w:eastAsia="宋体"/>
                <w:color w:val="000000" w:themeColor="text1"/>
                <w:lang w:val="en-US" w:eastAsia="zh-CN" w:bidi="ar"/>
                <w14:textFill>
                  <w14:solidFill>
                    <w14:schemeClr w14:val="tx1"/>
                  </w14:solidFill>
                </w14:textFill>
              </w:rPr>
              <w:t>235663</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次。发现上报</w:t>
            </w:r>
            <w:r>
              <w:rPr>
                <w:rStyle w:val="57"/>
                <w:rFonts w:eastAsia="宋体"/>
                <w:color w:val="000000" w:themeColor="text1"/>
                <w:lang w:val="en-US" w:eastAsia="zh-CN" w:bidi="ar"/>
                <w14:textFill>
                  <w14:solidFill>
                    <w14:schemeClr w14:val="tx1"/>
                  </w14:solidFill>
                </w14:textFill>
              </w:rPr>
              <w:t>125489</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件矛盾纠纷调解线索，调解办结</w:t>
            </w:r>
            <w:r>
              <w:rPr>
                <w:rStyle w:val="57"/>
                <w:rFonts w:eastAsia="宋体"/>
                <w:color w:val="000000" w:themeColor="text1"/>
                <w:lang w:val="en-US" w:eastAsia="zh-CN" w:bidi="ar"/>
                <w14:textFill>
                  <w14:solidFill>
                    <w14:schemeClr w14:val="tx1"/>
                  </w14:solidFill>
                </w14:textFill>
              </w:rPr>
              <w:t>124379</w:t>
            </w:r>
            <w:r>
              <w:rPr>
                <w:rFonts w:hint="eastAsia" w:ascii="仿宋_GB2312"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件。</w:t>
            </w:r>
          </w:p>
        </w:tc>
      </w:tr>
      <w:tr w14:paraId="57CA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D70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769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6A6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20A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8C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社会治理精细化</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F4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676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项目实施对社会治理服务精细化水平的提升作用，反映项目实施对社会治理服务管理的影响。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249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①基本能够覆盖居民需求的社会治理服务；</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②建立全方位的联动处置平台；</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③社会事件结案率95%以上。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980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62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实现全市573万人口、216万户实有房屋、2.3万个综治机构队伍、5.2万特殊人群、2.1万个两新组织等综治数据“一网统管”；基层公共服务覆盖全市3305个村居社区，自运行以来共办理便民服务事项7934613件；整合12345等各类公共服务热线、政府网站、市长信箱、网络问政平台、微信、手机APP、基层网格、数字城管等社情民意接报渠道，按照“六步闭环”工作程序，对基层和群众的咨询、求助、投诉举报等事项建立“一口受理、联动办结”的联动处置工作机制。截止目前共办理3132543件；数字城管自系统运行以来共受理案件59.9万件，结案59.5万件，办结率99%。</w:t>
            </w:r>
          </w:p>
        </w:tc>
      </w:tr>
      <w:tr w14:paraId="4BE9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7D9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E62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1AF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71E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03A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信息整合及数据共享</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00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2F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评价通过系统整合的手段避免出现信息孤岛和僵尸系统,用以反映信息化整合的充分性情况。</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87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①存储、计算、网络和安全、运维已经实现有效整合;</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②数据实现标准化并实现集中管理、充分共享;</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③建立统一应用支撑平台，核心应用在统一平台上，基本消除了信息孤岛、僵尸系统，相关联的业务能够实现集中处理。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C51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56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通过智慧永州综合应用及电子政务公共平台建设，永州市政务数据资源体系建设和共享应用取得初步突破，大数据支撑“放管服”改革作用更加凸显；建设完善了人口、法人、空间地理、 经济信息、房产房屋、城市部件等6大基础数据库，完成了71个系统的数据归集对接，建立了政务信息共享交换平台和政府数据开放平台，初步形成了统一高效、互联互通、安全可靠的数据资源体系。实施“湘易办”旗舰店建设及推广应用项目，推动政务服务从政府部门供给导向向企业和群众需求导向转变，打破事项办理的属地限制，依托创新AI+政务服务系统和</w:t>
            </w:r>
            <w:r>
              <w:rPr>
                <w:rFonts w:hint="eastAsia" w:asci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永州</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全市各级政务服务机构，强化数字政府改革建设支撑，打通业务链条和数据共享堵点，推进政务服务事项“全程智能无人干预秒批秒办”“跨省通办、省内通办”，建设人民满意的服务型政府。但数据共享仍旧存在信息延迟、数据丢失、信息覆盖面不全，共享情况难以监测等情况，如智慧永州项目</w:t>
            </w:r>
            <w:r>
              <w:rPr>
                <w:rFonts w:hint="eastAsia" w:ascii="仿宋_GB2312" w:eastAsia="仿宋_GB2312" w:cs="仿宋_GB2312"/>
                <w:i w:val="0"/>
                <w:iCs w:val="0"/>
                <w:color w:val="000000" w:themeColor="text1"/>
                <w:kern w:val="0"/>
                <w:sz w:val="21"/>
                <w:szCs w:val="21"/>
                <w:u w:val="none"/>
                <w:lang w:val="en-US" w:eastAsia="zh-CN" w:bidi="ar"/>
                <w14:textFill>
                  <w14:solidFill>
                    <w14:schemeClr w14:val="tx1"/>
                  </w14:solidFill>
                </w14:textFill>
              </w:rPr>
              <w:t>为了</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推进数据共享，目前冷水滩区、道县、祁阳市、新田县等9个区县通过数据拷贝形式共享，数据更新及时性、准确性均有待提高，且行政审批局依托现有资源难以监测系统各模块数据资源更新是否及时。扣1分。</w:t>
            </w:r>
          </w:p>
        </w:tc>
      </w:tr>
      <w:tr w14:paraId="070D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46E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A98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EE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服务对象满意度</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932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47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服务对象满意度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46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5B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考察受益对象对项目实施效果的满意程度。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4A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满意度100%得满分，否则按比例得分。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C6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9.44</w:t>
            </w:r>
          </w:p>
        </w:tc>
        <w:tc>
          <w:tcPr>
            <w:tcW w:w="4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128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根据问卷调查结果，智慧永州项目社会公众满意度为96.92%；华为云计算服务项目用户单位满意度为98.56%；雪亮工程项目社会公众满意度为87.78%,项目整体满意度为94.42%。</w:t>
            </w:r>
          </w:p>
        </w:tc>
      </w:tr>
      <w:tr w14:paraId="6538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41C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合计</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EA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83F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 cy="5080"/>
                  <wp:effectExtent l="0" t="0" r="0" b="0"/>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7"/>
                          <a:stretch>
                            <a:fillRect/>
                          </a:stretch>
                        </pic:blipFill>
                        <pic:spPr>
                          <a:xfrm>
                            <a:off x="0" y="0"/>
                            <a:ext cx="15240" cy="5080"/>
                          </a:xfrm>
                          <a:prstGeom prst="rect">
                            <a:avLst/>
                          </a:prstGeom>
                          <a:noFill/>
                          <a:ln>
                            <a:noFill/>
                          </a:ln>
                        </pic:spPr>
                      </pic:pic>
                    </a:graphicData>
                  </a:graphic>
                </wp:anchor>
              </w:drawing>
            </w:r>
            <w:r>
              <w:rPr>
                <w:rFonts w:hint="eastAsia" w:ascii="仿宋_GB2312" w:hAnsi="宋体" w:eastAsia="仿宋_GB2312" w:cs="仿宋_GB2312"/>
                <w:b/>
                <w:bCs/>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 cy="5080"/>
                  <wp:effectExtent l="0" t="0" r="0" b="0"/>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7"/>
                          <a:stretch>
                            <a:fillRect/>
                          </a:stretch>
                        </pic:blipFill>
                        <pic:spPr>
                          <a:xfrm>
                            <a:off x="0" y="0"/>
                            <a:ext cx="15240" cy="5080"/>
                          </a:xfrm>
                          <a:prstGeom prst="rect">
                            <a:avLst/>
                          </a:prstGeom>
                          <a:noFill/>
                          <a:ln>
                            <a:noFill/>
                          </a:ln>
                        </pic:spPr>
                      </pic:pic>
                    </a:graphicData>
                  </a:graphic>
                </wp:anchor>
              </w:drawing>
            </w:r>
            <w:r>
              <w:rPr>
                <w:rFonts w:hint="eastAsia" w:ascii="仿宋_GB2312" w:hAnsi="宋体" w:eastAsia="仿宋_GB2312" w:cs="仿宋_GB2312"/>
                <w:b/>
                <w:bCs/>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 cy="5080"/>
                  <wp:effectExtent l="0" t="0" r="0" b="0"/>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7"/>
                          <a:stretch>
                            <a:fillRect/>
                          </a:stretch>
                        </pic:blipFill>
                        <pic:spPr>
                          <a:xfrm>
                            <a:off x="0" y="0"/>
                            <a:ext cx="15240" cy="5080"/>
                          </a:xfrm>
                          <a:prstGeom prst="rect">
                            <a:avLst/>
                          </a:prstGeom>
                          <a:noFill/>
                          <a:ln>
                            <a:noFill/>
                          </a:ln>
                        </pic:spPr>
                      </pic:pic>
                    </a:graphicData>
                  </a:graphic>
                </wp:anchor>
              </w:drawing>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CA7">
            <w:pPr>
              <w:jc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5144">
            <w:pPr>
              <w:jc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45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100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EF9">
            <w:pPr>
              <w:jc w:val="both"/>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4BD1">
            <w:pPr>
              <w:jc w:val="both"/>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F3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1"/>
                <w:szCs w:val="21"/>
                <w:u w:val="none"/>
                <w:lang w:val="en-US" w:eastAsia="zh-CN" w:bidi="ar"/>
                <w14:textFill>
                  <w14:solidFill>
                    <w14:schemeClr w14:val="tx1"/>
                  </w14:solidFill>
                </w14:textFill>
              </w:rPr>
              <w:t>82.46</w:t>
            </w:r>
          </w:p>
        </w:tc>
        <w:tc>
          <w:tcPr>
            <w:tcW w:w="4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7742">
            <w:pP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r>
    </w:tbl>
    <w:p w14:paraId="339292CB">
      <w:pPr>
        <w:rPr>
          <w:rFonts w:hint="default"/>
          <w:lang w:val="en-US" w:eastAsia="zh-CN"/>
        </w:rPr>
      </w:pPr>
      <w:r>
        <w:rPr>
          <w:rFonts w:hint="default"/>
          <w:lang w:val="en-US" w:eastAsia="zh-CN"/>
        </w:rPr>
        <w:br w:type="page"/>
      </w:r>
    </w:p>
    <w:p w14:paraId="55CA8165">
      <w:pPr>
        <w:pStyle w:val="2"/>
        <w:outlineLvl w:val="0"/>
        <w:rPr>
          <w:rFonts w:hint="default"/>
          <w:lang w:val="en-US" w:eastAsia="zh-CN"/>
        </w:rPr>
      </w:pPr>
      <w:bookmarkStart w:id="234" w:name="_Toc10940"/>
      <w:r>
        <w:rPr>
          <w:rFonts w:hint="default" w:ascii="Times New Roman" w:hAnsi="Times New Roman" w:eastAsia="楷体_GB2312" w:cs="Times New Roman"/>
          <w:b/>
          <w:kern w:val="2"/>
          <w:sz w:val="32"/>
          <w:szCs w:val="28"/>
          <w:lang w:val="en-US" w:eastAsia="zh-CN" w:bidi="ar-SA"/>
        </w:rPr>
        <w:t>附件</w:t>
      </w:r>
      <w:r>
        <w:rPr>
          <w:rFonts w:hint="eastAsia" w:ascii="Times New Roman" w:hAnsi="Times New Roman" w:eastAsia="楷体_GB2312" w:cs="Times New Roman"/>
          <w:b/>
          <w:kern w:val="2"/>
          <w:sz w:val="32"/>
          <w:szCs w:val="28"/>
          <w:lang w:val="en-US" w:eastAsia="zh-CN" w:bidi="ar-SA"/>
        </w:rPr>
        <w:t>2</w:t>
      </w:r>
      <w:r>
        <w:rPr>
          <w:rFonts w:hint="default" w:ascii="Times New Roman" w:hAnsi="Times New Roman" w:eastAsia="楷体_GB2312" w:cs="Times New Roman"/>
          <w:b/>
          <w:kern w:val="2"/>
          <w:sz w:val="32"/>
          <w:szCs w:val="28"/>
          <w:lang w:val="en-US" w:eastAsia="zh-CN" w:bidi="ar-SA"/>
        </w:rPr>
        <w:t>：2023年永州市公共服务信息化运维项目</w:t>
      </w:r>
      <w:r>
        <w:rPr>
          <w:rFonts w:hint="eastAsia" w:ascii="Times New Roman" w:hAnsi="Times New Roman" w:eastAsia="楷体_GB2312" w:cs="Times New Roman"/>
          <w:b/>
          <w:kern w:val="2"/>
          <w:sz w:val="32"/>
          <w:szCs w:val="28"/>
          <w:lang w:val="en-US" w:eastAsia="zh-CN" w:bidi="ar-SA"/>
        </w:rPr>
        <w:t>问题清单</w:t>
      </w:r>
      <w:bookmarkEnd w:id="234"/>
    </w:p>
    <w:tbl>
      <w:tblPr>
        <w:tblStyle w:val="20"/>
        <w:tblW w:w="1407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8"/>
        <w:gridCol w:w="1301"/>
        <w:gridCol w:w="1339"/>
        <w:gridCol w:w="1127"/>
        <w:gridCol w:w="2039"/>
        <w:gridCol w:w="2316"/>
        <w:gridCol w:w="5299"/>
      </w:tblGrid>
      <w:tr w14:paraId="068D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trPr>
        <w:tc>
          <w:tcPr>
            <w:tcW w:w="658" w:type="dxa"/>
            <w:shd w:val="clear" w:color="auto" w:fill="auto"/>
            <w:noWrap/>
            <w:vAlign w:val="center"/>
          </w:tcPr>
          <w:p w14:paraId="69F027C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序号</w:t>
            </w:r>
          </w:p>
        </w:tc>
        <w:tc>
          <w:tcPr>
            <w:tcW w:w="1301" w:type="dxa"/>
            <w:shd w:val="clear" w:color="auto" w:fill="auto"/>
            <w:noWrap/>
            <w:vAlign w:val="center"/>
          </w:tcPr>
          <w:p w14:paraId="25F512E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项目单位</w:t>
            </w:r>
          </w:p>
        </w:tc>
        <w:tc>
          <w:tcPr>
            <w:tcW w:w="1339" w:type="dxa"/>
            <w:shd w:val="clear" w:color="auto" w:fill="auto"/>
            <w:noWrap/>
            <w:vAlign w:val="center"/>
          </w:tcPr>
          <w:p w14:paraId="794DB87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项目</w:t>
            </w:r>
          </w:p>
        </w:tc>
        <w:tc>
          <w:tcPr>
            <w:tcW w:w="1127" w:type="dxa"/>
            <w:shd w:val="clear" w:color="auto" w:fill="auto"/>
            <w:noWrap/>
            <w:vAlign w:val="center"/>
          </w:tcPr>
          <w:p w14:paraId="4645044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项目分类</w:t>
            </w:r>
          </w:p>
        </w:tc>
        <w:tc>
          <w:tcPr>
            <w:tcW w:w="2039" w:type="dxa"/>
            <w:shd w:val="clear" w:color="auto" w:fill="auto"/>
            <w:noWrap/>
            <w:vAlign w:val="center"/>
          </w:tcPr>
          <w:p w14:paraId="7066B0A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问题定性</w:t>
            </w:r>
          </w:p>
        </w:tc>
        <w:tc>
          <w:tcPr>
            <w:tcW w:w="2316" w:type="dxa"/>
            <w:shd w:val="clear" w:color="auto" w:fill="auto"/>
            <w:vAlign w:val="center"/>
          </w:tcPr>
          <w:p w14:paraId="55E11DE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具体问题</w:t>
            </w:r>
          </w:p>
        </w:tc>
        <w:tc>
          <w:tcPr>
            <w:tcW w:w="5299" w:type="dxa"/>
            <w:shd w:val="clear" w:color="auto" w:fill="auto"/>
            <w:vAlign w:val="center"/>
          </w:tcPr>
          <w:p w14:paraId="483D32F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u w:val="none"/>
                <w:lang w:val="en-US" w:eastAsia="zh-CN" w:bidi="ar"/>
                <w14:textFill>
                  <w14:solidFill>
                    <w14:schemeClr w14:val="tx1"/>
                  </w14:solidFill>
                </w14:textFill>
              </w:rPr>
              <w:t>问题描述</w:t>
            </w:r>
          </w:p>
        </w:tc>
      </w:tr>
      <w:tr w14:paraId="1C4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3BD5709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w:t>
            </w:r>
          </w:p>
        </w:tc>
        <w:tc>
          <w:tcPr>
            <w:tcW w:w="1301" w:type="dxa"/>
            <w:vMerge w:val="restart"/>
            <w:shd w:val="clear" w:color="auto" w:fill="auto"/>
            <w:vAlign w:val="center"/>
          </w:tcPr>
          <w:p w14:paraId="3C73880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永州市行政审批服务局</w:t>
            </w:r>
          </w:p>
        </w:tc>
        <w:tc>
          <w:tcPr>
            <w:tcW w:w="1339" w:type="dxa"/>
            <w:vMerge w:val="restart"/>
            <w:shd w:val="clear" w:color="auto" w:fill="auto"/>
            <w:vAlign w:val="center"/>
          </w:tcPr>
          <w:p w14:paraId="10D8D67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永州市政府门户网站运维</w:t>
            </w:r>
          </w:p>
        </w:tc>
        <w:tc>
          <w:tcPr>
            <w:tcW w:w="1127" w:type="dxa"/>
            <w:vMerge w:val="restart"/>
            <w:shd w:val="clear" w:color="auto" w:fill="auto"/>
            <w:vAlign w:val="center"/>
          </w:tcPr>
          <w:p w14:paraId="3F816D8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运维项目</w:t>
            </w:r>
          </w:p>
        </w:tc>
        <w:tc>
          <w:tcPr>
            <w:tcW w:w="2039" w:type="dxa"/>
            <w:vMerge w:val="restart"/>
            <w:shd w:val="clear" w:color="auto" w:fill="auto"/>
            <w:noWrap/>
            <w:vAlign w:val="center"/>
          </w:tcPr>
          <w:p w14:paraId="00B7E69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政府采购管理不规范</w:t>
            </w:r>
          </w:p>
        </w:tc>
        <w:tc>
          <w:tcPr>
            <w:tcW w:w="2316" w:type="dxa"/>
            <w:shd w:val="clear" w:color="auto" w:fill="auto"/>
            <w:vAlign w:val="center"/>
          </w:tcPr>
          <w:p w14:paraId="60997A4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未落实政府采购流程</w:t>
            </w:r>
          </w:p>
        </w:tc>
        <w:tc>
          <w:tcPr>
            <w:tcW w:w="5299" w:type="dxa"/>
            <w:shd w:val="clear" w:color="auto" w:fill="auto"/>
            <w:vAlign w:val="center"/>
          </w:tcPr>
          <w:p w14:paraId="69C291E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2022年3月8日签订《永州市政府网站和政务新媒体检测服务合同》以及《2022年永州市政府门户网站维护项目技术服务合同》，合同服务期限为2022年全年，均于2022年12月13日补签《政府采购合同协议书》，政府采购程序后置。</w:t>
            </w:r>
          </w:p>
        </w:tc>
      </w:tr>
      <w:tr w14:paraId="6C9D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658" w:type="dxa"/>
            <w:shd w:val="clear" w:color="auto" w:fill="auto"/>
            <w:noWrap/>
            <w:vAlign w:val="center"/>
          </w:tcPr>
          <w:p w14:paraId="09E7E7F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w:t>
            </w:r>
          </w:p>
        </w:tc>
        <w:tc>
          <w:tcPr>
            <w:tcW w:w="1301" w:type="dxa"/>
            <w:vMerge w:val="continue"/>
            <w:shd w:val="clear" w:color="auto" w:fill="auto"/>
            <w:vAlign w:val="center"/>
          </w:tcPr>
          <w:p w14:paraId="7F68749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2F8B42D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4512B26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continue"/>
            <w:shd w:val="clear" w:color="auto" w:fill="auto"/>
            <w:noWrap/>
            <w:vAlign w:val="center"/>
          </w:tcPr>
          <w:p w14:paraId="76A5D0D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316" w:type="dxa"/>
            <w:shd w:val="clear" w:color="auto" w:fill="auto"/>
            <w:vAlign w:val="center"/>
          </w:tcPr>
          <w:p w14:paraId="09D2688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合同履行在前、签订在后</w:t>
            </w:r>
          </w:p>
        </w:tc>
        <w:tc>
          <w:tcPr>
            <w:tcW w:w="5299" w:type="dxa"/>
            <w:shd w:val="clear" w:color="auto" w:fill="auto"/>
            <w:vAlign w:val="center"/>
          </w:tcPr>
          <w:p w14:paraId="2A3DDC1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2023年2月28日与北京中科三方网络技术有限公司签订《云服务IPV6转换续签合同》，服务期限为2022年12月20日至2023年12月20日。</w:t>
            </w:r>
          </w:p>
        </w:tc>
      </w:tr>
      <w:tr w14:paraId="2A3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2AA1E2C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w:t>
            </w:r>
          </w:p>
        </w:tc>
        <w:tc>
          <w:tcPr>
            <w:tcW w:w="1301" w:type="dxa"/>
            <w:vMerge w:val="continue"/>
            <w:shd w:val="clear" w:color="auto" w:fill="auto"/>
            <w:vAlign w:val="center"/>
          </w:tcPr>
          <w:p w14:paraId="26AFA3C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0331389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281EA17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3A358C8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项目实施效益不佳</w:t>
            </w:r>
          </w:p>
        </w:tc>
        <w:tc>
          <w:tcPr>
            <w:tcW w:w="2316" w:type="dxa"/>
            <w:shd w:val="clear" w:color="auto" w:fill="auto"/>
            <w:vAlign w:val="center"/>
          </w:tcPr>
          <w:p w14:paraId="11765B9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运维服务质量有待提高</w:t>
            </w:r>
          </w:p>
        </w:tc>
        <w:tc>
          <w:tcPr>
            <w:tcW w:w="5299" w:type="dxa"/>
            <w:shd w:val="clear" w:color="auto" w:fill="auto"/>
            <w:vAlign w:val="center"/>
          </w:tcPr>
          <w:p w14:paraId="4F4D534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存在运维公司运维服务提供不到位的情况，2022年度存在技术服务提供不及时、后台卡顿、监测报错等情况共10例，2023年度存在后台信息发布功能故障、服务提供不到位、故障修复不及时等情况共7例。</w:t>
            </w:r>
          </w:p>
        </w:tc>
      </w:tr>
      <w:tr w14:paraId="1B7E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47929B3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4</w:t>
            </w:r>
          </w:p>
        </w:tc>
        <w:tc>
          <w:tcPr>
            <w:tcW w:w="1301" w:type="dxa"/>
            <w:vMerge w:val="continue"/>
            <w:shd w:val="clear" w:color="auto" w:fill="auto"/>
            <w:vAlign w:val="center"/>
          </w:tcPr>
          <w:p w14:paraId="187D864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3BC4DE8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87F569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5C4B4CD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28A0721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验收不及时、款项支付不及时</w:t>
            </w:r>
          </w:p>
        </w:tc>
        <w:tc>
          <w:tcPr>
            <w:tcW w:w="5299" w:type="dxa"/>
            <w:shd w:val="clear" w:color="auto" w:fill="auto"/>
            <w:vAlign w:val="center"/>
          </w:tcPr>
          <w:p w14:paraId="31AA754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根据2022年3月8日签订的《永州市政府网站和政务新媒体检测服务合同》，服务期限为2022年全年，项目验收时间为2023年12月1日，款项支付时间为2023年12月11日。</w:t>
            </w:r>
          </w:p>
        </w:tc>
      </w:tr>
      <w:tr w14:paraId="149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36522F5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5</w:t>
            </w:r>
          </w:p>
        </w:tc>
        <w:tc>
          <w:tcPr>
            <w:tcW w:w="1301" w:type="dxa"/>
            <w:vMerge w:val="restart"/>
            <w:shd w:val="clear" w:color="auto" w:fill="auto"/>
            <w:vAlign w:val="center"/>
          </w:tcPr>
          <w:p w14:paraId="6D84A8E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永州市行政审批服务局</w:t>
            </w:r>
          </w:p>
        </w:tc>
        <w:tc>
          <w:tcPr>
            <w:tcW w:w="1339" w:type="dxa"/>
            <w:vMerge w:val="restart"/>
            <w:shd w:val="clear" w:color="auto" w:fill="auto"/>
            <w:vAlign w:val="center"/>
          </w:tcPr>
          <w:p w14:paraId="2998443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全市政府信息系统等级保护测评</w:t>
            </w:r>
          </w:p>
        </w:tc>
        <w:tc>
          <w:tcPr>
            <w:tcW w:w="1127" w:type="dxa"/>
            <w:vMerge w:val="restart"/>
            <w:shd w:val="clear" w:color="auto" w:fill="auto"/>
            <w:vAlign w:val="center"/>
          </w:tcPr>
          <w:p w14:paraId="0B25762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建设项目</w:t>
            </w:r>
          </w:p>
        </w:tc>
        <w:tc>
          <w:tcPr>
            <w:tcW w:w="2039" w:type="dxa"/>
            <w:shd w:val="clear" w:color="auto" w:fill="auto"/>
            <w:noWrap/>
            <w:vAlign w:val="center"/>
          </w:tcPr>
          <w:p w14:paraId="221C414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政府采购管理不规范</w:t>
            </w:r>
          </w:p>
        </w:tc>
        <w:tc>
          <w:tcPr>
            <w:tcW w:w="2316" w:type="dxa"/>
            <w:shd w:val="clear" w:color="auto" w:fill="auto"/>
            <w:vAlign w:val="center"/>
          </w:tcPr>
          <w:p w14:paraId="4125395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未落实政府采购流程</w:t>
            </w:r>
          </w:p>
        </w:tc>
        <w:tc>
          <w:tcPr>
            <w:tcW w:w="5299" w:type="dxa"/>
            <w:shd w:val="clear" w:color="auto" w:fill="auto"/>
            <w:vAlign w:val="center"/>
          </w:tcPr>
          <w:p w14:paraId="1D87C35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财政《永州市政府投资信息化项目建设管理办法》（永政办发〔2022〕14号）和内部采购管理办法，资金超过30万需要做项目预算评审报告；该项目只有采购申请表，未做预算评审。经补充了解，项目单位与财政评审中心沟通，项目属于服务类项目无法进行财政评审，市财政局出具了资金意见，同意按照“二级”等保测评2万元/个，“三级”等保测评3万元/个进行统一采购。</w:t>
            </w:r>
          </w:p>
        </w:tc>
      </w:tr>
      <w:tr w14:paraId="2E2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8" w:type="dxa"/>
            <w:shd w:val="clear" w:color="auto" w:fill="auto"/>
            <w:noWrap/>
            <w:vAlign w:val="center"/>
          </w:tcPr>
          <w:p w14:paraId="4B1730D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6</w:t>
            </w:r>
          </w:p>
        </w:tc>
        <w:tc>
          <w:tcPr>
            <w:tcW w:w="1301" w:type="dxa"/>
            <w:vMerge w:val="continue"/>
            <w:shd w:val="clear" w:color="auto" w:fill="auto"/>
            <w:vAlign w:val="center"/>
          </w:tcPr>
          <w:p w14:paraId="3C964C9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57463E0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441AA73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7CE1806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方案设计不合理</w:t>
            </w:r>
          </w:p>
        </w:tc>
        <w:tc>
          <w:tcPr>
            <w:tcW w:w="2316" w:type="dxa"/>
            <w:shd w:val="clear" w:color="auto" w:fill="auto"/>
            <w:vAlign w:val="center"/>
          </w:tcPr>
          <w:p w14:paraId="17B2518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前期规划不充分</w:t>
            </w:r>
          </w:p>
        </w:tc>
        <w:tc>
          <w:tcPr>
            <w:tcW w:w="5299" w:type="dxa"/>
            <w:shd w:val="clear" w:color="auto" w:fill="auto"/>
            <w:vAlign w:val="center"/>
          </w:tcPr>
          <w:p w14:paraId="2E88391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一是行政审批服务局作为项目主管单位，未根据项目实际情况制定具体的实施方案，对检测后整改责任划分不明确，未充分考虑整改资金的保障问题，导致各单位整改主动性较差、整改不够及时、整改资金不能及时到位；二是工作衔接不到位，检测清单由市公安局提供，行政审批局集中采购前未就该清单与各市直单位进行核对统计，导致集中采购后，出现重复采购情况，如永州市市场监督管理局的智慧监管系统和永州市气瓶信息化监管系统，实际已于2022年11月完成了等级保护测评；存在部分系统实际已停用的情况，如永州市应急管理局的永州智慧安监、永州市水利局的永州市防汛抗旱信息系统等。</w:t>
            </w:r>
          </w:p>
        </w:tc>
      </w:tr>
      <w:tr w14:paraId="18E3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658" w:type="dxa"/>
            <w:shd w:val="clear" w:color="auto" w:fill="auto"/>
            <w:noWrap/>
            <w:vAlign w:val="center"/>
          </w:tcPr>
          <w:p w14:paraId="1ED925C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7</w:t>
            </w:r>
          </w:p>
        </w:tc>
        <w:tc>
          <w:tcPr>
            <w:tcW w:w="1301" w:type="dxa"/>
            <w:vMerge w:val="continue"/>
            <w:shd w:val="clear" w:color="auto" w:fill="auto"/>
            <w:vAlign w:val="center"/>
          </w:tcPr>
          <w:p w14:paraId="7CBB014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3BF721C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37C7CA1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restart"/>
            <w:shd w:val="clear" w:color="auto" w:fill="auto"/>
            <w:noWrap/>
            <w:vAlign w:val="center"/>
          </w:tcPr>
          <w:p w14:paraId="2127B96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合同管理不规范</w:t>
            </w:r>
          </w:p>
        </w:tc>
        <w:tc>
          <w:tcPr>
            <w:tcW w:w="2316" w:type="dxa"/>
            <w:shd w:val="clear" w:color="auto" w:fill="auto"/>
            <w:vAlign w:val="center"/>
          </w:tcPr>
          <w:p w14:paraId="785E8CF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合同内容变更不规范</w:t>
            </w:r>
          </w:p>
        </w:tc>
        <w:tc>
          <w:tcPr>
            <w:tcW w:w="5299" w:type="dxa"/>
            <w:shd w:val="clear" w:color="auto" w:fill="auto"/>
            <w:vAlign w:val="center"/>
          </w:tcPr>
          <w:p w14:paraId="7C41F02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经与被评价单位沟通了解，因存在重复采购以及部分系统已停用的情况，经合同签订双方协商，在保持原合同价不变的情况下，采取替换系统测评的形式完成合同约定测评数量，但截至2024年4月，双方未就该情况签订补充协议。</w:t>
            </w:r>
          </w:p>
        </w:tc>
      </w:tr>
      <w:tr w14:paraId="059F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2E40180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8</w:t>
            </w:r>
          </w:p>
        </w:tc>
        <w:tc>
          <w:tcPr>
            <w:tcW w:w="1301" w:type="dxa"/>
            <w:vMerge w:val="continue"/>
            <w:shd w:val="clear" w:color="auto" w:fill="auto"/>
            <w:vAlign w:val="center"/>
          </w:tcPr>
          <w:p w14:paraId="3B14AD9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1B1052F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1B073E1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continue"/>
            <w:shd w:val="clear" w:color="auto" w:fill="auto"/>
            <w:noWrap/>
            <w:vAlign w:val="center"/>
          </w:tcPr>
          <w:p w14:paraId="7931204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316" w:type="dxa"/>
            <w:shd w:val="clear" w:color="auto" w:fill="auto"/>
            <w:vAlign w:val="center"/>
          </w:tcPr>
          <w:p w14:paraId="5C887F2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款项支付不及时</w:t>
            </w:r>
          </w:p>
        </w:tc>
        <w:tc>
          <w:tcPr>
            <w:tcW w:w="5299" w:type="dxa"/>
            <w:shd w:val="clear" w:color="auto" w:fill="auto"/>
            <w:vAlign w:val="center"/>
          </w:tcPr>
          <w:p w14:paraId="4B264A6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根据《网络安全等级保护测评项目合同书》第三条第二点，合同生效后的15个工作日内甲方将合同总价款的50%支付给乙方，截至2024年3月27日，该资金仍未支付。</w:t>
            </w:r>
          </w:p>
        </w:tc>
      </w:tr>
      <w:tr w14:paraId="4C6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0FA821B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9</w:t>
            </w:r>
          </w:p>
        </w:tc>
        <w:tc>
          <w:tcPr>
            <w:tcW w:w="1301" w:type="dxa"/>
            <w:vMerge w:val="continue"/>
            <w:shd w:val="clear" w:color="auto" w:fill="auto"/>
            <w:vAlign w:val="center"/>
          </w:tcPr>
          <w:p w14:paraId="79BBBCB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1E22D7F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190C1EA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457FBA2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项目实施效益不佳</w:t>
            </w:r>
          </w:p>
        </w:tc>
        <w:tc>
          <w:tcPr>
            <w:tcW w:w="2316" w:type="dxa"/>
            <w:shd w:val="clear" w:color="auto" w:fill="auto"/>
            <w:vAlign w:val="center"/>
          </w:tcPr>
          <w:p w14:paraId="58F67F8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整改不及时</w:t>
            </w:r>
          </w:p>
        </w:tc>
        <w:tc>
          <w:tcPr>
            <w:tcW w:w="5299" w:type="dxa"/>
            <w:shd w:val="clear" w:color="auto" w:fill="auto"/>
            <w:vAlign w:val="center"/>
          </w:tcPr>
          <w:p w14:paraId="31289EB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网络安全等级保护测评项目合同书》，如初测测评结论为“差”，甲方应在收到乙方提交的《差距分析报告》电子文档之日起2个月内度被测等级保护对象进行整改，交付满2个月，无论甲方是否整改完成，都应通知乙方进行回归测试，截至2024年3月27日，已完成初测并需要整改的系统共65个，仅两个系统完成整改和回归测试并出具《等级测评报告》，整改完成率3.08%。</w:t>
            </w:r>
          </w:p>
        </w:tc>
      </w:tr>
      <w:tr w14:paraId="41D4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58" w:type="dxa"/>
            <w:shd w:val="clear" w:color="auto" w:fill="auto"/>
            <w:noWrap/>
            <w:vAlign w:val="center"/>
          </w:tcPr>
          <w:p w14:paraId="3A63357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10</w:t>
            </w:r>
          </w:p>
        </w:tc>
        <w:tc>
          <w:tcPr>
            <w:tcW w:w="1301" w:type="dxa"/>
            <w:vMerge w:val="continue"/>
            <w:shd w:val="clear" w:color="auto" w:fill="auto"/>
            <w:vAlign w:val="center"/>
          </w:tcPr>
          <w:p w14:paraId="512F24F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347F5F7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9BFD9B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19BFC5C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26FFAFD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项目进度缓慢</w:t>
            </w:r>
          </w:p>
        </w:tc>
        <w:tc>
          <w:tcPr>
            <w:tcW w:w="5299" w:type="dxa"/>
            <w:shd w:val="clear" w:color="auto" w:fill="auto"/>
            <w:vAlign w:val="center"/>
          </w:tcPr>
          <w:p w14:paraId="76C07FD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市公安局下发的《关于深入推进全市网络与信息系统安全等级保护工作的通知》，要求于2023年10月31日前完成等级保护测评工作，并报公安机关备案，截至2024年3月27日，已完成66个系统测评，项目完成进度82.5%。</w:t>
            </w:r>
          </w:p>
        </w:tc>
      </w:tr>
      <w:tr w14:paraId="3FE4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510D20C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11</w:t>
            </w:r>
          </w:p>
        </w:tc>
        <w:tc>
          <w:tcPr>
            <w:tcW w:w="1301" w:type="dxa"/>
            <w:vMerge w:val="restart"/>
            <w:shd w:val="clear" w:color="auto" w:fill="auto"/>
            <w:vAlign w:val="center"/>
          </w:tcPr>
          <w:p w14:paraId="22F2588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永州市行政审批服务局</w:t>
            </w:r>
          </w:p>
        </w:tc>
        <w:tc>
          <w:tcPr>
            <w:tcW w:w="1339" w:type="dxa"/>
            <w:vMerge w:val="restart"/>
            <w:shd w:val="clear" w:color="auto" w:fill="auto"/>
            <w:vAlign w:val="center"/>
          </w:tcPr>
          <w:p w14:paraId="1AF8C12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电子政务外网网络租赁</w:t>
            </w:r>
          </w:p>
        </w:tc>
        <w:tc>
          <w:tcPr>
            <w:tcW w:w="1127" w:type="dxa"/>
            <w:vMerge w:val="restart"/>
            <w:shd w:val="clear" w:color="auto" w:fill="auto"/>
            <w:vAlign w:val="center"/>
          </w:tcPr>
          <w:p w14:paraId="362199E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租赁项目</w:t>
            </w:r>
          </w:p>
        </w:tc>
        <w:tc>
          <w:tcPr>
            <w:tcW w:w="2039" w:type="dxa"/>
            <w:shd w:val="clear" w:color="auto" w:fill="auto"/>
            <w:vAlign w:val="center"/>
          </w:tcPr>
          <w:p w14:paraId="197A936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合同管理不规范</w:t>
            </w:r>
          </w:p>
        </w:tc>
        <w:tc>
          <w:tcPr>
            <w:tcW w:w="2316" w:type="dxa"/>
            <w:shd w:val="clear" w:color="auto" w:fill="auto"/>
            <w:vAlign w:val="center"/>
          </w:tcPr>
          <w:p w14:paraId="23D8946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合同签订不及时</w:t>
            </w:r>
          </w:p>
        </w:tc>
        <w:tc>
          <w:tcPr>
            <w:tcW w:w="5299" w:type="dxa"/>
            <w:shd w:val="clear" w:color="auto" w:fill="auto"/>
            <w:vAlign w:val="center"/>
          </w:tcPr>
          <w:p w14:paraId="316D38D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该项目于2019年8月22日在市公共资源交易中心完成招标，按照中标通知书的规定，施工单位应在收到通知书7个工作日内签订施工合同并备案，实际于2019年11月14日签订完成。</w:t>
            </w:r>
          </w:p>
        </w:tc>
      </w:tr>
      <w:tr w14:paraId="7005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2B66A78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12</w:t>
            </w:r>
          </w:p>
        </w:tc>
        <w:tc>
          <w:tcPr>
            <w:tcW w:w="1301" w:type="dxa"/>
            <w:vMerge w:val="continue"/>
            <w:shd w:val="clear" w:color="auto" w:fill="auto"/>
            <w:vAlign w:val="center"/>
          </w:tcPr>
          <w:p w14:paraId="147E5DB4">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6E1F6CF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7E636C9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09379FC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政府采购管理不规范</w:t>
            </w:r>
          </w:p>
        </w:tc>
        <w:tc>
          <w:tcPr>
            <w:tcW w:w="2316" w:type="dxa"/>
            <w:shd w:val="clear" w:color="auto" w:fill="auto"/>
            <w:vAlign w:val="center"/>
          </w:tcPr>
          <w:p w14:paraId="4448391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合同履行在前、签订在后</w:t>
            </w:r>
          </w:p>
        </w:tc>
        <w:tc>
          <w:tcPr>
            <w:tcW w:w="5299" w:type="dxa"/>
            <w:shd w:val="clear" w:color="auto" w:fill="auto"/>
            <w:vAlign w:val="center"/>
          </w:tcPr>
          <w:p w14:paraId="2948AEF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根据项目实施资料，该项目于2019年8月底开始实施，2019年12月底基本完成项目建设，而合同签订时间为2019年11月14日，该项目施工时间早于合同签订时间，属于先施工后补合同。</w:t>
            </w:r>
          </w:p>
        </w:tc>
      </w:tr>
      <w:tr w14:paraId="1BC7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11BF54A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13</w:t>
            </w:r>
          </w:p>
        </w:tc>
        <w:tc>
          <w:tcPr>
            <w:tcW w:w="1301" w:type="dxa"/>
            <w:vMerge w:val="continue"/>
            <w:shd w:val="clear" w:color="auto" w:fill="auto"/>
            <w:vAlign w:val="center"/>
          </w:tcPr>
          <w:p w14:paraId="08D2093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6478088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019B36B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69ED7DD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合同管理不规范</w:t>
            </w:r>
          </w:p>
        </w:tc>
        <w:tc>
          <w:tcPr>
            <w:tcW w:w="2316" w:type="dxa"/>
            <w:shd w:val="clear" w:color="auto" w:fill="auto"/>
            <w:vAlign w:val="center"/>
          </w:tcPr>
          <w:p w14:paraId="7DB7DF6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款项支付不及时</w:t>
            </w:r>
          </w:p>
        </w:tc>
        <w:tc>
          <w:tcPr>
            <w:tcW w:w="5299" w:type="dxa"/>
            <w:shd w:val="clear" w:color="auto" w:fill="auto"/>
            <w:vAlign w:val="center"/>
          </w:tcPr>
          <w:p w14:paraId="036BBDF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合同第七条，三条线路租赁费服务费用总金额为743.77万元，三条线路均以年租付费，每年底结清，其中：联通每年61.2万元、移动每年80.99万元、电信每年105.73万元。线路租赁服务费用从2020年1月1日开始计费，付款以年租费方式支付，年底一次性支付本年度线路的租赁费用。该项目包二实际于2021年11月支付第一笔费用48.99万，2022年10月支付第二笔费用32万元，2020年应付款已结清。2023年3月支付31.99万元，2021年未支付款项49万元，2022年未支付款项80.99万元，未支付款项共计129.99万元，经双方协商调减10%后的费用为116.991。该笔资金最后于2024年2月8日支付，支付严重滞后。</w:t>
            </w:r>
          </w:p>
        </w:tc>
      </w:tr>
      <w:tr w14:paraId="267B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658" w:type="dxa"/>
            <w:shd w:val="clear" w:color="auto" w:fill="auto"/>
            <w:noWrap/>
            <w:vAlign w:val="center"/>
          </w:tcPr>
          <w:p w14:paraId="074B7AD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14</w:t>
            </w:r>
          </w:p>
        </w:tc>
        <w:tc>
          <w:tcPr>
            <w:tcW w:w="1301" w:type="dxa"/>
            <w:vMerge w:val="continue"/>
            <w:shd w:val="clear" w:color="auto" w:fill="auto"/>
            <w:vAlign w:val="center"/>
          </w:tcPr>
          <w:p w14:paraId="1EF9C16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70AD0AC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4D7DE59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47004B0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25FD81D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验收不及时</w:t>
            </w:r>
          </w:p>
        </w:tc>
        <w:tc>
          <w:tcPr>
            <w:tcW w:w="5299" w:type="dxa"/>
            <w:shd w:val="clear" w:color="auto" w:fill="auto"/>
            <w:vAlign w:val="center"/>
          </w:tcPr>
          <w:p w14:paraId="388A373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合同第五条第一点，线路联通并使用正常后，甲方在收到乙方的验收申请和相关验收资料后，10个工作日内按本合同第一条合同组成文件、第二条建设内容及运维要求、第三条工期要求进行验收，若验收合格，甲方应在5个工作日内出具并签署验收合格报告。该项目于2019年8月底开始实施，2019年12月底基本完成项目建设，经三家电信运营商提出验收申请，按照《永州市本级电子政务外网线路租赁服务项目验收组织方案》，于2020年12月12日组织专家评委对项目进行了验收。项目完工一年才验收，未按合同规定时间验收。</w:t>
            </w:r>
          </w:p>
        </w:tc>
      </w:tr>
      <w:tr w14:paraId="77BF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58" w:type="dxa"/>
            <w:shd w:val="clear" w:color="auto" w:fill="auto"/>
            <w:noWrap/>
            <w:vAlign w:val="center"/>
          </w:tcPr>
          <w:p w14:paraId="563078D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15</w:t>
            </w:r>
          </w:p>
        </w:tc>
        <w:tc>
          <w:tcPr>
            <w:tcW w:w="1301" w:type="dxa"/>
            <w:shd w:val="clear" w:color="auto" w:fill="auto"/>
            <w:vAlign w:val="center"/>
          </w:tcPr>
          <w:p w14:paraId="75E0999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永州市人民政府办公室</w:t>
            </w:r>
          </w:p>
        </w:tc>
        <w:tc>
          <w:tcPr>
            <w:tcW w:w="1339" w:type="dxa"/>
            <w:shd w:val="clear" w:color="auto" w:fill="auto"/>
            <w:vAlign w:val="center"/>
          </w:tcPr>
          <w:p w14:paraId="679E035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市政府办公大楼电子政务内网机房普通密码设备换装（涉M）</w:t>
            </w:r>
          </w:p>
        </w:tc>
        <w:tc>
          <w:tcPr>
            <w:tcW w:w="1127" w:type="dxa"/>
            <w:shd w:val="clear" w:color="auto" w:fill="auto"/>
            <w:vAlign w:val="center"/>
          </w:tcPr>
          <w:p w14:paraId="0BC22A3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建设项目</w:t>
            </w:r>
          </w:p>
        </w:tc>
        <w:tc>
          <w:tcPr>
            <w:tcW w:w="2039" w:type="dxa"/>
            <w:shd w:val="clear" w:color="auto" w:fill="auto"/>
            <w:vAlign w:val="center"/>
          </w:tcPr>
          <w:p w14:paraId="517B3F9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7ACED8B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项目进度缓慢</w:t>
            </w:r>
          </w:p>
        </w:tc>
        <w:tc>
          <w:tcPr>
            <w:tcW w:w="5299" w:type="dxa"/>
            <w:shd w:val="clear" w:color="auto" w:fill="auto"/>
            <w:vAlign w:val="center"/>
          </w:tcPr>
          <w:p w14:paraId="40B7CB4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于2023年11月29日签订合同，根据合同约定，由甲方提交密码设备列表申请，乙方待申请批复后组织生产装配，但截至2024年4月，该设备仍未完成安装。经与被评价单位沟通了解，设备已完成生产并交付至相关密码管理部门，甲方暂未按要求前往领取设备。</w:t>
            </w:r>
          </w:p>
        </w:tc>
      </w:tr>
      <w:tr w14:paraId="548B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381796B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16</w:t>
            </w:r>
          </w:p>
        </w:tc>
        <w:tc>
          <w:tcPr>
            <w:tcW w:w="1301" w:type="dxa"/>
            <w:vMerge w:val="restart"/>
            <w:shd w:val="clear" w:color="auto" w:fill="auto"/>
            <w:vAlign w:val="center"/>
          </w:tcPr>
          <w:p w14:paraId="1D34B7F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中国人民政治协商会议湖南省永州市委员会</w:t>
            </w:r>
          </w:p>
        </w:tc>
        <w:tc>
          <w:tcPr>
            <w:tcW w:w="1339" w:type="dxa"/>
            <w:vMerge w:val="restart"/>
            <w:shd w:val="clear" w:color="auto" w:fill="auto"/>
            <w:vAlign w:val="center"/>
          </w:tcPr>
          <w:p w14:paraId="5A00607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永州智慧政协（二期）项目</w:t>
            </w:r>
          </w:p>
        </w:tc>
        <w:tc>
          <w:tcPr>
            <w:tcW w:w="1127" w:type="dxa"/>
            <w:vMerge w:val="restart"/>
            <w:shd w:val="clear" w:color="auto" w:fill="auto"/>
            <w:vAlign w:val="center"/>
          </w:tcPr>
          <w:p w14:paraId="3655166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运维项目</w:t>
            </w:r>
          </w:p>
        </w:tc>
        <w:tc>
          <w:tcPr>
            <w:tcW w:w="2039" w:type="dxa"/>
            <w:shd w:val="clear" w:color="auto" w:fill="auto"/>
            <w:vAlign w:val="center"/>
          </w:tcPr>
          <w:p w14:paraId="192AD88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方案设计不合理</w:t>
            </w:r>
          </w:p>
        </w:tc>
        <w:tc>
          <w:tcPr>
            <w:tcW w:w="2316" w:type="dxa"/>
            <w:shd w:val="clear" w:color="auto" w:fill="auto"/>
            <w:vAlign w:val="center"/>
          </w:tcPr>
          <w:p w14:paraId="397E518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前期设计不合理</w:t>
            </w:r>
          </w:p>
        </w:tc>
        <w:tc>
          <w:tcPr>
            <w:tcW w:w="5299" w:type="dxa"/>
            <w:shd w:val="clear" w:color="auto" w:fill="auto"/>
            <w:vAlign w:val="center"/>
          </w:tcPr>
          <w:p w14:paraId="4C2AEEC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2019年11月签订合同，根据合同约定，项目于2019年12月底建设完成，试运行期间发现实际使用情况与项目需求以及设计方案不符，于2020年11月27日申请工程变更，终验时间为2021年2月1日。</w:t>
            </w:r>
          </w:p>
        </w:tc>
      </w:tr>
      <w:tr w14:paraId="5A9A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58" w:type="dxa"/>
            <w:shd w:val="clear" w:color="auto" w:fill="auto"/>
            <w:noWrap/>
            <w:vAlign w:val="center"/>
          </w:tcPr>
          <w:p w14:paraId="02350EB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17</w:t>
            </w:r>
          </w:p>
        </w:tc>
        <w:tc>
          <w:tcPr>
            <w:tcW w:w="1301" w:type="dxa"/>
            <w:vMerge w:val="continue"/>
            <w:shd w:val="clear" w:color="auto" w:fill="auto"/>
            <w:vAlign w:val="center"/>
          </w:tcPr>
          <w:p w14:paraId="41E6957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7007CCC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64DA91E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770C57A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61870D8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项目变更程序不合规</w:t>
            </w:r>
          </w:p>
        </w:tc>
        <w:tc>
          <w:tcPr>
            <w:tcW w:w="5299" w:type="dxa"/>
            <w:shd w:val="clear" w:color="auto" w:fill="auto"/>
            <w:vAlign w:val="center"/>
          </w:tcPr>
          <w:p w14:paraId="77A4571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项目合同补充协议书》，中国人民政治协商会议湖南省永州委员会与中国联合网络通信有限公司永州市分公司根据项目实际情况及建设单位实际业务需求变化对合同约定内容进行调整，补充合同无签订时间，补充合同签订领导批示时间为2021年6月24日，而工程变更申请审批通过时间为2020年11月27日，项目变更补充合同签订不及时。</w:t>
            </w:r>
          </w:p>
        </w:tc>
      </w:tr>
      <w:tr w14:paraId="27B8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58" w:type="dxa"/>
            <w:shd w:val="clear" w:color="auto" w:fill="auto"/>
            <w:noWrap/>
            <w:vAlign w:val="center"/>
          </w:tcPr>
          <w:p w14:paraId="70F9F71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18</w:t>
            </w:r>
          </w:p>
        </w:tc>
        <w:tc>
          <w:tcPr>
            <w:tcW w:w="1301" w:type="dxa"/>
            <w:vMerge w:val="continue"/>
            <w:shd w:val="clear" w:color="auto" w:fill="auto"/>
            <w:vAlign w:val="center"/>
          </w:tcPr>
          <w:p w14:paraId="004E0AA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6BBAA1F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77AEC2C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restart"/>
            <w:shd w:val="clear" w:color="auto" w:fill="auto"/>
            <w:noWrap/>
            <w:vAlign w:val="center"/>
          </w:tcPr>
          <w:p w14:paraId="62EA581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7E1F34D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项目完工不及时</w:t>
            </w:r>
          </w:p>
        </w:tc>
        <w:tc>
          <w:tcPr>
            <w:tcW w:w="5299" w:type="dxa"/>
            <w:shd w:val="clear" w:color="auto" w:fill="auto"/>
            <w:vAlign w:val="center"/>
          </w:tcPr>
          <w:p w14:paraId="5750E0D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2019年11月签订永州市智慧政协（二期）项目采购合同，根据合同约定，应于合同签订后22个工作日内完成项目建设，系统开发建设应于2019年12月底之前完成，因试运行期间发生了工程变更，项目实际终验时间为2021年2月1日。</w:t>
            </w:r>
          </w:p>
        </w:tc>
      </w:tr>
      <w:tr w14:paraId="4EEC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085D262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19</w:t>
            </w:r>
          </w:p>
        </w:tc>
        <w:tc>
          <w:tcPr>
            <w:tcW w:w="1301" w:type="dxa"/>
            <w:vMerge w:val="continue"/>
            <w:shd w:val="clear" w:color="auto" w:fill="auto"/>
            <w:vAlign w:val="center"/>
          </w:tcPr>
          <w:p w14:paraId="2380001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31FAB42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BCFC90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continue"/>
            <w:shd w:val="clear" w:color="auto" w:fill="auto"/>
            <w:vAlign w:val="center"/>
          </w:tcPr>
          <w:p w14:paraId="4D7E6FD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316" w:type="dxa"/>
            <w:shd w:val="clear" w:color="auto" w:fill="auto"/>
            <w:vAlign w:val="center"/>
          </w:tcPr>
          <w:p w14:paraId="0D96899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验收不规范</w:t>
            </w:r>
          </w:p>
        </w:tc>
        <w:tc>
          <w:tcPr>
            <w:tcW w:w="5299" w:type="dxa"/>
            <w:shd w:val="clear" w:color="auto" w:fill="auto"/>
            <w:vAlign w:val="center"/>
          </w:tcPr>
          <w:p w14:paraId="07199EE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永州市智慧政协（二期）项目采购合同规定：“乙方完成全部合同义务，且满足合同规定要求，双方无异议则在乙方出具初步验收合格证书和运行测试合格报告后10天内组织最终验收。”经审核，项目实际验收时海报策划与设计制作、易拉宝策划与设计制作、整体汇报演示方案策划及现场实施及11个县区推广工作均未完成。</w:t>
            </w:r>
          </w:p>
        </w:tc>
      </w:tr>
      <w:tr w14:paraId="13ED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58" w:type="dxa"/>
            <w:shd w:val="clear" w:color="auto" w:fill="auto"/>
            <w:noWrap/>
            <w:vAlign w:val="center"/>
          </w:tcPr>
          <w:p w14:paraId="12D5503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w:t>
            </w:r>
          </w:p>
        </w:tc>
        <w:tc>
          <w:tcPr>
            <w:tcW w:w="1301" w:type="dxa"/>
            <w:vMerge w:val="continue"/>
            <w:shd w:val="clear" w:color="auto" w:fill="auto"/>
            <w:vAlign w:val="center"/>
          </w:tcPr>
          <w:p w14:paraId="4F76FC4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2811A43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DCF47B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restart"/>
            <w:shd w:val="clear" w:color="auto" w:fill="auto"/>
            <w:vAlign w:val="center"/>
          </w:tcPr>
          <w:p w14:paraId="4E3BFA2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项目实施效益不佳</w:t>
            </w:r>
          </w:p>
        </w:tc>
        <w:tc>
          <w:tcPr>
            <w:tcW w:w="2316" w:type="dxa"/>
            <w:shd w:val="clear" w:color="auto" w:fill="auto"/>
            <w:vAlign w:val="center"/>
          </w:tcPr>
          <w:p w14:paraId="772E6D3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系统使用率低</w:t>
            </w:r>
          </w:p>
        </w:tc>
        <w:tc>
          <w:tcPr>
            <w:tcW w:w="5299" w:type="dxa"/>
            <w:shd w:val="clear" w:color="auto" w:fill="auto"/>
            <w:vAlign w:val="center"/>
          </w:tcPr>
          <w:p w14:paraId="449B42A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一是用户使用率低，永州市政协委员共2559人，其中市本级399人，2023年12月用户登录次数仅6次，2024年4月用户登录次数29次，政协委员主动性较低；二是部分模块已弃用，如政协履职质量评价体系模块。主要原因如下：一是智慧政协系统模块与政协云系统模块存在功能重叠部分，目前大部分政协履职工作均按照省委员会办公厅指导意见通过政协云系统完成，同时使用智慧政协系统办公会重复工作内容，与政务工作精简化相悖；二是2023年度无“三创三争三好”考核要求，故政协履职质量评价体系模块无使用需求。</w:t>
            </w:r>
          </w:p>
        </w:tc>
      </w:tr>
      <w:tr w14:paraId="50F0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658" w:type="dxa"/>
            <w:shd w:val="clear" w:color="auto" w:fill="auto"/>
            <w:noWrap/>
            <w:vAlign w:val="center"/>
          </w:tcPr>
          <w:p w14:paraId="4E2B55C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21</w:t>
            </w:r>
          </w:p>
        </w:tc>
        <w:tc>
          <w:tcPr>
            <w:tcW w:w="1301" w:type="dxa"/>
            <w:vMerge w:val="continue"/>
            <w:shd w:val="clear" w:color="auto" w:fill="auto"/>
            <w:vAlign w:val="center"/>
          </w:tcPr>
          <w:p w14:paraId="2573F6B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5211E07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29E2A3F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continue"/>
            <w:shd w:val="clear" w:color="auto" w:fill="auto"/>
            <w:vAlign w:val="center"/>
          </w:tcPr>
          <w:p w14:paraId="45AC1AB4">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316" w:type="dxa"/>
            <w:shd w:val="clear" w:color="auto" w:fill="auto"/>
            <w:vAlign w:val="center"/>
          </w:tcPr>
          <w:p w14:paraId="5DBCF87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数据共享质量有待提高</w:t>
            </w:r>
          </w:p>
        </w:tc>
        <w:tc>
          <w:tcPr>
            <w:tcW w:w="5299" w:type="dxa"/>
            <w:shd w:val="clear" w:color="auto" w:fill="auto"/>
            <w:vAlign w:val="center"/>
          </w:tcPr>
          <w:p w14:paraId="1B802C6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评价组现场查看智慧政协平台与湖南省政协云平台统计数据，发现存在不一致的情况，如截至2024年4月23日，智慧政协平台中社情民意3401条，湖南省政协云平台2232条，微建议智慧政协平台13781条，湖南省政协云平台16632条，提案数智慧政协平台2819条，湖南省政协云平台992条。经了解，主要原因如下：一是智慧政协平台中早期部分数据为人工补录，存在补录不齐全的情况，二是自政协委员工作与湖南省政协云平台融合后，智慧政协大部分数据来源于自动抓取湖南省政协云平台业务数据，存在数据丢失的情况。</w:t>
            </w:r>
          </w:p>
        </w:tc>
      </w:tr>
      <w:tr w14:paraId="532E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58" w:type="dxa"/>
            <w:shd w:val="clear" w:color="auto" w:fill="auto"/>
            <w:noWrap/>
            <w:vAlign w:val="center"/>
          </w:tcPr>
          <w:p w14:paraId="0C6334E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22</w:t>
            </w:r>
          </w:p>
        </w:tc>
        <w:tc>
          <w:tcPr>
            <w:tcW w:w="1301" w:type="dxa"/>
            <w:vMerge w:val="continue"/>
            <w:shd w:val="clear" w:color="auto" w:fill="auto"/>
            <w:vAlign w:val="center"/>
          </w:tcPr>
          <w:p w14:paraId="412E676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16AB854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73549FF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260977D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项目建设后续监管不到位</w:t>
            </w:r>
          </w:p>
        </w:tc>
        <w:tc>
          <w:tcPr>
            <w:tcW w:w="2316" w:type="dxa"/>
            <w:shd w:val="clear" w:color="auto" w:fill="auto"/>
            <w:vAlign w:val="center"/>
          </w:tcPr>
          <w:p w14:paraId="0B53D5E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未按期出具等级保护测评合格报告</w:t>
            </w:r>
          </w:p>
        </w:tc>
        <w:tc>
          <w:tcPr>
            <w:tcW w:w="5299" w:type="dxa"/>
            <w:shd w:val="clear" w:color="auto" w:fill="auto"/>
            <w:vAlign w:val="center"/>
          </w:tcPr>
          <w:p w14:paraId="092BAF3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2021年5月启动等保测评，截至目前仍未出具等保合格报告，不合格原因主要为系统日志审查不达标。</w:t>
            </w:r>
          </w:p>
        </w:tc>
      </w:tr>
      <w:tr w14:paraId="7058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8" w:type="dxa"/>
            <w:shd w:val="clear" w:color="auto" w:fill="auto"/>
            <w:noWrap/>
            <w:vAlign w:val="center"/>
          </w:tcPr>
          <w:p w14:paraId="591C68A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23</w:t>
            </w:r>
          </w:p>
        </w:tc>
        <w:tc>
          <w:tcPr>
            <w:tcW w:w="1301" w:type="dxa"/>
            <w:vMerge w:val="restart"/>
            <w:shd w:val="clear" w:color="auto" w:fill="auto"/>
            <w:vAlign w:val="center"/>
          </w:tcPr>
          <w:p w14:paraId="5F99B7F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永州云谷信息管理有限公司</w:t>
            </w:r>
          </w:p>
        </w:tc>
        <w:tc>
          <w:tcPr>
            <w:tcW w:w="1339" w:type="dxa"/>
            <w:vMerge w:val="restart"/>
            <w:shd w:val="clear" w:color="auto" w:fill="auto"/>
            <w:vAlign w:val="center"/>
          </w:tcPr>
          <w:p w14:paraId="4ED9AE4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《永州市云计算服务项目合同（第一年）》剩余款项</w:t>
            </w:r>
          </w:p>
        </w:tc>
        <w:tc>
          <w:tcPr>
            <w:tcW w:w="1127" w:type="dxa"/>
            <w:vMerge w:val="restart"/>
            <w:shd w:val="clear" w:color="auto" w:fill="auto"/>
            <w:vAlign w:val="center"/>
          </w:tcPr>
          <w:p w14:paraId="4F37DA6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服务采购项目</w:t>
            </w:r>
          </w:p>
        </w:tc>
        <w:tc>
          <w:tcPr>
            <w:tcW w:w="2039" w:type="dxa"/>
            <w:shd w:val="clear" w:color="auto" w:fill="auto"/>
            <w:vAlign w:val="center"/>
          </w:tcPr>
          <w:p w14:paraId="5552D2D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政府采购管理不规范</w:t>
            </w:r>
          </w:p>
        </w:tc>
        <w:tc>
          <w:tcPr>
            <w:tcW w:w="2316" w:type="dxa"/>
            <w:shd w:val="clear" w:color="auto" w:fill="auto"/>
            <w:vAlign w:val="center"/>
          </w:tcPr>
          <w:p w14:paraId="0361000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未落实政府采购流程</w:t>
            </w:r>
          </w:p>
        </w:tc>
        <w:tc>
          <w:tcPr>
            <w:tcW w:w="5299" w:type="dxa"/>
            <w:shd w:val="clear" w:color="auto" w:fill="auto"/>
            <w:vAlign w:val="center"/>
          </w:tcPr>
          <w:p w14:paraId="674C6BD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政府采购法》、《湖南省2016年省级政府集中采购目录及政府采购限额标准》等文件，服务项目金额达到100万元以上的项目应当采用公开招标方式，但该项目未落实政府采购流程，直接签订了项目服务合同，采购流程不够规范。经延伸了解，2023年度服务采购按规定落实了政府采购流程。</w:t>
            </w:r>
          </w:p>
        </w:tc>
      </w:tr>
      <w:tr w14:paraId="1A1A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58" w:type="dxa"/>
            <w:shd w:val="clear" w:color="auto" w:fill="auto"/>
            <w:noWrap/>
            <w:vAlign w:val="center"/>
          </w:tcPr>
          <w:p w14:paraId="335D911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24</w:t>
            </w:r>
          </w:p>
        </w:tc>
        <w:tc>
          <w:tcPr>
            <w:tcW w:w="1301" w:type="dxa"/>
            <w:vMerge w:val="continue"/>
            <w:shd w:val="clear" w:color="auto" w:fill="auto"/>
            <w:vAlign w:val="center"/>
          </w:tcPr>
          <w:p w14:paraId="443A0842">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65345F8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12326A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0EFD75E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项目建设后续监管不到位</w:t>
            </w:r>
          </w:p>
        </w:tc>
        <w:tc>
          <w:tcPr>
            <w:tcW w:w="2316" w:type="dxa"/>
            <w:shd w:val="clear" w:color="auto" w:fill="auto"/>
            <w:vAlign w:val="center"/>
          </w:tcPr>
          <w:p w14:paraId="1F542E5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运维报告提供不及时</w:t>
            </w:r>
          </w:p>
        </w:tc>
        <w:tc>
          <w:tcPr>
            <w:tcW w:w="5299" w:type="dxa"/>
            <w:shd w:val="clear" w:color="auto" w:fill="auto"/>
            <w:vAlign w:val="center"/>
          </w:tcPr>
          <w:p w14:paraId="4D31F2E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经了解，第一年度云服务合同期间华为云计算技术有限公司未按时每月向永州市行政审批服务局及时报送运维报告，2023年开始按规定准时报送。</w:t>
            </w:r>
          </w:p>
        </w:tc>
      </w:tr>
      <w:tr w14:paraId="0302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7B3692E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25</w:t>
            </w:r>
          </w:p>
        </w:tc>
        <w:tc>
          <w:tcPr>
            <w:tcW w:w="1301" w:type="dxa"/>
            <w:vMerge w:val="continue"/>
            <w:shd w:val="clear" w:color="auto" w:fill="auto"/>
            <w:vAlign w:val="center"/>
          </w:tcPr>
          <w:p w14:paraId="1B79260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12A0A0D7">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04E3F4C9">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233E614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3302993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未严格履行合同约定</w:t>
            </w:r>
          </w:p>
        </w:tc>
        <w:tc>
          <w:tcPr>
            <w:tcW w:w="5299" w:type="dxa"/>
            <w:shd w:val="clear" w:color="auto" w:fill="auto"/>
            <w:vAlign w:val="center"/>
          </w:tcPr>
          <w:p w14:paraId="67A2C21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永州市人民政府与华为云计算有限公司于2022年4月签订的《永州市云计算服务项目合同（第一年）》第八章，华为云计算有限公司每年应免费为永州市人民政府组织一次政企数字化领导力培训班，邀请永州市市直和县（市、区）政府及企事业单位的主要负责人参加，培养数字化人才，为永州数字经济发展注入新活力。经了解，华为云计算有限公司仅于2024年1月23日至24日举办了《2024年永州云谷&amp;华为公司培训活动暨数字经济分享会》，2021年7月1日至2022年6月30日以及2022年7月1日至2023年6月30日合同期间未履行该义务。主要系2021-2022年因疫情原因导致未及时组织数字化领导力培训，2023年9月华为协助市委组织部组织市委市政府学员到华为现场学习。</w:t>
            </w:r>
          </w:p>
        </w:tc>
      </w:tr>
      <w:tr w14:paraId="43D6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58" w:type="dxa"/>
            <w:shd w:val="clear" w:color="auto" w:fill="auto"/>
            <w:noWrap/>
            <w:vAlign w:val="center"/>
          </w:tcPr>
          <w:p w14:paraId="11F3F4A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26</w:t>
            </w:r>
          </w:p>
        </w:tc>
        <w:tc>
          <w:tcPr>
            <w:tcW w:w="1301" w:type="dxa"/>
            <w:vMerge w:val="continue"/>
            <w:shd w:val="clear" w:color="auto" w:fill="auto"/>
            <w:vAlign w:val="center"/>
          </w:tcPr>
          <w:p w14:paraId="5BA9BDD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4810805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7F99412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62CE328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项目管理制度不够健全</w:t>
            </w:r>
          </w:p>
        </w:tc>
        <w:tc>
          <w:tcPr>
            <w:tcW w:w="2316" w:type="dxa"/>
            <w:shd w:val="clear" w:color="auto" w:fill="auto"/>
            <w:vAlign w:val="center"/>
          </w:tcPr>
          <w:p w14:paraId="38B7F33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未落实按效付费机制</w:t>
            </w:r>
          </w:p>
        </w:tc>
        <w:tc>
          <w:tcPr>
            <w:tcW w:w="5299" w:type="dxa"/>
            <w:shd w:val="clear" w:color="auto" w:fill="auto"/>
            <w:vAlign w:val="center"/>
          </w:tcPr>
          <w:p w14:paraId="445F3D9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湖南省政府购买服务管理实施办法》（湘财综〔2020〕6号），“行业主管部门、购买主体、财政部门应当加强政府购买服务绩效管理，完善政府购买服务绩效评价机制，建立健全信息技术为基础的绩效执行评估，不断提高政府购买服务质量和效益”。该项目严格意义上应属于购买服务范畴，但项目管理力度不足，未制定项目绩效考核机制体系。项目管理制度缺少考核内容，未落实项目验收工作，未将项目实施质量等情况与付费进行挂钩。项目执行过程中未对云服务交付情况进行考核验收，未针对2021-2022合同年度项目实施情况进行年度验收考核，缺乏明确的验收标准及项目实施指导意见，不利于项目持续发展和资金使用效益的发挥。经延伸了解，2023年度项目招标中明确了指标考核要求，主管单位每年对云服务质量开展一次项目考核。</w:t>
            </w:r>
          </w:p>
        </w:tc>
      </w:tr>
      <w:tr w14:paraId="71FF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8" w:type="dxa"/>
            <w:shd w:val="clear" w:color="auto" w:fill="auto"/>
            <w:noWrap/>
            <w:vAlign w:val="center"/>
          </w:tcPr>
          <w:p w14:paraId="3BE9521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27</w:t>
            </w:r>
          </w:p>
        </w:tc>
        <w:tc>
          <w:tcPr>
            <w:tcW w:w="1301" w:type="dxa"/>
            <w:vMerge w:val="continue"/>
            <w:shd w:val="clear" w:color="auto" w:fill="auto"/>
            <w:vAlign w:val="center"/>
          </w:tcPr>
          <w:p w14:paraId="6B5AD56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0486D953">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05049EA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4D8F992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6840AF5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验收交付流程不合规</w:t>
            </w:r>
          </w:p>
        </w:tc>
        <w:tc>
          <w:tcPr>
            <w:tcW w:w="5299" w:type="dxa"/>
            <w:shd w:val="clear" w:color="auto" w:fill="auto"/>
            <w:vAlign w:val="center"/>
          </w:tcPr>
          <w:p w14:paraId="1B43D74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存在云资源申请单填写不规范以及验收交付不及时的情况，如市财政局申请国有资产统计系统云资源，云服务提供商确认时间为2022年9月21日，用户单位验收确认时间为2022年11月22日，与合同约定应在服务商确认订单后10内完成验收交付不符；永州市财政局2022年7月7日申请国有资产统计系统云资源变更，云服务提供商于2022年7月17日同意开通，但申请单上无申请单位验收意见。</w:t>
            </w:r>
          </w:p>
        </w:tc>
      </w:tr>
      <w:tr w14:paraId="16E6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58" w:type="dxa"/>
            <w:shd w:val="clear" w:color="auto" w:fill="auto"/>
            <w:noWrap/>
            <w:vAlign w:val="center"/>
          </w:tcPr>
          <w:p w14:paraId="45845DF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28</w:t>
            </w:r>
          </w:p>
        </w:tc>
        <w:tc>
          <w:tcPr>
            <w:tcW w:w="1301" w:type="dxa"/>
            <w:vMerge w:val="restart"/>
            <w:shd w:val="clear" w:color="auto" w:fill="auto"/>
            <w:vAlign w:val="center"/>
          </w:tcPr>
          <w:p w14:paraId="173A140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永州市行政审批服务局</w:t>
            </w:r>
          </w:p>
        </w:tc>
        <w:tc>
          <w:tcPr>
            <w:tcW w:w="1339" w:type="dxa"/>
            <w:vMerge w:val="restart"/>
            <w:shd w:val="clear" w:color="auto" w:fill="auto"/>
            <w:vAlign w:val="center"/>
          </w:tcPr>
          <w:p w14:paraId="14E6A11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2023年第一批地方政府新增债务限额（一般债券）-公共安全视频监控（雪亮工程）</w:t>
            </w:r>
          </w:p>
        </w:tc>
        <w:tc>
          <w:tcPr>
            <w:tcW w:w="1127" w:type="dxa"/>
            <w:vMerge w:val="restart"/>
            <w:shd w:val="clear" w:color="auto" w:fill="auto"/>
            <w:vAlign w:val="center"/>
          </w:tcPr>
          <w:p w14:paraId="753A390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运维项目</w:t>
            </w:r>
          </w:p>
        </w:tc>
        <w:tc>
          <w:tcPr>
            <w:tcW w:w="2039" w:type="dxa"/>
            <w:shd w:val="clear" w:color="auto" w:fill="auto"/>
            <w:noWrap/>
            <w:vAlign w:val="center"/>
          </w:tcPr>
          <w:p w14:paraId="74887A8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资产管理欠规范</w:t>
            </w:r>
          </w:p>
        </w:tc>
        <w:tc>
          <w:tcPr>
            <w:tcW w:w="2316" w:type="dxa"/>
            <w:shd w:val="clear" w:color="auto" w:fill="auto"/>
            <w:vAlign w:val="center"/>
          </w:tcPr>
          <w:p w14:paraId="1001FB2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资产移交不及时，权责划分不清晰</w:t>
            </w:r>
          </w:p>
        </w:tc>
        <w:tc>
          <w:tcPr>
            <w:tcW w:w="5299" w:type="dxa"/>
            <w:shd w:val="clear" w:color="auto" w:fill="auto"/>
            <w:vAlign w:val="center"/>
          </w:tcPr>
          <w:p w14:paraId="6D20BA9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已于2022年10月通过国家验收，截至2024年3月27日，项目仍未完全移交。按照《永州市（市本级）公共安全视频监控建设联网项目合同》，联通数据科技有限公司提供的免费运维期自2022年10月国家验收完成至2023年10月，为期一年，截至绩效评价日，因项目资产权属划分不明晰，未就该项目与联通数据科技有限公司签订后续运维服务合同。</w:t>
            </w:r>
          </w:p>
        </w:tc>
      </w:tr>
      <w:tr w14:paraId="6F0F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58" w:type="dxa"/>
            <w:shd w:val="clear" w:color="auto" w:fill="auto"/>
            <w:noWrap/>
            <w:vAlign w:val="center"/>
          </w:tcPr>
          <w:p w14:paraId="6DB9897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29</w:t>
            </w:r>
          </w:p>
        </w:tc>
        <w:tc>
          <w:tcPr>
            <w:tcW w:w="1301" w:type="dxa"/>
            <w:vMerge w:val="continue"/>
            <w:shd w:val="clear" w:color="auto" w:fill="auto"/>
            <w:vAlign w:val="center"/>
          </w:tcPr>
          <w:p w14:paraId="6DB84D2C">
            <w:pPr>
              <w:jc w:val="left"/>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02BC7325">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3A11A7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6129E4F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项目建设管理不规范</w:t>
            </w:r>
          </w:p>
        </w:tc>
        <w:tc>
          <w:tcPr>
            <w:tcW w:w="2316" w:type="dxa"/>
            <w:shd w:val="clear" w:color="auto" w:fill="auto"/>
            <w:vAlign w:val="center"/>
          </w:tcPr>
          <w:p w14:paraId="66955D9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资料报审与开工审批程序倒置</w:t>
            </w:r>
          </w:p>
        </w:tc>
        <w:tc>
          <w:tcPr>
            <w:tcW w:w="5299" w:type="dxa"/>
            <w:shd w:val="clear" w:color="auto" w:fill="auto"/>
            <w:vAlign w:val="center"/>
          </w:tcPr>
          <w:p w14:paraId="144B80D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湖南致信信息股份有限公司下发开工令时间为2021年6月6日，项目工程施工组织设计/方案报审时间为2021年6月15日，审核通过时间为2021年6月16日；根据监理单位下发的《监理工程师通知单》，截至2021年6月30日，建设单位仍未补齐开工报审资料。经补充了解，该项目所涉及的点位资料必须要等项目监控点位现场勘测所有相关方签订监控点位变更后方能提供（到了7月点位的勘测和变更确认才结束），所以监理出具了相应监理单督促补充资料。</w:t>
            </w:r>
          </w:p>
        </w:tc>
      </w:tr>
      <w:tr w14:paraId="46DA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58" w:type="dxa"/>
            <w:shd w:val="clear" w:color="auto" w:fill="auto"/>
            <w:noWrap/>
            <w:vAlign w:val="center"/>
          </w:tcPr>
          <w:p w14:paraId="54DE7C0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30</w:t>
            </w:r>
          </w:p>
        </w:tc>
        <w:tc>
          <w:tcPr>
            <w:tcW w:w="1301" w:type="dxa"/>
            <w:vMerge w:val="continue"/>
            <w:shd w:val="clear" w:color="auto" w:fill="auto"/>
            <w:vAlign w:val="center"/>
          </w:tcPr>
          <w:p w14:paraId="73606EB1">
            <w:pPr>
              <w:jc w:val="left"/>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5A9C558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168B6BEC">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45CAD80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项目实施效益不佳</w:t>
            </w:r>
          </w:p>
        </w:tc>
        <w:tc>
          <w:tcPr>
            <w:tcW w:w="2316" w:type="dxa"/>
            <w:shd w:val="clear" w:color="auto" w:fill="auto"/>
            <w:vAlign w:val="center"/>
          </w:tcPr>
          <w:p w14:paraId="5F3FA2D5">
            <w:pPr>
              <w:jc w:val="left"/>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299" w:type="dxa"/>
            <w:shd w:val="clear" w:color="auto" w:fill="auto"/>
            <w:vAlign w:val="center"/>
          </w:tcPr>
          <w:p w14:paraId="329A2BA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由于项目运维已到期，运维公司已停止前端运维工作，部分社会监控点位因费用未结算停止推流，目前市本级雪亮工程监控建设点位在线率及社会监控共享接入点位在线率较低。根据永州市市级共享总平台显示，截至2024年3月27日，市本级雪亮工程监控总点位数743个，在线点位533个，在线率71.73%；截至2024年4月23日，除自建监控点位外，永州市冷水滩区及零陵区监控视频共接入社会监控点位79622个，其中二类资源3130个，三类资源71236个；目前在线点位47325个，其中二类资源556个，三类资源43610个，在线率59.44%。经补充了解，市委市政府会议已明确了运维主体为市公安局，目前在走相关移交和申请预算流程，运维合同签订后能按要求恢复。</w:t>
            </w:r>
          </w:p>
        </w:tc>
      </w:tr>
      <w:tr w14:paraId="133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58" w:type="dxa"/>
            <w:shd w:val="clear" w:color="auto" w:fill="auto"/>
            <w:noWrap/>
            <w:vAlign w:val="center"/>
          </w:tcPr>
          <w:p w14:paraId="3F17B7A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31</w:t>
            </w:r>
          </w:p>
        </w:tc>
        <w:tc>
          <w:tcPr>
            <w:tcW w:w="1301" w:type="dxa"/>
            <w:vMerge w:val="restart"/>
            <w:shd w:val="clear" w:color="auto" w:fill="auto"/>
            <w:vAlign w:val="center"/>
          </w:tcPr>
          <w:p w14:paraId="36AA5A7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永州市行政审批服务局</w:t>
            </w:r>
          </w:p>
        </w:tc>
        <w:tc>
          <w:tcPr>
            <w:tcW w:w="1339" w:type="dxa"/>
            <w:vMerge w:val="restart"/>
            <w:shd w:val="clear" w:color="auto" w:fill="auto"/>
            <w:vAlign w:val="center"/>
          </w:tcPr>
          <w:p w14:paraId="5AC9C19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2023年第一批地方政府新增债务限额（一般债券）-“智慧永州”一期、二期项目资金</w:t>
            </w:r>
          </w:p>
        </w:tc>
        <w:tc>
          <w:tcPr>
            <w:tcW w:w="1127" w:type="dxa"/>
            <w:vMerge w:val="restart"/>
            <w:shd w:val="clear" w:color="auto" w:fill="auto"/>
            <w:vAlign w:val="center"/>
          </w:tcPr>
          <w:p w14:paraId="5098FD6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运维项目</w:t>
            </w:r>
          </w:p>
        </w:tc>
        <w:tc>
          <w:tcPr>
            <w:tcW w:w="2039" w:type="dxa"/>
            <w:shd w:val="clear" w:color="auto" w:fill="auto"/>
            <w:vAlign w:val="center"/>
          </w:tcPr>
          <w:p w14:paraId="23A76D7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合同管理不规范</w:t>
            </w:r>
          </w:p>
        </w:tc>
        <w:tc>
          <w:tcPr>
            <w:tcW w:w="2316" w:type="dxa"/>
            <w:shd w:val="clear" w:color="auto" w:fill="auto"/>
            <w:vAlign w:val="center"/>
          </w:tcPr>
          <w:p w14:paraId="7377EAF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未严格履行合同约定</w:t>
            </w:r>
          </w:p>
        </w:tc>
        <w:tc>
          <w:tcPr>
            <w:tcW w:w="5299" w:type="dxa"/>
            <w:shd w:val="clear" w:color="auto" w:fill="auto"/>
            <w:vAlign w:val="center"/>
          </w:tcPr>
          <w:p w14:paraId="7B10921E">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智慧永州综合应用电子政务公共平台项目合同签订内容，运维服务期第六年，投资方和采购方对前5年合同履行情况进行综合评价，并于当年6月底前确定是否续约服务，如续约，应办理项目移交手续，如不续约，乙方应于当年11月底前完成全部软件、设备设施和运维工作机制的移交工作。智慧永州项目（一期）于2017年5月19日完成终验，经审核，2023年度投资与采购方未对合同履行情况进行综合评价。</w:t>
            </w:r>
          </w:p>
        </w:tc>
      </w:tr>
      <w:tr w14:paraId="1C3F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58" w:type="dxa"/>
            <w:shd w:val="clear" w:color="auto" w:fill="auto"/>
            <w:noWrap/>
            <w:vAlign w:val="center"/>
          </w:tcPr>
          <w:p w14:paraId="0CC28D7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32</w:t>
            </w:r>
          </w:p>
        </w:tc>
        <w:tc>
          <w:tcPr>
            <w:tcW w:w="1301" w:type="dxa"/>
            <w:vMerge w:val="continue"/>
            <w:shd w:val="clear" w:color="auto" w:fill="auto"/>
            <w:vAlign w:val="center"/>
          </w:tcPr>
          <w:p w14:paraId="55404FE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68AF2D06">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34DE5478">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noWrap/>
            <w:vAlign w:val="center"/>
          </w:tcPr>
          <w:p w14:paraId="5A7EA49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资产管理欠规范</w:t>
            </w:r>
          </w:p>
        </w:tc>
        <w:tc>
          <w:tcPr>
            <w:tcW w:w="2316" w:type="dxa"/>
            <w:shd w:val="clear" w:color="auto" w:fill="auto"/>
            <w:noWrap/>
            <w:vAlign w:val="center"/>
          </w:tcPr>
          <w:p w14:paraId="6379C89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项目移交不及时，责任主体不明确</w:t>
            </w:r>
          </w:p>
        </w:tc>
        <w:tc>
          <w:tcPr>
            <w:tcW w:w="5299" w:type="dxa"/>
            <w:shd w:val="clear" w:color="auto" w:fill="auto"/>
            <w:vAlign w:val="center"/>
          </w:tcPr>
          <w:p w14:paraId="44804D2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经了解，该项目已于2023年10月由永州市大数据科技有限责任公司与万达信息股份有限公司续签运维合同，但截至2024年4月，项目仍未完成移交手续。</w:t>
            </w:r>
          </w:p>
        </w:tc>
      </w:tr>
      <w:tr w14:paraId="123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shd w:val="clear" w:color="auto" w:fill="auto"/>
            <w:noWrap/>
            <w:vAlign w:val="center"/>
          </w:tcPr>
          <w:p w14:paraId="1CE2532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33</w:t>
            </w:r>
          </w:p>
        </w:tc>
        <w:tc>
          <w:tcPr>
            <w:tcW w:w="1301" w:type="dxa"/>
            <w:vMerge w:val="continue"/>
            <w:shd w:val="clear" w:color="auto" w:fill="auto"/>
            <w:vAlign w:val="center"/>
          </w:tcPr>
          <w:p w14:paraId="782DD74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5E0C0A31">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4F592E2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5C68651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项目实施效益不佳</w:t>
            </w:r>
          </w:p>
        </w:tc>
        <w:tc>
          <w:tcPr>
            <w:tcW w:w="2316" w:type="dxa"/>
            <w:shd w:val="clear" w:color="auto" w:fill="auto"/>
            <w:vAlign w:val="center"/>
          </w:tcPr>
          <w:p w14:paraId="384584E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系统使用率低、数据共享质量有待提高</w:t>
            </w:r>
          </w:p>
        </w:tc>
        <w:tc>
          <w:tcPr>
            <w:tcW w:w="5299" w:type="dxa"/>
            <w:shd w:val="clear" w:color="auto" w:fill="auto"/>
            <w:vAlign w:val="center"/>
          </w:tcPr>
          <w:p w14:paraId="42D8876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经访谈了解，目前冷水滩区、道县、祁阳市、新田县等9个区县通过数据拷贝形式共享，数据更新及时性、准确性均有待提高，且行政审批局依托现有资源难以监测系统各模块数据资源更新是否及时。评价组通过统计分析智慧永州综合应用电子政务公共平台业务及基础数据库数据增长情况，发现2022年至2023年期间6个基础数据库中5个数据库无数据增长情况，业务库仅社治事件这一数据项有数据增长，数据共享更新不及时，数据共享质量有待提高；存在个别模块业务数据量连续增长为0，无使用需求，如社会治理系统,部分数据项2023年度业务数据增长量低于10%，如联动事件系统-社会服务类2023年度较2022年度业务数据量增长率为7.47%，公共服务类系统，宁远县与蓝山县2023年度较2022年度业务数据量增长率分别为7.07%、0.09%。</w:t>
            </w:r>
          </w:p>
        </w:tc>
      </w:tr>
      <w:tr w14:paraId="321E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658" w:type="dxa"/>
            <w:shd w:val="clear" w:color="auto" w:fill="auto"/>
            <w:noWrap/>
            <w:vAlign w:val="center"/>
          </w:tcPr>
          <w:p w14:paraId="40BE944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34</w:t>
            </w:r>
          </w:p>
        </w:tc>
        <w:tc>
          <w:tcPr>
            <w:tcW w:w="1301" w:type="dxa"/>
            <w:vMerge w:val="continue"/>
            <w:shd w:val="clear" w:color="auto" w:fill="auto"/>
            <w:vAlign w:val="center"/>
          </w:tcPr>
          <w:p w14:paraId="0211ACA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70182D9A">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51BF8C5B">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shd w:val="clear" w:color="auto" w:fill="auto"/>
            <w:vAlign w:val="center"/>
          </w:tcPr>
          <w:p w14:paraId="0761729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项目建设后续监管不到位</w:t>
            </w:r>
          </w:p>
        </w:tc>
        <w:tc>
          <w:tcPr>
            <w:tcW w:w="2316" w:type="dxa"/>
            <w:shd w:val="clear" w:color="auto" w:fill="auto"/>
            <w:noWrap/>
            <w:vAlign w:val="center"/>
          </w:tcPr>
          <w:p w14:paraId="3E88187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政务数据校核机制执行不够有效</w:t>
            </w:r>
          </w:p>
        </w:tc>
        <w:tc>
          <w:tcPr>
            <w:tcW w:w="5299" w:type="dxa"/>
            <w:shd w:val="clear" w:color="auto" w:fill="auto"/>
            <w:vAlign w:val="center"/>
          </w:tcPr>
          <w:p w14:paraId="0E251FE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根据《永州市政务大数据管理办法》第二十一条：使用部门对获取的共享信息有疑义或者认为有明显错误的，应及时反馈给提供部门……。结合智慧永州项目问卷调查结果，16.67%的用户表示在系统使用过程中出现过数据丢失的现场，但数据共享至今，永州市行政审批局未收到过使用部门反馈。</w:t>
            </w:r>
          </w:p>
        </w:tc>
      </w:tr>
      <w:tr w14:paraId="4C37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58" w:type="dxa"/>
            <w:shd w:val="clear" w:color="auto" w:fill="auto"/>
            <w:noWrap/>
            <w:vAlign w:val="center"/>
          </w:tcPr>
          <w:p w14:paraId="4DAFCD6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35</w:t>
            </w:r>
          </w:p>
        </w:tc>
        <w:tc>
          <w:tcPr>
            <w:tcW w:w="1301" w:type="dxa"/>
            <w:vMerge w:val="continue"/>
            <w:shd w:val="clear" w:color="auto" w:fill="auto"/>
            <w:vAlign w:val="center"/>
          </w:tcPr>
          <w:p w14:paraId="7DDA625D">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70AE0F30">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297AD04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restart"/>
            <w:shd w:val="clear" w:color="auto" w:fill="auto"/>
            <w:vAlign w:val="center"/>
          </w:tcPr>
          <w:p w14:paraId="6618945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项目建设后续监管不到位</w:t>
            </w:r>
          </w:p>
        </w:tc>
        <w:tc>
          <w:tcPr>
            <w:tcW w:w="2316" w:type="dxa"/>
            <w:vMerge w:val="restart"/>
            <w:shd w:val="clear" w:color="auto" w:fill="auto"/>
            <w:vAlign w:val="center"/>
          </w:tcPr>
          <w:p w14:paraId="55DA2CA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运维管理质量有待提高</w:t>
            </w:r>
          </w:p>
        </w:tc>
        <w:tc>
          <w:tcPr>
            <w:tcW w:w="5299" w:type="dxa"/>
            <w:shd w:val="clear" w:color="auto" w:fill="auto"/>
            <w:vAlign w:val="center"/>
          </w:tcPr>
          <w:p w14:paraId="6DB638F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评价组获取并对2022年至2023年6月份运行维护报告进行审查，发现存在以下问题：一是云计算中心日常巡查记录表内容均未填写；二是运行维护报告所属日期与报告内容不一致，如2022年6月《系统运行维护报告》，报告封面日期为9月，系统版本记录为2022年10月20日，且经对比，2022年6月与2023年1月份《系统运行维护报告》内容一致，如，业务生产数据月报部分，两份报告中本月产生数据与本月数据总量数、应用维护事件等信息均一致，运维报告信息不真实。</w:t>
            </w:r>
          </w:p>
        </w:tc>
      </w:tr>
      <w:tr w14:paraId="0330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58" w:type="dxa"/>
            <w:shd w:val="clear" w:color="auto" w:fill="auto"/>
            <w:noWrap/>
            <w:vAlign w:val="center"/>
          </w:tcPr>
          <w:p w14:paraId="71B45D7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36</w:t>
            </w:r>
          </w:p>
        </w:tc>
        <w:tc>
          <w:tcPr>
            <w:tcW w:w="1301" w:type="dxa"/>
            <w:vMerge w:val="continue"/>
            <w:shd w:val="clear" w:color="auto" w:fill="auto"/>
            <w:vAlign w:val="center"/>
          </w:tcPr>
          <w:p w14:paraId="405AE79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339" w:type="dxa"/>
            <w:vMerge w:val="continue"/>
            <w:shd w:val="clear" w:color="auto" w:fill="auto"/>
            <w:vAlign w:val="center"/>
          </w:tcPr>
          <w:p w14:paraId="2AED9D9F">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1127" w:type="dxa"/>
            <w:vMerge w:val="continue"/>
            <w:shd w:val="clear" w:color="auto" w:fill="auto"/>
            <w:vAlign w:val="center"/>
          </w:tcPr>
          <w:p w14:paraId="298F09DE">
            <w:pPr>
              <w:jc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039" w:type="dxa"/>
            <w:vMerge w:val="continue"/>
            <w:shd w:val="clear" w:color="auto" w:fill="auto"/>
            <w:vAlign w:val="center"/>
          </w:tcPr>
          <w:p w14:paraId="4C39188B">
            <w:pPr>
              <w:jc w:val="left"/>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2316" w:type="dxa"/>
            <w:vMerge w:val="continue"/>
            <w:shd w:val="clear" w:color="auto" w:fill="auto"/>
            <w:vAlign w:val="center"/>
          </w:tcPr>
          <w:p w14:paraId="03FB0F88">
            <w:pPr>
              <w:jc w:val="left"/>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p>
        </w:tc>
        <w:tc>
          <w:tcPr>
            <w:tcW w:w="5299" w:type="dxa"/>
            <w:shd w:val="clear" w:color="auto" w:fill="auto"/>
            <w:vAlign w:val="center"/>
          </w:tcPr>
          <w:p w14:paraId="6181F5C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个别项目建设后未签订运维合同，如智慧永州视频共享平台项目，项目于2017年7月14日开工建设，于2018年3月7日完成验收，项目整体质保期2年，项目建成后未就运维事项签订相关合同，共享平台处于无运维保障的运转状态。</w:t>
            </w:r>
          </w:p>
        </w:tc>
      </w:tr>
      <w:tr w14:paraId="5314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58" w:type="dxa"/>
            <w:shd w:val="clear" w:color="auto" w:fill="auto"/>
            <w:noWrap/>
            <w:vAlign w:val="center"/>
          </w:tcPr>
          <w:p w14:paraId="5F5F85C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37</w:t>
            </w:r>
          </w:p>
        </w:tc>
        <w:tc>
          <w:tcPr>
            <w:tcW w:w="1301" w:type="dxa"/>
            <w:shd w:val="clear" w:color="auto" w:fill="auto"/>
            <w:vAlign w:val="center"/>
          </w:tcPr>
          <w:p w14:paraId="34C874B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中国共产党永州市委员会办公室</w:t>
            </w:r>
          </w:p>
        </w:tc>
        <w:tc>
          <w:tcPr>
            <w:tcW w:w="1339" w:type="dxa"/>
            <w:shd w:val="clear" w:color="auto" w:fill="auto"/>
            <w:vAlign w:val="center"/>
          </w:tcPr>
          <w:p w14:paraId="07C14BF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电信电路服务业务费用</w:t>
            </w:r>
          </w:p>
        </w:tc>
        <w:tc>
          <w:tcPr>
            <w:tcW w:w="1127" w:type="dxa"/>
            <w:shd w:val="clear" w:color="auto" w:fill="auto"/>
            <w:vAlign w:val="center"/>
          </w:tcPr>
          <w:p w14:paraId="541CAEA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服务采购项目</w:t>
            </w:r>
          </w:p>
        </w:tc>
        <w:tc>
          <w:tcPr>
            <w:tcW w:w="2039" w:type="dxa"/>
            <w:shd w:val="clear" w:color="auto" w:fill="auto"/>
            <w:vAlign w:val="center"/>
          </w:tcPr>
          <w:p w14:paraId="6025108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政府采购管理不规范</w:t>
            </w:r>
          </w:p>
        </w:tc>
        <w:tc>
          <w:tcPr>
            <w:tcW w:w="2316" w:type="dxa"/>
            <w:shd w:val="clear" w:color="auto" w:fill="auto"/>
            <w:vAlign w:val="center"/>
          </w:tcPr>
          <w:p w14:paraId="589254C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合同履行在前、签订在后</w:t>
            </w:r>
          </w:p>
        </w:tc>
        <w:tc>
          <w:tcPr>
            <w:tcW w:w="5299" w:type="dxa"/>
            <w:shd w:val="clear" w:color="auto" w:fill="auto"/>
            <w:vAlign w:val="center"/>
          </w:tcPr>
          <w:p w14:paraId="24F59B8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该项目合同生效期为2019年11月1日至2024年10月31日，但实际签订日期为2019年11月20日，合同履行在前，签订在后。</w:t>
            </w:r>
          </w:p>
        </w:tc>
      </w:tr>
    </w:tbl>
    <w:p w14:paraId="323B1D03">
      <w:pPr>
        <w:pStyle w:val="2"/>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6030804020204"/>
    <w:charset w:val="00"/>
    <w:family w:val="auto"/>
    <w:pitch w:val="default"/>
    <w:sig w:usb0="E7006EFF" w:usb1="D200FDFF" w:usb2="0A246029" w:usb3="0400200C" w:csb0="600001FF" w:csb1="DFFF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E2FF">
    <w:pPr>
      <w:pStyle w:val="13"/>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D77C">
    <w:pPr>
      <w:pStyle w:val="13"/>
      <w:ind w:firstLine="36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8238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F8238E">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AA5C63">
                          <w:pPr>
                            <w:pStyle w:val="13"/>
                            <w:ind w:firstLine="36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GuRsyAgAAZ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y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SBMn2Vh&#10;q3eWR+goj7erY4CcSeUoSqcEuhMPmL/Up35X4oD/eU5Rj/8P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Ya5GzICAABnBAAADgAAAAAAAAABACAAAAAfAQAAZHJzL2Uyb0RvYy54bWxQSwUG&#10;AAAAAAYABgBZAQAAwwUAAAAA&#10;">
              <v:fill on="f" focussize="0,0"/>
              <v:stroke on="f" weight="0.5pt"/>
              <v:imagedata o:title=""/>
              <o:lock v:ext="edit" aspectratio="f"/>
              <v:textbox inset="0mm,0mm,0mm,0mm" style="mso-fit-shape-to-text:t;">
                <w:txbxContent>
                  <w:p w14:paraId="69AA5C63">
                    <w:pPr>
                      <w:pStyle w:val="13"/>
                      <w:ind w:firstLine="361"/>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EE6E894">
      <w:pPr>
        <w:pStyle w:val="16"/>
        <w:rPr>
          <w:rFonts w:hint="eastAsia" w:eastAsia="宋体"/>
          <w:lang w:eastAsia="zh-CN"/>
        </w:rPr>
      </w:pPr>
      <w:r>
        <w:rPr>
          <w:rStyle w:val="25"/>
        </w:rPr>
        <w:footnoteRef/>
      </w:r>
      <w:r>
        <w:rPr>
          <w:rFonts w:hint="eastAsia"/>
        </w:rPr>
        <w:t>90（含）-100分为优、80（含）-90分为良、60（含）-80分为较差、60分以下为差。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10"/>
  <w:drawingGridVerticalSpacing w:val="158"/>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TkzZDk0MzQyZjg1NDEwMTM3NGVhNGJjOWVmNDYifQ=="/>
  </w:docVars>
  <w:rsids>
    <w:rsidRoot w:val="55AF0B62"/>
    <w:rsid w:val="00017AA1"/>
    <w:rsid w:val="00021501"/>
    <w:rsid w:val="00035928"/>
    <w:rsid w:val="00066DCE"/>
    <w:rsid w:val="00084AC8"/>
    <w:rsid w:val="000C11B0"/>
    <w:rsid w:val="00191908"/>
    <w:rsid w:val="001C6FD1"/>
    <w:rsid w:val="001F5C1F"/>
    <w:rsid w:val="00226C98"/>
    <w:rsid w:val="00233F7E"/>
    <w:rsid w:val="00240BBD"/>
    <w:rsid w:val="0027176D"/>
    <w:rsid w:val="00293D4D"/>
    <w:rsid w:val="002D07C3"/>
    <w:rsid w:val="002D5FA0"/>
    <w:rsid w:val="00436D99"/>
    <w:rsid w:val="004636B8"/>
    <w:rsid w:val="004C067C"/>
    <w:rsid w:val="004D0732"/>
    <w:rsid w:val="00510C18"/>
    <w:rsid w:val="00531F6A"/>
    <w:rsid w:val="00540BEF"/>
    <w:rsid w:val="00584E1D"/>
    <w:rsid w:val="005C382D"/>
    <w:rsid w:val="005C3F3F"/>
    <w:rsid w:val="005E67F2"/>
    <w:rsid w:val="005F4E67"/>
    <w:rsid w:val="0061211A"/>
    <w:rsid w:val="00624733"/>
    <w:rsid w:val="00676E6A"/>
    <w:rsid w:val="00681152"/>
    <w:rsid w:val="006D6000"/>
    <w:rsid w:val="006F396A"/>
    <w:rsid w:val="006F45F5"/>
    <w:rsid w:val="00711A5C"/>
    <w:rsid w:val="00722A22"/>
    <w:rsid w:val="00726BC9"/>
    <w:rsid w:val="00733D28"/>
    <w:rsid w:val="00752087"/>
    <w:rsid w:val="00772647"/>
    <w:rsid w:val="00773C8D"/>
    <w:rsid w:val="00791AF7"/>
    <w:rsid w:val="00801661"/>
    <w:rsid w:val="0085600E"/>
    <w:rsid w:val="00856505"/>
    <w:rsid w:val="0085695B"/>
    <w:rsid w:val="008617D6"/>
    <w:rsid w:val="00877C11"/>
    <w:rsid w:val="008911F0"/>
    <w:rsid w:val="008F371C"/>
    <w:rsid w:val="00947AA5"/>
    <w:rsid w:val="00987417"/>
    <w:rsid w:val="00A129B2"/>
    <w:rsid w:val="00A65F11"/>
    <w:rsid w:val="00AA65C0"/>
    <w:rsid w:val="00B87638"/>
    <w:rsid w:val="00C116C6"/>
    <w:rsid w:val="00C941DF"/>
    <w:rsid w:val="00CF1051"/>
    <w:rsid w:val="00CF3497"/>
    <w:rsid w:val="00D155F1"/>
    <w:rsid w:val="00D23242"/>
    <w:rsid w:val="00D839D8"/>
    <w:rsid w:val="00DC0E2C"/>
    <w:rsid w:val="00DC5986"/>
    <w:rsid w:val="00DF6E25"/>
    <w:rsid w:val="00DF766E"/>
    <w:rsid w:val="00E045E3"/>
    <w:rsid w:val="00EB52C6"/>
    <w:rsid w:val="00ED37C1"/>
    <w:rsid w:val="00EE7DA2"/>
    <w:rsid w:val="00F17D25"/>
    <w:rsid w:val="00F401BC"/>
    <w:rsid w:val="00F8082E"/>
    <w:rsid w:val="00F83A62"/>
    <w:rsid w:val="00F907B0"/>
    <w:rsid w:val="00FB24FA"/>
    <w:rsid w:val="00FC5A35"/>
    <w:rsid w:val="012872AC"/>
    <w:rsid w:val="012C79F7"/>
    <w:rsid w:val="013C22E3"/>
    <w:rsid w:val="01692A80"/>
    <w:rsid w:val="01702181"/>
    <w:rsid w:val="01802A1D"/>
    <w:rsid w:val="01901608"/>
    <w:rsid w:val="01A73817"/>
    <w:rsid w:val="01B57C3B"/>
    <w:rsid w:val="01E73B2B"/>
    <w:rsid w:val="01E964D3"/>
    <w:rsid w:val="01EB242C"/>
    <w:rsid w:val="020B1198"/>
    <w:rsid w:val="02104240"/>
    <w:rsid w:val="02242A09"/>
    <w:rsid w:val="02497093"/>
    <w:rsid w:val="02686968"/>
    <w:rsid w:val="02EB60E2"/>
    <w:rsid w:val="02F66ECC"/>
    <w:rsid w:val="0343592C"/>
    <w:rsid w:val="0390243D"/>
    <w:rsid w:val="03D6277E"/>
    <w:rsid w:val="03E11249"/>
    <w:rsid w:val="04183373"/>
    <w:rsid w:val="0432630D"/>
    <w:rsid w:val="047978C6"/>
    <w:rsid w:val="04C80018"/>
    <w:rsid w:val="04D00BB2"/>
    <w:rsid w:val="04E33704"/>
    <w:rsid w:val="04F757CE"/>
    <w:rsid w:val="0508716B"/>
    <w:rsid w:val="05140341"/>
    <w:rsid w:val="053A38A9"/>
    <w:rsid w:val="05651F8F"/>
    <w:rsid w:val="058700DD"/>
    <w:rsid w:val="059053F2"/>
    <w:rsid w:val="05D2211B"/>
    <w:rsid w:val="05D308AA"/>
    <w:rsid w:val="05E44801"/>
    <w:rsid w:val="05E84436"/>
    <w:rsid w:val="060C4BFE"/>
    <w:rsid w:val="067B5D2C"/>
    <w:rsid w:val="06816BFB"/>
    <w:rsid w:val="06852D56"/>
    <w:rsid w:val="06893A48"/>
    <w:rsid w:val="06C65280"/>
    <w:rsid w:val="071E608A"/>
    <w:rsid w:val="077002AE"/>
    <w:rsid w:val="0796120D"/>
    <w:rsid w:val="07DF6065"/>
    <w:rsid w:val="08120751"/>
    <w:rsid w:val="08157CB7"/>
    <w:rsid w:val="0836313C"/>
    <w:rsid w:val="084315CD"/>
    <w:rsid w:val="08484941"/>
    <w:rsid w:val="08595A0B"/>
    <w:rsid w:val="085F3740"/>
    <w:rsid w:val="087D1936"/>
    <w:rsid w:val="088B7DFB"/>
    <w:rsid w:val="08B63BCD"/>
    <w:rsid w:val="08BE5583"/>
    <w:rsid w:val="08C64AAE"/>
    <w:rsid w:val="091B378C"/>
    <w:rsid w:val="09611785"/>
    <w:rsid w:val="0973313D"/>
    <w:rsid w:val="09800B00"/>
    <w:rsid w:val="09A05CAF"/>
    <w:rsid w:val="09A17322"/>
    <w:rsid w:val="09CB0C99"/>
    <w:rsid w:val="09F33B6A"/>
    <w:rsid w:val="0A0156D9"/>
    <w:rsid w:val="0A0703DD"/>
    <w:rsid w:val="0A0C0597"/>
    <w:rsid w:val="0A0C2E64"/>
    <w:rsid w:val="0A4D03FD"/>
    <w:rsid w:val="0AE93DAD"/>
    <w:rsid w:val="0AFC3656"/>
    <w:rsid w:val="0B383FA0"/>
    <w:rsid w:val="0B843BA1"/>
    <w:rsid w:val="0BC27BA8"/>
    <w:rsid w:val="0BCB1273"/>
    <w:rsid w:val="0BE415D2"/>
    <w:rsid w:val="0C1741FF"/>
    <w:rsid w:val="0C1A2D63"/>
    <w:rsid w:val="0C490351"/>
    <w:rsid w:val="0CC3194A"/>
    <w:rsid w:val="0CC35133"/>
    <w:rsid w:val="0CF072A7"/>
    <w:rsid w:val="0D1D7B85"/>
    <w:rsid w:val="0D4C4E65"/>
    <w:rsid w:val="0D742A24"/>
    <w:rsid w:val="0D76044C"/>
    <w:rsid w:val="0D8C599A"/>
    <w:rsid w:val="0DEA1E65"/>
    <w:rsid w:val="0E1C6439"/>
    <w:rsid w:val="0E3608C5"/>
    <w:rsid w:val="0E4C7B8E"/>
    <w:rsid w:val="0E732B45"/>
    <w:rsid w:val="0E7D637E"/>
    <w:rsid w:val="0E8B0623"/>
    <w:rsid w:val="0E8C2826"/>
    <w:rsid w:val="0ED049D0"/>
    <w:rsid w:val="0F072BBB"/>
    <w:rsid w:val="0F096FD1"/>
    <w:rsid w:val="0F256501"/>
    <w:rsid w:val="0F3F199C"/>
    <w:rsid w:val="0F564C2F"/>
    <w:rsid w:val="0F70230E"/>
    <w:rsid w:val="0F7363A3"/>
    <w:rsid w:val="0F7E411F"/>
    <w:rsid w:val="0FCC5CDB"/>
    <w:rsid w:val="0FD26F8E"/>
    <w:rsid w:val="0FD679E5"/>
    <w:rsid w:val="0FF16C11"/>
    <w:rsid w:val="101E6DED"/>
    <w:rsid w:val="103315F8"/>
    <w:rsid w:val="106B3308"/>
    <w:rsid w:val="10954F29"/>
    <w:rsid w:val="10AB6D1B"/>
    <w:rsid w:val="10C26EF2"/>
    <w:rsid w:val="10CA7B64"/>
    <w:rsid w:val="10E10489"/>
    <w:rsid w:val="115766FC"/>
    <w:rsid w:val="1177172D"/>
    <w:rsid w:val="117A270C"/>
    <w:rsid w:val="119D5E13"/>
    <w:rsid w:val="119F06C5"/>
    <w:rsid w:val="11A0536A"/>
    <w:rsid w:val="11AE64E3"/>
    <w:rsid w:val="11D82B3E"/>
    <w:rsid w:val="11E11319"/>
    <w:rsid w:val="11F355DA"/>
    <w:rsid w:val="11F655F5"/>
    <w:rsid w:val="12003A50"/>
    <w:rsid w:val="12037716"/>
    <w:rsid w:val="121E30D3"/>
    <w:rsid w:val="12700810"/>
    <w:rsid w:val="12B51CA7"/>
    <w:rsid w:val="12C86692"/>
    <w:rsid w:val="131B589C"/>
    <w:rsid w:val="134F60E4"/>
    <w:rsid w:val="136B039D"/>
    <w:rsid w:val="13866820"/>
    <w:rsid w:val="13A31E16"/>
    <w:rsid w:val="13EB4F87"/>
    <w:rsid w:val="13ED73D3"/>
    <w:rsid w:val="140E0958"/>
    <w:rsid w:val="14102421"/>
    <w:rsid w:val="14187AF1"/>
    <w:rsid w:val="142A6118"/>
    <w:rsid w:val="143879B8"/>
    <w:rsid w:val="1440553A"/>
    <w:rsid w:val="147A5C20"/>
    <w:rsid w:val="14AC4DCC"/>
    <w:rsid w:val="14AC5D58"/>
    <w:rsid w:val="14D86780"/>
    <w:rsid w:val="150F201D"/>
    <w:rsid w:val="15347D4E"/>
    <w:rsid w:val="154F47FE"/>
    <w:rsid w:val="15541939"/>
    <w:rsid w:val="15AA0F4E"/>
    <w:rsid w:val="15E90024"/>
    <w:rsid w:val="16026BD5"/>
    <w:rsid w:val="161739A1"/>
    <w:rsid w:val="167079DD"/>
    <w:rsid w:val="167C731F"/>
    <w:rsid w:val="16C20531"/>
    <w:rsid w:val="16D11ACC"/>
    <w:rsid w:val="17511F1D"/>
    <w:rsid w:val="176F43C2"/>
    <w:rsid w:val="17860CEA"/>
    <w:rsid w:val="17B03391"/>
    <w:rsid w:val="17BD288D"/>
    <w:rsid w:val="18690029"/>
    <w:rsid w:val="18705C11"/>
    <w:rsid w:val="18992D98"/>
    <w:rsid w:val="18C120CB"/>
    <w:rsid w:val="18ED77D6"/>
    <w:rsid w:val="1924001A"/>
    <w:rsid w:val="199A39D8"/>
    <w:rsid w:val="19AC1D92"/>
    <w:rsid w:val="19D558FC"/>
    <w:rsid w:val="19F0528A"/>
    <w:rsid w:val="19F52CB6"/>
    <w:rsid w:val="19F72B19"/>
    <w:rsid w:val="19FE0AE6"/>
    <w:rsid w:val="1A041A9A"/>
    <w:rsid w:val="1A2B0DCD"/>
    <w:rsid w:val="1A6350AF"/>
    <w:rsid w:val="1A7822CF"/>
    <w:rsid w:val="1A8068D4"/>
    <w:rsid w:val="1A9409F4"/>
    <w:rsid w:val="1AE74F38"/>
    <w:rsid w:val="1B190245"/>
    <w:rsid w:val="1B742649"/>
    <w:rsid w:val="1BF90511"/>
    <w:rsid w:val="1C4C3FB3"/>
    <w:rsid w:val="1CA038CE"/>
    <w:rsid w:val="1CC40565"/>
    <w:rsid w:val="1D231164"/>
    <w:rsid w:val="1D390385"/>
    <w:rsid w:val="1D405013"/>
    <w:rsid w:val="1D407F74"/>
    <w:rsid w:val="1D5974B8"/>
    <w:rsid w:val="1D930A64"/>
    <w:rsid w:val="1DB236F7"/>
    <w:rsid w:val="1DF663D8"/>
    <w:rsid w:val="1E072034"/>
    <w:rsid w:val="1E460DF8"/>
    <w:rsid w:val="1E4C3BED"/>
    <w:rsid w:val="1E641098"/>
    <w:rsid w:val="1E8A42DB"/>
    <w:rsid w:val="1E9533CF"/>
    <w:rsid w:val="1F30157C"/>
    <w:rsid w:val="1F3213DF"/>
    <w:rsid w:val="1F5C06E8"/>
    <w:rsid w:val="1F937EFE"/>
    <w:rsid w:val="1F9C3DCA"/>
    <w:rsid w:val="1FB437AF"/>
    <w:rsid w:val="1FB634D8"/>
    <w:rsid w:val="1FC02FEF"/>
    <w:rsid w:val="1FD76AD9"/>
    <w:rsid w:val="1FDC0CEC"/>
    <w:rsid w:val="1FE4617C"/>
    <w:rsid w:val="1FE53ADC"/>
    <w:rsid w:val="1FEF45AF"/>
    <w:rsid w:val="200532F1"/>
    <w:rsid w:val="200D5E8B"/>
    <w:rsid w:val="2053179F"/>
    <w:rsid w:val="206A6933"/>
    <w:rsid w:val="20E24590"/>
    <w:rsid w:val="20FE7887"/>
    <w:rsid w:val="214633DA"/>
    <w:rsid w:val="215867B2"/>
    <w:rsid w:val="21676556"/>
    <w:rsid w:val="216D5486"/>
    <w:rsid w:val="21AD7FE7"/>
    <w:rsid w:val="21B53E3A"/>
    <w:rsid w:val="221C1B28"/>
    <w:rsid w:val="224A6695"/>
    <w:rsid w:val="224E2D8F"/>
    <w:rsid w:val="227323E8"/>
    <w:rsid w:val="22863BDD"/>
    <w:rsid w:val="22B73C80"/>
    <w:rsid w:val="22FF31AA"/>
    <w:rsid w:val="230E243B"/>
    <w:rsid w:val="23353491"/>
    <w:rsid w:val="233A5C2B"/>
    <w:rsid w:val="235924C5"/>
    <w:rsid w:val="23643D70"/>
    <w:rsid w:val="23A435B6"/>
    <w:rsid w:val="23B1735D"/>
    <w:rsid w:val="245C6ABF"/>
    <w:rsid w:val="24AE111A"/>
    <w:rsid w:val="24BE1C49"/>
    <w:rsid w:val="2516077C"/>
    <w:rsid w:val="25257B05"/>
    <w:rsid w:val="252E07B8"/>
    <w:rsid w:val="256D6D6B"/>
    <w:rsid w:val="257E4DAC"/>
    <w:rsid w:val="258E50DA"/>
    <w:rsid w:val="259006C8"/>
    <w:rsid w:val="25914DD7"/>
    <w:rsid w:val="25942B84"/>
    <w:rsid w:val="25A6401F"/>
    <w:rsid w:val="25AD272E"/>
    <w:rsid w:val="25BD72CC"/>
    <w:rsid w:val="25EF41D2"/>
    <w:rsid w:val="26036EBA"/>
    <w:rsid w:val="264177A2"/>
    <w:rsid w:val="2648634B"/>
    <w:rsid w:val="265D7B5A"/>
    <w:rsid w:val="26626D18"/>
    <w:rsid w:val="268A28FE"/>
    <w:rsid w:val="26B5147D"/>
    <w:rsid w:val="26E92D38"/>
    <w:rsid w:val="26F45F2D"/>
    <w:rsid w:val="272C0707"/>
    <w:rsid w:val="272E10BE"/>
    <w:rsid w:val="275A0A80"/>
    <w:rsid w:val="27C2401F"/>
    <w:rsid w:val="27CA1AD9"/>
    <w:rsid w:val="27CE0417"/>
    <w:rsid w:val="280D57A6"/>
    <w:rsid w:val="28167F63"/>
    <w:rsid w:val="28221B0A"/>
    <w:rsid w:val="2852392A"/>
    <w:rsid w:val="28A6098D"/>
    <w:rsid w:val="28CF37D4"/>
    <w:rsid w:val="28FF22CD"/>
    <w:rsid w:val="290F1420"/>
    <w:rsid w:val="29313C1D"/>
    <w:rsid w:val="29360CCF"/>
    <w:rsid w:val="293E104D"/>
    <w:rsid w:val="29552926"/>
    <w:rsid w:val="295572F1"/>
    <w:rsid w:val="29B57438"/>
    <w:rsid w:val="29C7117A"/>
    <w:rsid w:val="29E4586C"/>
    <w:rsid w:val="29E64DB7"/>
    <w:rsid w:val="29FF5A40"/>
    <w:rsid w:val="2A3908E4"/>
    <w:rsid w:val="2A853B5F"/>
    <w:rsid w:val="2A8B4F0F"/>
    <w:rsid w:val="2A940477"/>
    <w:rsid w:val="2A9E7DCE"/>
    <w:rsid w:val="2AB22AC8"/>
    <w:rsid w:val="2ABC1BBC"/>
    <w:rsid w:val="2AC71602"/>
    <w:rsid w:val="2AEF4E53"/>
    <w:rsid w:val="2B097AAC"/>
    <w:rsid w:val="2B2E42CD"/>
    <w:rsid w:val="2B4256B8"/>
    <w:rsid w:val="2B8E2709"/>
    <w:rsid w:val="2BC20504"/>
    <w:rsid w:val="2BEC37BC"/>
    <w:rsid w:val="2C320249"/>
    <w:rsid w:val="2C4E1240"/>
    <w:rsid w:val="2C96370D"/>
    <w:rsid w:val="2C9658E4"/>
    <w:rsid w:val="2C9A3C52"/>
    <w:rsid w:val="2CB20683"/>
    <w:rsid w:val="2D074129"/>
    <w:rsid w:val="2D1670B9"/>
    <w:rsid w:val="2D540745"/>
    <w:rsid w:val="2D637783"/>
    <w:rsid w:val="2D682E8A"/>
    <w:rsid w:val="2DE33B23"/>
    <w:rsid w:val="2DE53226"/>
    <w:rsid w:val="2E3056CB"/>
    <w:rsid w:val="2E3507E9"/>
    <w:rsid w:val="2E953CC7"/>
    <w:rsid w:val="2ED05217"/>
    <w:rsid w:val="2EF01323"/>
    <w:rsid w:val="2EF52731"/>
    <w:rsid w:val="2F0B626C"/>
    <w:rsid w:val="2FC27800"/>
    <w:rsid w:val="2FC40986"/>
    <w:rsid w:val="2FF0078D"/>
    <w:rsid w:val="2FF168FF"/>
    <w:rsid w:val="300E13CE"/>
    <w:rsid w:val="30200AC0"/>
    <w:rsid w:val="30797A89"/>
    <w:rsid w:val="30D46F3D"/>
    <w:rsid w:val="30E07A45"/>
    <w:rsid w:val="310E46AB"/>
    <w:rsid w:val="31801844"/>
    <w:rsid w:val="31826C3E"/>
    <w:rsid w:val="31923241"/>
    <w:rsid w:val="31B06834"/>
    <w:rsid w:val="31C73505"/>
    <w:rsid w:val="31D238B5"/>
    <w:rsid w:val="31E85259"/>
    <w:rsid w:val="32140C58"/>
    <w:rsid w:val="32487B79"/>
    <w:rsid w:val="327842FE"/>
    <w:rsid w:val="32A07107"/>
    <w:rsid w:val="32A547D9"/>
    <w:rsid w:val="32F245E8"/>
    <w:rsid w:val="32F736C0"/>
    <w:rsid w:val="32F9544B"/>
    <w:rsid w:val="331E662A"/>
    <w:rsid w:val="33336909"/>
    <w:rsid w:val="33381BF2"/>
    <w:rsid w:val="334F3D3D"/>
    <w:rsid w:val="335C7E30"/>
    <w:rsid w:val="339032C0"/>
    <w:rsid w:val="3397287A"/>
    <w:rsid w:val="33C07357"/>
    <w:rsid w:val="33C24CE1"/>
    <w:rsid w:val="33CA5668"/>
    <w:rsid w:val="33FA125E"/>
    <w:rsid w:val="342209C8"/>
    <w:rsid w:val="346933A9"/>
    <w:rsid w:val="34AE6F45"/>
    <w:rsid w:val="34B033E3"/>
    <w:rsid w:val="34B85F02"/>
    <w:rsid w:val="34D04C02"/>
    <w:rsid w:val="35030378"/>
    <w:rsid w:val="35DA0877"/>
    <w:rsid w:val="35F1333B"/>
    <w:rsid w:val="360B60FB"/>
    <w:rsid w:val="364D2448"/>
    <w:rsid w:val="36665270"/>
    <w:rsid w:val="36784365"/>
    <w:rsid w:val="367E19BB"/>
    <w:rsid w:val="368668E4"/>
    <w:rsid w:val="36B85904"/>
    <w:rsid w:val="36D1247F"/>
    <w:rsid w:val="36E85D72"/>
    <w:rsid w:val="36EA70E2"/>
    <w:rsid w:val="3727534B"/>
    <w:rsid w:val="376932F1"/>
    <w:rsid w:val="379D4906"/>
    <w:rsid w:val="37EA4E86"/>
    <w:rsid w:val="37FE3D10"/>
    <w:rsid w:val="381A6DB4"/>
    <w:rsid w:val="382B2E8D"/>
    <w:rsid w:val="382C77A9"/>
    <w:rsid w:val="38323C2B"/>
    <w:rsid w:val="38CB6C20"/>
    <w:rsid w:val="39047E47"/>
    <w:rsid w:val="390B67F4"/>
    <w:rsid w:val="392D0315"/>
    <w:rsid w:val="393A3F57"/>
    <w:rsid w:val="395829C1"/>
    <w:rsid w:val="397B250A"/>
    <w:rsid w:val="399D11F8"/>
    <w:rsid w:val="39A916F0"/>
    <w:rsid w:val="39E46783"/>
    <w:rsid w:val="39E95802"/>
    <w:rsid w:val="3A556BCF"/>
    <w:rsid w:val="3A5C2F7A"/>
    <w:rsid w:val="3A5F04A6"/>
    <w:rsid w:val="3A917389"/>
    <w:rsid w:val="3A982CB1"/>
    <w:rsid w:val="3ABF3060"/>
    <w:rsid w:val="3ACA050B"/>
    <w:rsid w:val="3AE03316"/>
    <w:rsid w:val="3B2150BD"/>
    <w:rsid w:val="3B2B60EE"/>
    <w:rsid w:val="3B3A4AC9"/>
    <w:rsid w:val="3B7071AC"/>
    <w:rsid w:val="3B802CD8"/>
    <w:rsid w:val="3B8C43BB"/>
    <w:rsid w:val="3B9E60D5"/>
    <w:rsid w:val="3BCE2D70"/>
    <w:rsid w:val="3BD450FC"/>
    <w:rsid w:val="3C61721E"/>
    <w:rsid w:val="3C88709C"/>
    <w:rsid w:val="3CA75487"/>
    <w:rsid w:val="3CAB5276"/>
    <w:rsid w:val="3CB41273"/>
    <w:rsid w:val="3CD13B72"/>
    <w:rsid w:val="3CD73EDA"/>
    <w:rsid w:val="3CDA69A5"/>
    <w:rsid w:val="3D5937D8"/>
    <w:rsid w:val="3D922FF2"/>
    <w:rsid w:val="3D9E38DC"/>
    <w:rsid w:val="3DB31AF2"/>
    <w:rsid w:val="3DD457EE"/>
    <w:rsid w:val="3DD65480"/>
    <w:rsid w:val="3E094D59"/>
    <w:rsid w:val="3E124702"/>
    <w:rsid w:val="3E1B596E"/>
    <w:rsid w:val="3E4B5D08"/>
    <w:rsid w:val="3E5C12D3"/>
    <w:rsid w:val="3E907F2C"/>
    <w:rsid w:val="3EB05C6A"/>
    <w:rsid w:val="3ECC332F"/>
    <w:rsid w:val="3ECD4810"/>
    <w:rsid w:val="3EFA2FD4"/>
    <w:rsid w:val="3F1C655A"/>
    <w:rsid w:val="3F3F686A"/>
    <w:rsid w:val="3F432B37"/>
    <w:rsid w:val="3F742242"/>
    <w:rsid w:val="3FA37CE9"/>
    <w:rsid w:val="3FF82429"/>
    <w:rsid w:val="40220375"/>
    <w:rsid w:val="402634E0"/>
    <w:rsid w:val="402A37A3"/>
    <w:rsid w:val="40302BBE"/>
    <w:rsid w:val="404A03B7"/>
    <w:rsid w:val="404A0624"/>
    <w:rsid w:val="40750B2F"/>
    <w:rsid w:val="408B0BE7"/>
    <w:rsid w:val="41013311"/>
    <w:rsid w:val="411C3B33"/>
    <w:rsid w:val="411F7702"/>
    <w:rsid w:val="417447BD"/>
    <w:rsid w:val="41B33E9C"/>
    <w:rsid w:val="41F648DD"/>
    <w:rsid w:val="41FA0CF0"/>
    <w:rsid w:val="42082B7F"/>
    <w:rsid w:val="42095BF8"/>
    <w:rsid w:val="42177968"/>
    <w:rsid w:val="4242633B"/>
    <w:rsid w:val="42636FEF"/>
    <w:rsid w:val="426A3B14"/>
    <w:rsid w:val="42760994"/>
    <w:rsid w:val="42804E76"/>
    <w:rsid w:val="42922BB7"/>
    <w:rsid w:val="42B7625A"/>
    <w:rsid w:val="43177FCC"/>
    <w:rsid w:val="437305A8"/>
    <w:rsid w:val="43744ED3"/>
    <w:rsid w:val="439847E5"/>
    <w:rsid w:val="43A1036C"/>
    <w:rsid w:val="43E76CCD"/>
    <w:rsid w:val="44282EA9"/>
    <w:rsid w:val="443D7AE7"/>
    <w:rsid w:val="444706C2"/>
    <w:rsid w:val="44514C6E"/>
    <w:rsid w:val="44613184"/>
    <w:rsid w:val="44A65BE9"/>
    <w:rsid w:val="44C86ED6"/>
    <w:rsid w:val="452A30AC"/>
    <w:rsid w:val="453B2220"/>
    <w:rsid w:val="45562B8E"/>
    <w:rsid w:val="455873A5"/>
    <w:rsid w:val="456A0D21"/>
    <w:rsid w:val="45787AAC"/>
    <w:rsid w:val="459F7236"/>
    <w:rsid w:val="45E20005"/>
    <w:rsid w:val="45F8723A"/>
    <w:rsid w:val="45FF3C95"/>
    <w:rsid w:val="46491847"/>
    <w:rsid w:val="46732660"/>
    <w:rsid w:val="468D1279"/>
    <w:rsid w:val="46977C44"/>
    <w:rsid w:val="46B41D9D"/>
    <w:rsid w:val="46C5448E"/>
    <w:rsid w:val="46D04B0B"/>
    <w:rsid w:val="470060CA"/>
    <w:rsid w:val="47080082"/>
    <w:rsid w:val="471A1ED2"/>
    <w:rsid w:val="47731C6B"/>
    <w:rsid w:val="477D40EA"/>
    <w:rsid w:val="47AA594C"/>
    <w:rsid w:val="485565C4"/>
    <w:rsid w:val="4876762D"/>
    <w:rsid w:val="487F5CB0"/>
    <w:rsid w:val="48CA36E4"/>
    <w:rsid w:val="490165F0"/>
    <w:rsid w:val="49100D1B"/>
    <w:rsid w:val="495244DE"/>
    <w:rsid w:val="49660AC5"/>
    <w:rsid w:val="49942CD9"/>
    <w:rsid w:val="49990C82"/>
    <w:rsid w:val="49E05383"/>
    <w:rsid w:val="49E831A4"/>
    <w:rsid w:val="4A1D74B4"/>
    <w:rsid w:val="4A361719"/>
    <w:rsid w:val="4A81005A"/>
    <w:rsid w:val="4A864864"/>
    <w:rsid w:val="4AA113D7"/>
    <w:rsid w:val="4AC2497C"/>
    <w:rsid w:val="4AC514A4"/>
    <w:rsid w:val="4ADB67F7"/>
    <w:rsid w:val="4AF8387C"/>
    <w:rsid w:val="4B034890"/>
    <w:rsid w:val="4B5B7451"/>
    <w:rsid w:val="4B775877"/>
    <w:rsid w:val="4B814705"/>
    <w:rsid w:val="4BBF74EC"/>
    <w:rsid w:val="4BDC3282"/>
    <w:rsid w:val="4C1950C2"/>
    <w:rsid w:val="4C2733C5"/>
    <w:rsid w:val="4CA82F84"/>
    <w:rsid w:val="4CDB65A8"/>
    <w:rsid w:val="4CF2492F"/>
    <w:rsid w:val="4D02170C"/>
    <w:rsid w:val="4D0718FD"/>
    <w:rsid w:val="4D1E3B4B"/>
    <w:rsid w:val="4D2948B9"/>
    <w:rsid w:val="4D36573D"/>
    <w:rsid w:val="4D7370CB"/>
    <w:rsid w:val="4DA71933"/>
    <w:rsid w:val="4DD24268"/>
    <w:rsid w:val="4DE7225D"/>
    <w:rsid w:val="4DEA2956"/>
    <w:rsid w:val="4E1C7ABB"/>
    <w:rsid w:val="4E2A0388"/>
    <w:rsid w:val="4E417F7F"/>
    <w:rsid w:val="4E4A0608"/>
    <w:rsid w:val="4E672647"/>
    <w:rsid w:val="4E7F7545"/>
    <w:rsid w:val="4E9C603F"/>
    <w:rsid w:val="4ECA328E"/>
    <w:rsid w:val="4ED43451"/>
    <w:rsid w:val="4EFA0B30"/>
    <w:rsid w:val="4F1A6F37"/>
    <w:rsid w:val="4F3C1E74"/>
    <w:rsid w:val="4F475607"/>
    <w:rsid w:val="4F784E62"/>
    <w:rsid w:val="4FD33A60"/>
    <w:rsid w:val="4FDE4DB1"/>
    <w:rsid w:val="4FEF5534"/>
    <w:rsid w:val="503C62CC"/>
    <w:rsid w:val="503F18EF"/>
    <w:rsid w:val="506C7193"/>
    <w:rsid w:val="50B30160"/>
    <w:rsid w:val="50B549E4"/>
    <w:rsid w:val="50BD67D6"/>
    <w:rsid w:val="50C314B2"/>
    <w:rsid w:val="50C4170A"/>
    <w:rsid w:val="50D522FC"/>
    <w:rsid w:val="50DA5154"/>
    <w:rsid w:val="50EC5FBD"/>
    <w:rsid w:val="50F616FE"/>
    <w:rsid w:val="50FC0BEF"/>
    <w:rsid w:val="51050606"/>
    <w:rsid w:val="51204BD0"/>
    <w:rsid w:val="5155399D"/>
    <w:rsid w:val="51BD6A29"/>
    <w:rsid w:val="51BE7953"/>
    <w:rsid w:val="51EB101F"/>
    <w:rsid w:val="51F228DA"/>
    <w:rsid w:val="51F54209"/>
    <w:rsid w:val="524402D9"/>
    <w:rsid w:val="52BB309B"/>
    <w:rsid w:val="52C10112"/>
    <w:rsid w:val="52C119F7"/>
    <w:rsid w:val="52E70ECB"/>
    <w:rsid w:val="52EB64E0"/>
    <w:rsid w:val="52F648A2"/>
    <w:rsid w:val="53177586"/>
    <w:rsid w:val="532E01AC"/>
    <w:rsid w:val="53396521"/>
    <w:rsid w:val="536013CD"/>
    <w:rsid w:val="5361114C"/>
    <w:rsid w:val="53842CFD"/>
    <w:rsid w:val="53865620"/>
    <w:rsid w:val="53D31500"/>
    <w:rsid w:val="53DA3CF2"/>
    <w:rsid w:val="53EB7C95"/>
    <w:rsid w:val="53F26A0E"/>
    <w:rsid w:val="54215D86"/>
    <w:rsid w:val="54802CD1"/>
    <w:rsid w:val="54A44ED2"/>
    <w:rsid w:val="54D0481B"/>
    <w:rsid w:val="54D342A1"/>
    <w:rsid w:val="54E100CD"/>
    <w:rsid w:val="54F558A8"/>
    <w:rsid w:val="54FB79F3"/>
    <w:rsid w:val="553153F7"/>
    <w:rsid w:val="55433052"/>
    <w:rsid w:val="555025F5"/>
    <w:rsid w:val="556F5C5E"/>
    <w:rsid w:val="55754E84"/>
    <w:rsid w:val="55775836"/>
    <w:rsid w:val="559A24B8"/>
    <w:rsid w:val="55AF0B62"/>
    <w:rsid w:val="55C64D18"/>
    <w:rsid w:val="55CF4023"/>
    <w:rsid w:val="55F835F0"/>
    <w:rsid w:val="561B5DE3"/>
    <w:rsid w:val="562FB682"/>
    <w:rsid w:val="565A7B90"/>
    <w:rsid w:val="5661164C"/>
    <w:rsid w:val="56914C5D"/>
    <w:rsid w:val="56E92C25"/>
    <w:rsid w:val="57301EAF"/>
    <w:rsid w:val="57374399"/>
    <w:rsid w:val="5749655E"/>
    <w:rsid w:val="5750596F"/>
    <w:rsid w:val="57AF436B"/>
    <w:rsid w:val="57B10AB8"/>
    <w:rsid w:val="57B95FC9"/>
    <w:rsid w:val="57C46043"/>
    <w:rsid w:val="57E336FE"/>
    <w:rsid w:val="582359D4"/>
    <w:rsid w:val="58246432"/>
    <w:rsid w:val="582801A7"/>
    <w:rsid w:val="582F198C"/>
    <w:rsid w:val="5847499F"/>
    <w:rsid w:val="58A80723"/>
    <w:rsid w:val="58CB25C6"/>
    <w:rsid w:val="58DC4877"/>
    <w:rsid w:val="58DE0FBF"/>
    <w:rsid w:val="58DE64E8"/>
    <w:rsid w:val="5954337A"/>
    <w:rsid w:val="59583C6D"/>
    <w:rsid w:val="59A672F5"/>
    <w:rsid w:val="59AA1799"/>
    <w:rsid w:val="59D0624E"/>
    <w:rsid w:val="5A184E42"/>
    <w:rsid w:val="5A1B0E67"/>
    <w:rsid w:val="5A251E2F"/>
    <w:rsid w:val="5A314870"/>
    <w:rsid w:val="5A3F320F"/>
    <w:rsid w:val="5A6C57D1"/>
    <w:rsid w:val="5A7634DA"/>
    <w:rsid w:val="5A94731E"/>
    <w:rsid w:val="5AB56A87"/>
    <w:rsid w:val="5AD90280"/>
    <w:rsid w:val="5B3666FB"/>
    <w:rsid w:val="5B3B456B"/>
    <w:rsid w:val="5B767AC2"/>
    <w:rsid w:val="5BB3670A"/>
    <w:rsid w:val="5BFB177B"/>
    <w:rsid w:val="5C0319F3"/>
    <w:rsid w:val="5C095B04"/>
    <w:rsid w:val="5C0D35DA"/>
    <w:rsid w:val="5C5A721F"/>
    <w:rsid w:val="5CD3298A"/>
    <w:rsid w:val="5CDF6161"/>
    <w:rsid w:val="5CEC526E"/>
    <w:rsid w:val="5CFC6AD6"/>
    <w:rsid w:val="5D1500AD"/>
    <w:rsid w:val="5D1E40D0"/>
    <w:rsid w:val="5D26561D"/>
    <w:rsid w:val="5D270E2D"/>
    <w:rsid w:val="5D2D42CB"/>
    <w:rsid w:val="5D30255B"/>
    <w:rsid w:val="5D441747"/>
    <w:rsid w:val="5D716DC3"/>
    <w:rsid w:val="5D8053F0"/>
    <w:rsid w:val="5D955D63"/>
    <w:rsid w:val="5D9E5244"/>
    <w:rsid w:val="5DAB145F"/>
    <w:rsid w:val="5DC231A6"/>
    <w:rsid w:val="5DCB40AE"/>
    <w:rsid w:val="5DEB667F"/>
    <w:rsid w:val="5E017BE9"/>
    <w:rsid w:val="5E3622A7"/>
    <w:rsid w:val="5E391129"/>
    <w:rsid w:val="5E557613"/>
    <w:rsid w:val="5E5C53CB"/>
    <w:rsid w:val="5F2A32DF"/>
    <w:rsid w:val="5F2D3AAD"/>
    <w:rsid w:val="5F501DD8"/>
    <w:rsid w:val="5FBE6C2A"/>
    <w:rsid w:val="5FDF229E"/>
    <w:rsid w:val="601135FC"/>
    <w:rsid w:val="60301199"/>
    <w:rsid w:val="6043486D"/>
    <w:rsid w:val="605D34B0"/>
    <w:rsid w:val="60E87D85"/>
    <w:rsid w:val="60FE5D2F"/>
    <w:rsid w:val="61150DBC"/>
    <w:rsid w:val="617D5B38"/>
    <w:rsid w:val="6187569B"/>
    <w:rsid w:val="619F1644"/>
    <w:rsid w:val="61E00319"/>
    <w:rsid w:val="61EC06B0"/>
    <w:rsid w:val="620E393B"/>
    <w:rsid w:val="621C400D"/>
    <w:rsid w:val="629B6D3B"/>
    <w:rsid w:val="62B421C9"/>
    <w:rsid w:val="62CB6B02"/>
    <w:rsid w:val="62F835FD"/>
    <w:rsid w:val="62FB77C4"/>
    <w:rsid w:val="632D69B8"/>
    <w:rsid w:val="636648A7"/>
    <w:rsid w:val="638D6D14"/>
    <w:rsid w:val="63C5452C"/>
    <w:rsid w:val="63EF317A"/>
    <w:rsid w:val="643C1E1F"/>
    <w:rsid w:val="643D1B94"/>
    <w:rsid w:val="6487393A"/>
    <w:rsid w:val="64A10597"/>
    <w:rsid w:val="64C66EA2"/>
    <w:rsid w:val="64CB3EAA"/>
    <w:rsid w:val="64E17378"/>
    <w:rsid w:val="64FC7A19"/>
    <w:rsid w:val="6528043C"/>
    <w:rsid w:val="654C3400"/>
    <w:rsid w:val="65547371"/>
    <w:rsid w:val="65561CCD"/>
    <w:rsid w:val="65764A18"/>
    <w:rsid w:val="658C7B14"/>
    <w:rsid w:val="65F22829"/>
    <w:rsid w:val="65F761E6"/>
    <w:rsid w:val="65FE4F27"/>
    <w:rsid w:val="66391F1D"/>
    <w:rsid w:val="667F6F3F"/>
    <w:rsid w:val="670B0D94"/>
    <w:rsid w:val="673C08D1"/>
    <w:rsid w:val="67521B3F"/>
    <w:rsid w:val="676B6FD5"/>
    <w:rsid w:val="678E7C82"/>
    <w:rsid w:val="67CA102B"/>
    <w:rsid w:val="68193345"/>
    <w:rsid w:val="681D2083"/>
    <w:rsid w:val="684B64EF"/>
    <w:rsid w:val="68672291"/>
    <w:rsid w:val="686B191D"/>
    <w:rsid w:val="68722706"/>
    <w:rsid w:val="68835F62"/>
    <w:rsid w:val="68A56F16"/>
    <w:rsid w:val="68B57CCB"/>
    <w:rsid w:val="68BE4011"/>
    <w:rsid w:val="68C6153B"/>
    <w:rsid w:val="68E9498A"/>
    <w:rsid w:val="69046BDC"/>
    <w:rsid w:val="6911240E"/>
    <w:rsid w:val="69261E42"/>
    <w:rsid w:val="69285ED1"/>
    <w:rsid w:val="692A7DDE"/>
    <w:rsid w:val="6933530D"/>
    <w:rsid w:val="6946640A"/>
    <w:rsid w:val="696519C6"/>
    <w:rsid w:val="69B4135A"/>
    <w:rsid w:val="69D340D2"/>
    <w:rsid w:val="69FF2CDC"/>
    <w:rsid w:val="6A0154C0"/>
    <w:rsid w:val="6A0F1EB0"/>
    <w:rsid w:val="6A0F466E"/>
    <w:rsid w:val="6A200F39"/>
    <w:rsid w:val="6A25186A"/>
    <w:rsid w:val="6A3065E7"/>
    <w:rsid w:val="6A4601F3"/>
    <w:rsid w:val="6A4A56BF"/>
    <w:rsid w:val="6A6D4C97"/>
    <w:rsid w:val="6AB35455"/>
    <w:rsid w:val="6AF60FE2"/>
    <w:rsid w:val="6B283440"/>
    <w:rsid w:val="6B3721AA"/>
    <w:rsid w:val="6B50091B"/>
    <w:rsid w:val="6B69344E"/>
    <w:rsid w:val="6B925443"/>
    <w:rsid w:val="6BA86309"/>
    <w:rsid w:val="6BCB2953"/>
    <w:rsid w:val="6BCE10D1"/>
    <w:rsid w:val="6BDA4822"/>
    <w:rsid w:val="6C240201"/>
    <w:rsid w:val="6C367753"/>
    <w:rsid w:val="6C555AE0"/>
    <w:rsid w:val="6C8216AA"/>
    <w:rsid w:val="6C96740C"/>
    <w:rsid w:val="6CD404D2"/>
    <w:rsid w:val="6CEA50C9"/>
    <w:rsid w:val="6D073C69"/>
    <w:rsid w:val="6D1D6CAF"/>
    <w:rsid w:val="6D4424F3"/>
    <w:rsid w:val="6D601010"/>
    <w:rsid w:val="6D72794C"/>
    <w:rsid w:val="6D7E290C"/>
    <w:rsid w:val="6DBE0F5A"/>
    <w:rsid w:val="6DCC6BBE"/>
    <w:rsid w:val="6DE300B4"/>
    <w:rsid w:val="6DE632FC"/>
    <w:rsid w:val="6DE8794E"/>
    <w:rsid w:val="6E4B5EA3"/>
    <w:rsid w:val="6E66262C"/>
    <w:rsid w:val="6E870CAE"/>
    <w:rsid w:val="6EA10F0F"/>
    <w:rsid w:val="6EA30F18"/>
    <w:rsid w:val="6EB626E0"/>
    <w:rsid w:val="6ECC1E13"/>
    <w:rsid w:val="6ED43ADC"/>
    <w:rsid w:val="6EFD2751"/>
    <w:rsid w:val="6F2536DD"/>
    <w:rsid w:val="6F255525"/>
    <w:rsid w:val="6F552FEF"/>
    <w:rsid w:val="6F860C4F"/>
    <w:rsid w:val="6FAA5A2A"/>
    <w:rsid w:val="6FD3487C"/>
    <w:rsid w:val="6FE055B9"/>
    <w:rsid w:val="700B2C8B"/>
    <w:rsid w:val="709F2FC7"/>
    <w:rsid w:val="70B87924"/>
    <w:rsid w:val="70E64340"/>
    <w:rsid w:val="70EB38D3"/>
    <w:rsid w:val="70F90483"/>
    <w:rsid w:val="71091BAC"/>
    <w:rsid w:val="716418E4"/>
    <w:rsid w:val="71A809F8"/>
    <w:rsid w:val="71AB276A"/>
    <w:rsid w:val="72332367"/>
    <w:rsid w:val="724D1497"/>
    <w:rsid w:val="72641AB0"/>
    <w:rsid w:val="72824BB9"/>
    <w:rsid w:val="729C69F8"/>
    <w:rsid w:val="730A30AA"/>
    <w:rsid w:val="736F2F9E"/>
    <w:rsid w:val="73A97E0A"/>
    <w:rsid w:val="73C14FD5"/>
    <w:rsid w:val="73D11911"/>
    <w:rsid w:val="73D23FB5"/>
    <w:rsid w:val="74051C5D"/>
    <w:rsid w:val="74683D28"/>
    <w:rsid w:val="752E49FD"/>
    <w:rsid w:val="754A2B01"/>
    <w:rsid w:val="75604771"/>
    <w:rsid w:val="75683CCA"/>
    <w:rsid w:val="758C0EDA"/>
    <w:rsid w:val="75C5257F"/>
    <w:rsid w:val="75F16817"/>
    <w:rsid w:val="76112C63"/>
    <w:rsid w:val="76276DAF"/>
    <w:rsid w:val="76406DB7"/>
    <w:rsid w:val="765E199C"/>
    <w:rsid w:val="76A93856"/>
    <w:rsid w:val="76F0072B"/>
    <w:rsid w:val="76FF0F11"/>
    <w:rsid w:val="7724614E"/>
    <w:rsid w:val="773417D1"/>
    <w:rsid w:val="77515266"/>
    <w:rsid w:val="775A5984"/>
    <w:rsid w:val="775D00AA"/>
    <w:rsid w:val="777C6B7E"/>
    <w:rsid w:val="77E92E5B"/>
    <w:rsid w:val="77EC6C55"/>
    <w:rsid w:val="7810779C"/>
    <w:rsid w:val="78175067"/>
    <w:rsid w:val="782C180E"/>
    <w:rsid w:val="78636383"/>
    <w:rsid w:val="786A16F8"/>
    <w:rsid w:val="78811741"/>
    <w:rsid w:val="78865745"/>
    <w:rsid w:val="78AE5AFE"/>
    <w:rsid w:val="78C062DE"/>
    <w:rsid w:val="78DB4D5B"/>
    <w:rsid w:val="78E607B8"/>
    <w:rsid w:val="7921581C"/>
    <w:rsid w:val="792C4B46"/>
    <w:rsid w:val="793914EE"/>
    <w:rsid w:val="79567AC4"/>
    <w:rsid w:val="79666888"/>
    <w:rsid w:val="796B4E41"/>
    <w:rsid w:val="79815411"/>
    <w:rsid w:val="79943591"/>
    <w:rsid w:val="79FF5685"/>
    <w:rsid w:val="79FFCE25"/>
    <w:rsid w:val="7A074D94"/>
    <w:rsid w:val="7A227CEC"/>
    <w:rsid w:val="7A36163E"/>
    <w:rsid w:val="7A877FA4"/>
    <w:rsid w:val="7A917263"/>
    <w:rsid w:val="7AAD7310"/>
    <w:rsid w:val="7AB12FCE"/>
    <w:rsid w:val="7ACE6CD5"/>
    <w:rsid w:val="7ADF72B5"/>
    <w:rsid w:val="7AFA3043"/>
    <w:rsid w:val="7B3C32F0"/>
    <w:rsid w:val="7B8D084F"/>
    <w:rsid w:val="7B9D26B6"/>
    <w:rsid w:val="7BAB291B"/>
    <w:rsid w:val="7BB7033E"/>
    <w:rsid w:val="7BDE57F5"/>
    <w:rsid w:val="7BF35F85"/>
    <w:rsid w:val="7C211042"/>
    <w:rsid w:val="7C9277BF"/>
    <w:rsid w:val="7CA5524C"/>
    <w:rsid w:val="7CEC3453"/>
    <w:rsid w:val="7CF35BCF"/>
    <w:rsid w:val="7CF5543D"/>
    <w:rsid w:val="7CF8337A"/>
    <w:rsid w:val="7D111ABD"/>
    <w:rsid w:val="7D3E401D"/>
    <w:rsid w:val="7D51637A"/>
    <w:rsid w:val="7D893105"/>
    <w:rsid w:val="7D902195"/>
    <w:rsid w:val="7D956ED8"/>
    <w:rsid w:val="7DBA764D"/>
    <w:rsid w:val="7DC84E73"/>
    <w:rsid w:val="7DEA07D9"/>
    <w:rsid w:val="7DEC64DF"/>
    <w:rsid w:val="7DF308A3"/>
    <w:rsid w:val="7E736E60"/>
    <w:rsid w:val="7E9F3AC7"/>
    <w:rsid w:val="7EEA7E01"/>
    <w:rsid w:val="7F012C7F"/>
    <w:rsid w:val="7F3D0907"/>
    <w:rsid w:val="7F5F7ED2"/>
    <w:rsid w:val="7F776321"/>
    <w:rsid w:val="7F816765"/>
    <w:rsid w:val="7FB646A3"/>
    <w:rsid w:val="7FDF6A91"/>
    <w:rsid w:val="7FF37B23"/>
    <w:rsid w:val="7FFFE1D0"/>
    <w:rsid w:val="D3EED41E"/>
    <w:rsid w:val="DF8D6394"/>
    <w:rsid w:val="FBDFA49A"/>
    <w:rsid w:val="FFDDBC20"/>
    <w:rsid w:val="FFE77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keepNext/>
      <w:keepLines/>
      <w:snapToGrid w:val="0"/>
      <w:spacing w:line="620" w:lineRule="exact"/>
      <w:outlineLvl w:val="0"/>
    </w:pPr>
    <w:rPr>
      <w:rFonts w:eastAsia="黑体"/>
      <w:kern w:val="44"/>
      <w:sz w:val="32"/>
    </w:rPr>
  </w:style>
  <w:style w:type="paragraph" w:styleId="4">
    <w:name w:val="heading 2"/>
    <w:basedOn w:val="1"/>
    <w:next w:val="1"/>
    <w:link w:val="26"/>
    <w:unhideWhenUsed/>
    <w:qFormat/>
    <w:uiPriority w:val="0"/>
    <w:pPr>
      <w:snapToGrid w:val="0"/>
      <w:spacing w:line="620" w:lineRule="exact"/>
      <w:ind w:firstLine="200" w:firstLineChars="200"/>
      <w:outlineLvl w:val="1"/>
    </w:pPr>
    <w:rPr>
      <w:rFonts w:hint="eastAsia" w:eastAsia="楷体_GB2312" w:cs="Times New Roman"/>
      <w:b/>
      <w:sz w:val="32"/>
      <w:szCs w:val="36"/>
      <w:lang w:val="en-US" w:bidi="ar-SA"/>
    </w:rPr>
  </w:style>
  <w:style w:type="paragraph" w:styleId="5">
    <w:name w:val="heading 3"/>
    <w:basedOn w:val="1"/>
    <w:next w:val="1"/>
    <w:link w:val="27"/>
    <w:unhideWhenUsed/>
    <w:qFormat/>
    <w:uiPriority w:val="0"/>
    <w:pPr>
      <w:keepNext/>
      <w:keepLines/>
      <w:snapToGrid w:val="0"/>
      <w:spacing w:line="620" w:lineRule="exact"/>
      <w:ind w:firstLine="200" w:firstLineChars="200"/>
      <w:outlineLvl w:val="2"/>
    </w:pPr>
    <w:rPr>
      <w:rFonts w:eastAsia="仿宋_GB2312"/>
      <w:b/>
      <w:sz w:val="32"/>
    </w:rPr>
  </w:style>
  <w:style w:type="paragraph" w:styleId="6">
    <w:name w:val="heading 4"/>
    <w:basedOn w:val="1"/>
    <w:next w:val="1"/>
    <w:semiHidden/>
    <w:unhideWhenUsed/>
    <w:qFormat/>
    <w:uiPriority w:val="0"/>
    <w:pPr>
      <w:keepNext/>
      <w:keepLines/>
      <w:spacing w:before="240" w:after="240" w:line="360" w:lineRule="auto"/>
      <w:outlineLvl w:val="3"/>
    </w:pPr>
    <w:rPr>
      <w:rFonts w:ascii="Calibri Light" w:hAnsi="Calibri Light" w:cs="Times New Roman"/>
      <w:b/>
      <w:bCs/>
      <w:sz w:val="32"/>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1"/>
    <w:pPr>
      <w:snapToGrid w:val="0"/>
      <w:spacing w:line="620" w:lineRule="exact"/>
      <w:ind w:left="420" w:firstLine="720" w:firstLineChars="200"/>
      <w:jc w:val="both"/>
    </w:pPr>
    <w:rPr>
      <w:rFonts w:eastAsia="仿宋"/>
      <w:sz w:val="32"/>
      <w:szCs w:val="32"/>
    </w:rPr>
  </w:style>
  <w:style w:type="paragraph" w:styleId="9">
    <w:name w:val="Body Text Indent"/>
    <w:basedOn w:val="1"/>
    <w:qFormat/>
    <w:uiPriority w:val="0"/>
    <w:pPr>
      <w:spacing w:line="582" w:lineRule="exact"/>
      <w:ind w:firstLine="570"/>
    </w:pPr>
    <w:rPr>
      <w:sz w:val="28"/>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napToGrid w:val="0"/>
      <w:spacing w:line="360" w:lineRule="auto"/>
      <w:ind w:firstLine="880" w:firstLineChars="200"/>
    </w:pPr>
    <w:rPr>
      <w:rFonts w:ascii="宋体" w:hAnsi="宋体" w:eastAsia="仿宋_GB2312"/>
      <w:sz w:val="32"/>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39"/>
    <w:pPr>
      <w:tabs>
        <w:tab w:val="right" w:leader="dot" w:pos="8296"/>
      </w:tabs>
      <w:jc w:val="center"/>
    </w:pPr>
    <w:rPr>
      <w:rFonts w:ascii="方正小标宋简体" w:eastAsia="方正小标宋简体"/>
      <w:sz w:val="44"/>
      <w:szCs w:val="44"/>
      <w:lang w:val="en-US"/>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spacing w:before="278"/>
      <w:ind w:left="840"/>
    </w:pPr>
  </w:style>
  <w:style w:type="paragraph" w:styleId="18">
    <w:name w:val="Normal (Web)"/>
    <w:basedOn w:val="1"/>
    <w:qFormat/>
    <w:uiPriority w:val="0"/>
    <w:rPr>
      <w:rFonts w:cs="Times New Roman"/>
      <w:sz w:val="24"/>
      <w:lang w:val="en-US" w:bidi="ar-SA"/>
    </w:rPr>
  </w:style>
  <w:style w:type="paragraph" w:styleId="19">
    <w:name w:val="Body Text First Indent"/>
    <w:basedOn w:val="8"/>
    <w:unhideWhenUsed/>
    <w:qFormat/>
    <w:uiPriority w:val="99"/>
    <w:pPr>
      <w:adjustRightInd w:val="0"/>
      <w:snapToGrid w:val="0"/>
      <w:spacing w:line="360" w:lineRule="auto"/>
      <w:ind w:firstLine="200" w:firstLineChars="200"/>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0"/>
    <w:rPr>
      <w:color w:val="800080"/>
      <w:u w:val="single"/>
    </w:rPr>
  </w:style>
  <w:style w:type="character" w:styleId="24">
    <w:name w:val="Hyperlink"/>
    <w:basedOn w:val="22"/>
    <w:qFormat/>
    <w:uiPriority w:val="99"/>
    <w:rPr>
      <w:color w:val="0000FF"/>
      <w:u w:val="single"/>
    </w:rPr>
  </w:style>
  <w:style w:type="character" w:styleId="25">
    <w:name w:val="footnote reference"/>
    <w:basedOn w:val="22"/>
    <w:qFormat/>
    <w:uiPriority w:val="0"/>
    <w:rPr>
      <w:vertAlign w:val="superscript"/>
    </w:rPr>
  </w:style>
  <w:style w:type="character" w:customStyle="1" w:styleId="26">
    <w:name w:val="标题 2 Char"/>
    <w:link w:val="4"/>
    <w:qFormat/>
    <w:uiPriority w:val="0"/>
    <w:rPr>
      <w:rFonts w:ascii="宋体" w:hAnsi="宋体" w:eastAsia="楷体_GB2312"/>
      <w:b/>
      <w:sz w:val="32"/>
      <w:szCs w:val="36"/>
    </w:rPr>
  </w:style>
  <w:style w:type="character" w:customStyle="1" w:styleId="27">
    <w:name w:val="标题 3 Char"/>
    <w:link w:val="5"/>
    <w:qFormat/>
    <w:uiPriority w:val="0"/>
    <w:rPr>
      <w:rFonts w:ascii="宋体" w:hAnsi="宋体" w:eastAsia="仿宋_GB2312" w:cs="宋体"/>
      <w:b/>
      <w:sz w:val="32"/>
      <w:szCs w:val="22"/>
      <w:lang w:val="zh-CN" w:bidi="zh-CN"/>
    </w:rPr>
  </w:style>
  <w:style w:type="paragraph" w:styleId="28">
    <w:name w:val="List Paragraph"/>
    <w:basedOn w:val="1"/>
    <w:unhideWhenUsed/>
    <w:qFormat/>
    <w:uiPriority w:val="99"/>
    <w:pPr>
      <w:ind w:firstLine="420" w:firstLineChars="200"/>
    </w:pPr>
  </w:style>
  <w:style w:type="character" w:customStyle="1" w:styleId="29">
    <w:name w:val="批注框文本 Char"/>
    <w:basedOn w:val="22"/>
    <w:link w:val="12"/>
    <w:qFormat/>
    <w:uiPriority w:val="0"/>
    <w:rPr>
      <w:rFonts w:ascii="宋体" w:hAnsi="宋体" w:eastAsia="宋体" w:cs="宋体"/>
      <w:sz w:val="18"/>
      <w:szCs w:val="18"/>
      <w:lang w:val="zh-CN" w:bidi="zh-CN"/>
    </w:rPr>
  </w:style>
  <w:style w:type="character" w:customStyle="1" w:styleId="30">
    <w:name w:val="font31"/>
    <w:basedOn w:val="22"/>
    <w:qFormat/>
    <w:uiPriority w:val="0"/>
    <w:rPr>
      <w:rFonts w:hint="eastAsia" w:ascii="宋体" w:hAnsi="宋体" w:eastAsia="宋体" w:cs="宋体"/>
      <w:b/>
      <w:color w:val="000000"/>
      <w:sz w:val="20"/>
      <w:szCs w:val="20"/>
      <w:u w:val="none"/>
    </w:rPr>
  </w:style>
  <w:style w:type="character" w:customStyle="1" w:styleId="31">
    <w:name w:val="font41"/>
    <w:basedOn w:val="22"/>
    <w:qFormat/>
    <w:uiPriority w:val="0"/>
    <w:rPr>
      <w:rFonts w:hint="default" w:ascii="Times New Roman" w:hAnsi="Times New Roman" w:cs="Times New Roman"/>
      <w:b/>
      <w:color w:val="000000"/>
      <w:sz w:val="20"/>
      <w:szCs w:val="20"/>
      <w:u w:val="none"/>
    </w:rPr>
  </w:style>
  <w:style w:type="character" w:customStyle="1" w:styleId="32">
    <w:name w:val="emai2"/>
    <w:basedOn w:val="22"/>
    <w:qFormat/>
    <w:uiPriority w:val="0"/>
  </w:style>
  <w:style w:type="character" w:customStyle="1" w:styleId="33">
    <w:name w:val="end"/>
    <w:basedOn w:val="22"/>
    <w:qFormat/>
    <w:uiPriority w:val="0"/>
    <w:rPr>
      <w:shd w:val="clear" w:color="auto" w:fill="AAAAAA"/>
    </w:rPr>
  </w:style>
  <w:style w:type="character" w:customStyle="1" w:styleId="34">
    <w:name w:val="hover8"/>
    <w:basedOn w:val="22"/>
    <w:qFormat/>
    <w:uiPriority w:val="0"/>
    <w:rPr>
      <w:color w:val="015293"/>
      <w:u w:val="none"/>
    </w:rPr>
  </w:style>
  <w:style w:type="character" w:customStyle="1" w:styleId="35">
    <w:name w:val="hover9"/>
    <w:basedOn w:val="22"/>
    <w:qFormat/>
    <w:uiPriority w:val="0"/>
    <w:rPr>
      <w:color w:val="015293"/>
      <w:u w:val="none"/>
    </w:rPr>
  </w:style>
  <w:style w:type="character" w:customStyle="1" w:styleId="36">
    <w:name w:val="hover10"/>
    <w:basedOn w:val="22"/>
    <w:qFormat/>
    <w:uiPriority w:val="0"/>
    <w:rPr>
      <w:color w:val="015293"/>
      <w:u w:val="none"/>
    </w:rPr>
  </w:style>
  <w:style w:type="character" w:customStyle="1" w:styleId="37">
    <w:name w:val="hover11"/>
    <w:basedOn w:val="22"/>
    <w:qFormat/>
    <w:uiPriority w:val="0"/>
    <w:rPr>
      <w:color w:val="015293"/>
      <w:u w:val="none"/>
    </w:rPr>
  </w:style>
  <w:style w:type="character" w:customStyle="1" w:styleId="38">
    <w:name w:val="hover12"/>
    <w:basedOn w:val="22"/>
    <w:qFormat/>
    <w:uiPriority w:val="0"/>
    <w:rPr>
      <w:color w:val="015293"/>
      <w:u w:val="none"/>
    </w:rPr>
  </w:style>
  <w:style w:type="character" w:customStyle="1" w:styleId="39">
    <w:name w:val="on27"/>
    <w:basedOn w:val="22"/>
    <w:qFormat/>
    <w:uiPriority w:val="0"/>
    <w:rPr>
      <w:b/>
      <w:color w:val="015293"/>
      <w:sz w:val="13"/>
      <w:szCs w:val="13"/>
      <w:u w:val="none"/>
    </w:rPr>
  </w:style>
  <w:style w:type="character" w:customStyle="1" w:styleId="40">
    <w:name w:val="on28"/>
    <w:basedOn w:val="22"/>
    <w:qFormat/>
    <w:uiPriority w:val="0"/>
    <w:rPr>
      <w:b/>
      <w:color w:val="015293"/>
      <w:sz w:val="13"/>
      <w:szCs w:val="13"/>
      <w:u w:val="none"/>
    </w:rPr>
  </w:style>
  <w:style w:type="character" w:customStyle="1" w:styleId="41">
    <w:name w:val="on29"/>
    <w:basedOn w:val="22"/>
    <w:qFormat/>
    <w:uiPriority w:val="0"/>
    <w:rPr>
      <w:b/>
      <w:color w:val="015293"/>
      <w:sz w:val="13"/>
      <w:szCs w:val="13"/>
      <w:u w:val="none"/>
    </w:rPr>
  </w:style>
  <w:style w:type="character" w:customStyle="1" w:styleId="42">
    <w:name w:val="on30"/>
    <w:basedOn w:val="22"/>
    <w:qFormat/>
    <w:uiPriority w:val="0"/>
    <w:rPr>
      <w:b/>
      <w:color w:val="015293"/>
      <w:sz w:val="13"/>
      <w:szCs w:val="13"/>
      <w:u w:val="none"/>
    </w:rPr>
  </w:style>
  <w:style w:type="character" w:customStyle="1" w:styleId="43">
    <w:name w:val="on31"/>
    <w:basedOn w:val="22"/>
    <w:qFormat/>
    <w:uiPriority w:val="0"/>
    <w:rPr>
      <w:b/>
      <w:color w:val="015293"/>
      <w:sz w:val="13"/>
      <w:szCs w:val="13"/>
      <w:u w:val="none"/>
    </w:rPr>
  </w:style>
  <w:style w:type="character" w:customStyle="1" w:styleId="44">
    <w:name w:val="pink2"/>
    <w:basedOn w:val="22"/>
    <w:qFormat/>
    <w:uiPriority w:val="0"/>
    <w:rPr>
      <w:shd w:val="clear" w:color="auto" w:fill="CD0000"/>
    </w:rPr>
  </w:style>
  <w:style w:type="character" w:customStyle="1" w:styleId="45">
    <w:name w:val="hover13"/>
    <w:basedOn w:val="22"/>
    <w:qFormat/>
    <w:uiPriority w:val="0"/>
    <w:rPr>
      <w:color w:val="015293"/>
      <w:u w:val="none"/>
    </w:rPr>
  </w:style>
  <w:style w:type="character" w:customStyle="1" w:styleId="46">
    <w:name w:val="on32"/>
    <w:basedOn w:val="22"/>
    <w:qFormat/>
    <w:uiPriority w:val="0"/>
    <w:rPr>
      <w:b/>
      <w:color w:val="015293"/>
      <w:sz w:val="13"/>
      <w:szCs w:val="13"/>
      <w:u w:val="none"/>
    </w:rPr>
  </w:style>
  <w:style w:type="character" w:customStyle="1" w:styleId="47">
    <w:name w:val="font21"/>
    <w:basedOn w:val="22"/>
    <w:qFormat/>
    <w:uiPriority w:val="0"/>
    <w:rPr>
      <w:rFonts w:hint="eastAsia" w:ascii="宋体" w:hAnsi="宋体" w:eastAsia="宋体" w:cs="宋体"/>
      <w:color w:val="000000"/>
      <w:sz w:val="22"/>
      <w:szCs w:val="22"/>
      <w:u w:val="none"/>
    </w:rPr>
  </w:style>
  <w:style w:type="character" w:customStyle="1" w:styleId="48">
    <w:name w:val="font01"/>
    <w:basedOn w:val="22"/>
    <w:qFormat/>
    <w:uiPriority w:val="0"/>
    <w:rPr>
      <w:rFonts w:hint="eastAsia" w:ascii="宋体" w:hAnsi="宋体" w:eastAsia="宋体" w:cs="宋体"/>
      <w:b/>
      <w:color w:val="000000"/>
      <w:sz w:val="22"/>
      <w:szCs w:val="22"/>
      <w:u w:val="none"/>
    </w:rPr>
  </w:style>
  <w:style w:type="character" w:customStyle="1" w:styleId="49">
    <w:name w:val="font11"/>
    <w:basedOn w:val="22"/>
    <w:qFormat/>
    <w:uiPriority w:val="0"/>
    <w:rPr>
      <w:rFonts w:hint="eastAsia" w:ascii="宋体" w:hAnsi="宋体" w:eastAsia="宋体" w:cs="宋体"/>
      <w:color w:val="000000"/>
      <w:sz w:val="22"/>
      <w:szCs w:val="22"/>
      <w:u w:val="none"/>
    </w:rPr>
  </w:style>
  <w:style w:type="paragraph" w:customStyle="1" w:styleId="50">
    <w:name w:val="Body text|1"/>
    <w:basedOn w:val="1"/>
    <w:qFormat/>
    <w:uiPriority w:val="0"/>
    <w:pPr>
      <w:spacing w:line="389" w:lineRule="auto"/>
      <w:ind w:firstLine="400"/>
    </w:pPr>
    <w:rPr>
      <w:sz w:val="30"/>
      <w:szCs w:val="30"/>
      <w:lang w:val="zh-TW" w:eastAsia="zh-TW" w:bidi="zh-TW"/>
    </w:rPr>
  </w:style>
  <w:style w:type="paragraph" w:customStyle="1" w:styleId="51">
    <w:name w:val="p0"/>
    <w:basedOn w:val="1"/>
    <w:qFormat/>
    <w:uiPriority w:val="0"/>
    <w:pPr>
      <w:widowControl/>
    </w:pPr>
    <w:rPr>
      <w:rFonts w:hint="default"/>
      <w:kern w:val="0"/>
      <w:szCs w:val="21"/>
    </w:rPr>
  </w:style>
  <w:style w:type="character" w:customStyle="1" w:styleId="52">
    <w:name w:val="font61"/>
    <w:basedOn w:val="22"/>
    <w:qFormat/>
    <w:uiPriority w:val="0"/>
    <w:rPr>
      <w:rFonts w:hint="eastAsia" w:ascii="宋体" w:hAnsi="宋体" w:eastAsia="宋体" w:cs="宋体"/>
      <w:color w:val="000000"/>
      <w:sz w:val="24"/>
      <w:szCs w:val="24"/>
      <w:u w:val="none"/>
    </w:rPr>
  </w:style>
  <w:style w:type="character" w:customStyle="1" w:styleId="53">
    <w:name w:val="font122"/>
    <w:basedOn w:val="22"/>
    <w:qFormat/>
    <w:uiPriority w:val="0"/>
    <w:rPr>
      <w:rFonts w:hint="eastAsia" w:ascii="宋体" w:hAnsi="宋体" w:eastAsia="宋体" w:cs="宋体"/>
      <w:color w:val="000000"/>
      <w:sz w:val="24"/>
      <w:szCs w:val="24"/>
      <w:u w:val="none"/>
    </w:rPr>
  </w:style>
  <w:style w:type="character" w:customStyle="1" w:styleId="54">
    <w:name w:val="font51"/>
    <w:basedOn w:val="22"/>
    <w:qFormat/>
    <w:uiPriority w:val="0"/>
    <w:rPr>
      <w:rFonts w:hint="eastAsia" w:ascii="仿宋_GB2312" w:eastAsia="仿宋_GB2312" w:cs="仿宋_GB2312"/>
      <w:color w:val="000000"/>
      <w:sz w:val="24"/>
      <w:szCs w:val="24"/>
      <w:u w:val="none"/>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character" w:customStyle="1" w:styleId="57">
    <w:name w:val="font7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5354</Words>
  <Characters>5872</Characters>
  <Lines>157</Lines>
  <Paragraphs>44</Paragraphs>
  <TotalTime>308</TotalTime>
  <ScaleCrop>false</ScaleCrop>
  <LinksUpToDate>false</LinksUpToDate>
  <CharactersWithSpaces>5997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2021-05-01T09:47:00Z</dcterms:created>
  <dc:creator>Administrator</dc:creator>
  <cp:lastModifiedBy>liu</cp:lastModifiedBy>
  <cp:lastPrinted>2025-01-12T07:54:00Z</cp:lastPrinted>
  <dcterms:modified xsi:type="dcterms:W3CDTF">2025-08-08T09:29:51Z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BE382706D708497A985460EA89565917_13</vt:lpwstr>
  </property>
  <property fmtid="{D5CDD505-2E9C-101B-9397-08002B2CF9AE}" pid="4" name="KSOTemplateDocerSaveRecord">
    <vt:lpwstr>eyJoZGlkIjoiODliMTkzZDk0MzQyZjg1NDEwMTM3NGVhNGJjOWVmNDYiLCJ1c2VySWQiOiI1OTI0MjYzNTYifQ==</vt:lpwstr>
  </property>
</Properties>
</file>