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jc w:val="center"/>
        <w:rPr>
          <w:rFonts w:ascii="Times New Roman" w:hAnsi="Times New Roman" w:cs="Times New Roman"/>
          <w:sz w:val="56"/>
          <w:szCs w:val="56"/>
        </w:rPr>
      </w:pPr>
    </w:p>
    <w:p>
      <w:pPr>
        <w:pStyle w:val="17"/>
        <w:jc w:val="center"/>
        <w:rPr>
          <w:rFonts w:ascii="Times New Roman" w:hAnsi="Times New Roman" w:cs="Times New Roman"/>
          <w:sz w:val="84"/>
          <w:szCs w:val="84"/>
        </w:rPr>
      </w:pPr>
    </w:p>
    <w:p>
      <w:pPr>
        <w:pStyle w:val="17"/>
        <w:jc w:val="center"/>
        <w:rPr>
          <w:rFonts w:ascii="Times New Roman" w:hAnsi="Times New Roman" w:cs="Times New Roman"/>
          <w:sz w:val="84"/>
          <w:szCs w:val="84"/>
        </w:rPr>
      </w:pPr>
    </w:p>
    <w:p>
      <w:pPr>
        <w:pStyle w:val="17"/>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default" w:ascii="Times New Roman" w:hAnsi="Times New Roman" w:eastAsia="方正小标宋简体" w:cs="Times New Roman"/>
          <w:sz w:val="72"/>
          <w:szCs w:val="72"/>
          <w:lang w:val="en-US"/>
        </w:rPr>
        <w:t>5</w:t>
      </w:r>
      <w:r>
        <w:rPr>
          <w:rFonts w:ascii="Times New Roman" w:hAnsi="Times New Roman" w:eastAsia="方正小标宋简体" w:cs="Times New Roman"/>
          <w:sz w:val="72"/>
          <w:szCs w:val="72"/>
        </w:rPr>
        <w:t>年度</w:t>
      </w:r>
    </w:p>
    <w:p>
      <w:pPr>
        <w:pStyle w:val="17"/>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w:t>
      </w:r>
      <w:r>
        <w:rPr>
          <w:rFonts w:hint="eastAsia" w:ascii="Times New Roman" w:hAnsi="Times New Roman" w:eastAsia="方正小标宋简体" w:cs="Times New Roman"/>
          <w:color w:val="auto"/>
          <w:sz w:val="72"/>
          <w:szCs w:val="72"/>
          <w:lang w:val="en-US" w:eastAsia="zh-CN"/>
        </w:rPr>
        <w:t>永州市零陵区市场监督管理局</w:t>
      </w:r>
      <w:r>
        <w:rPr>
          <w:rFonts w:ascii="Times New Roman" w:hAnsi="Times New Roman" w:eastAsia="方正小标宋简体" w:cs="Times New Roman"/>
          <w:sz w:val="72"/>
          <w:szCs w:val="72"/>
        </w:rPr>
        <w:t>）部门决算</w:t>
      </w:r>
    </w:p>
    <w:p>
      <w:pPr>
        <w:pStyle w:val="17"/>
        <w:jc w:val="both"/>
        <w:rPr>
          <w:rFonts w:ascii="Times New Roman" w:hAnsi="Times New Roman" w:cs="Times New Roman"/>
          <w:sz w:val="56"/>
          <w:szCs w:val="56"/>
        </w:rPr>
      </w:pPr>
    </w:p>
    <w:p>
      <w:pPr>
        <w:pStyle w:val="17"/>
        <w:rPr>
          <w:rFonts w:ascii="Times New Roman" w:hAnsi="Times New Roman" w:cs="Times New Roman"/>
          <w:sz w:val="56"/>
          <w:szCs w:val="56"/>
        </w:rPr>
      </w:pPr>
    </w:p>
    <w:p>
      <w:pPr>
        <w:pStyle w:val="17"/>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7"/>
        <w:spacing w:line="600" w:lineRule="exact"/>
        <w:jc w:val="both"/>
        <w:rPr>
          <w:rFonts w:ascii="Times New Roman" w:hAnsi="Times New Roman" w:cs="Times New Roman"/>
          <w:b/>
          <w:sz w:val="36"/>
          <w:szCs w:val="28"/>
        </w:rPr>
      </w:pPr>
    </w:p>
    <w:p>
      <w:pPr>
        <w:pStyle w:val="17"/>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7"/>
        <w:spacing w:line="600" w:lineRule="exact"/>
        <w:jc w:val="center"/>
        <w:rPr>
          <w:rFonts w:ascii="Times New Roman" w:hAnsi="Times New Roman" w:cs="Times New Roman"/>
          <w:b/>
          <w:sz w:val="36"/>
          <w:szCs w:val="28"/>
        </w:rPr>
      </w:pPr>
    </w:p>
    <w:p>
      <w:pPr>
        <w:pStyle w:val="17"/>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 （</w:t>
      </w:r>
      <w:r>
        <w:rPr>
          <w:rFonts w:hint="eastAsia" w:ascii="Times New Roman" w:hAnsi="Times New Roman" w:cs="Times New Roman"/>
          <w:bCs/>
          <w:color w:val="auto"/>
          <w:sz w:val="32"/>
          <w:szCs w:val="32"/>
          <w:lang w:val="en-US" w:eastAsia="zh-CN"/>
        </w:rPr>
        <w:t>永州市零陵区市场监督管理局</w:t>
      </w:r>
      <w:r>
        <w:rPr>
          <w:rFonts w:ascii="Times New Roman" w:hAnsi="Times New Roman" w:cs="Times New Roman"/>
          <w:bCs/>
          <w:sz w:val="32"/>
          <w:szCs w:val="32"/>
        </w:rPr>
        <w:t>）概况</w:t>
      </w:r>
    </w:p>
    <w:p>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7"/>
        <w:spacing w:before="156" w:beforeLines="50" w:after="156" w:afterLines="50" w:line="600" w:lineRule="exact"/>
        <w:rPr>
          <w:rFonts w:hint="eastAsia" w:ascii="Times New Roman" w:hAnsi="Times New Roman" w:eastAsia="黑体" w:cs="Times New Roman"/>
          <w:b w:val="0"/>
          <w:bCs/>
          <w:color w:val="FF0000"/>
          <w:sz w:val="24"/>
          <w:szCs w:val="24"/>
          <w:lang w:eastAsia="zh-CN"/>
        </w:rPr>
      </w:pPr>
      <w:r>
        <w:rPr>
          <w:rFonts w:ascii="Times New Roman" w:hAnsi="Times New Roman" w:cs="Times New Roman"/>
          <w:bCs/>
          <w:sz w:val="32"/>
          <w:szCs w:val="32"/>
        </w:rPr>
        <w:t>第二部分 部门决算表</w:t>
      </w:r>
      <w:r>
        <w:rPr>
          <w:rFonts w:hint="eastAsia" w:ascii="Times New Roman" w:hAnsi="Times New Roman" w:cs="Times New Roman"/>
          <w:b w:val="0"/>
          <w:bCs/>
          <w:color w:val="FF0000"/>
          <w:sz w:val="24"/>
          <w:szCs w:val="24"/>
          <w:lang w:eastAsia="zh-CN"/>
        </w:rPr>
        <w:t>（说明：本套报表金额单位转换时可能存在尾数误差。）</w:t>
      </w:r>
    </w:p>
    <w:p>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年度预算绩效管理情况的说明</w:t>
      </w:r>
    </w:p>
    <w:p>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7"/>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11"/>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w:t>
      </w:r>
      <w:r>
        <w:rPr>
          <w:rFonts w:hint="eastAsia" w:ascii="Times New Roman" w:hAnsi="Times New Roman" w:eastAsia="方正小标宋_GBK" w:cs="Times New Roman"/>
          <w:color w:val="auto"/>
          <w:sz w:val="52"/>
          <w:szCs w:val="52"/>
          <w:lang w:val="en-US" w:eastAsia="zh-CN"/>
        </w:rPr>
        <w:t>永州市零陵区市场监督管理局</w:t>
      </w:r>
      <w:r>
        <w:rPr>
          <w:rFonts w:ascii="Times New Roman" w:hAnsi="Times New Roman" w:eastAsia="方正小标宋_GBK" w:cs="Times New Roman"/>
          <w:sz w:val="52"/>
          <w:szCs w:val="52"/>
        </w:rPr>
        <w:t>）概况</w:t>
      </w:r>
    </w:p>
    <w:p>
      <w:pPr>
        <w:pStyle w:val="7"/>
        <w:ind w:left="0" w:leftChars="0" w:firstLine="0" w:firstLineChars="0"/>
        <w:rPr>
          <w:rFonts w:ascii="Times New Roman" w:hAnsi="Times New Roman" w:cs="Times New Roman"/>
        </w:rPr>
      </w:pPr>
    </w:p>
    <w:p>
      <w:pPr>
        <w:pStyle w:val="18"/>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640" w:firstLineChars="200"/>
        <w:textAlignment w:val="auto"/>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负责市场综合监督管理。贯彻执行国家有关市场监督管理的方针政策和法律法规，拟制市场监督管理地方规范性文件，组织实施质量强区战略、食品安全战略、标准化战略和知识产权战略，拟制并组织实施有关规划，规范和维护市场秩序，营造诚实守信、公平竞争的市场环境。</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二</w:t>
      </w:r>
      <w:r>
        <w:rPr>
          <w:rFonts w:hint="eastAsia" w:ascii="Times New Roman" w:hAnsi="Times New Roman" w:eastAsia="仿宋_GB2312" w:cs="Times New Roman"/>
          <w:sz w:val="32"/>
          <w:szCs w:val="32"/>
        </w:rPr>
        <w:t>）负责市场主体统一登记注册。负责全区各类企业、农民专业合作社和从事经营活动的单位、个体工商户以及外国（地区）企业常驻代表机构等市场主体的登记注册和监督管理工作。建立市场主体信患公示和共享机制，依法公示和共享有关信息，加强信用监管，推动市场主体信用体系建设。</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三</w:t>
      </w:r>
      <w:r>
        <w:rPr>
          <w:rFonts w:hint="eastAsia" w:ascii="Times New Roman" w:hAnsi="Times New Roman" w:eastAsia="仿宋_GB2312" w:cs="Times New Roman"/>
          <w:sz w:val="32"/>
          <w:szCs w:val="32"/>
        </w:rPr>
        <w:t>）负责权限范围内食品、药品、医疗器械、化妆品、特种设备、计量器具的许可管理。负责权限内食品生产、流通和餐饮服务环节的行政许可。负责权限内药品流通环节的行政许可。负责权限内医疗器械备案及医疗器械经营环节的行政许可。负责权限内特种设备、计量器具的行政许可及备案工作。</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四</w:t>
      </w:r>
      <w:r>
        <w:rPr>
          <w:rFonts w:hint="eastAsia" w:ascii="Times New Roman" w:hAnsi="Times New Roman" w:eastAsia="仿宋_GB2312" w:cs="Times New Roman"/>
          <w:sz w:val="32"/>
          <w:szCs w:val="32"/>
        </w:rPr>
        <w:t>）负责组织和指导市场监督综合执法工作。指导全区市场监管综合执法队伍整合和建设，推动实行统一的市场监管。组织配合查处重大违法案件。规范市场监管行政执法行为。</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五</w:t>
      </w:r>
      <w:r>
        <w:rPr>
          <w:rFonts w:hint="eastAsia" w:ascii="Times New Roman" w:hAnsi="Times New Roman" w:eastAsia="仿宋_GB2312" w:cs="Times New Roman"/>
          <w:sz w:val="32"/>
          <w:szCs w:val="32"/>
        </w:rPr>
        <w:t>）受上级委托履行权限内的反垄断执法调查职责。统筹推进竞争政策实施，组织实施公平竞争审查制度。根据委托依法对经营者集中行为进行反垄断调查，根据委托负责承担垄断协议、滥用市场支配地位和滥用行政权力排除、限制竞争等反垄断工作。</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六</w:t>
      </w:r>
      <w:r>
        <w:rPr>
          <w:rFonts w:hint="eastAsia" w:ascii="Times New Roman" w:hAnsi="Times New Roman" w:eastAsia="仿宋_GB2312" w:cs="Times New Roman"/>
          <w:sz w:val="32"/>
          <w:szCs w:val="32"/>
        </w:rPr>
        <w:t>）负责监督管理市场秩序。依法监督管理市场交易、网络商品交易及有关服务的行为。组织指导查处价格收费违法违规、不正当竞争、违法直销、传销、侵犯商标专利知识产权和制售假冒伪劣行为。指导广告业的发展，监督管理广告活动。指导依法查处无照生产经营和相关无证生产经营行为。</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七</w:t>
      </w:r>
      <w:r>
        <w:rPr>
          <w:rFonts w:hint="eastAsia" w:ascii="Times New Roman" w:hAnsi="Times New Roman" w:eastAsia="仿宋_GB2312" w:cs="Times New Roman"/>
          <w:sz w:val="32"/>
          <w:szCs w:val="32"/>
        </w:rPr>
        <w:t>）负责宏观质量管理。拟制并组织实施质量强区发展的制度措施，会同有关部门组织实施较大工程设备质量监理制度，组织较大产品质量事故调查，贯彻实施缺陷产品召回制度，监督管理产品防伪工作。</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八</w:t>
      </w:r>
      <w:r>
        <w:rPr>
          <w:rFonts w:hint="eastAsia" w:ascii="Times New Roman" w:hAnsi="Times New Roman" w:eastAsia="仿宋_GB2312" w:cs="Times New Roman"/>
          <w:sz w:val="32"/>
          <w:szCs w:val="32"/>
        </w:rPr>
        <w:t>）负责产品质量安全监督管理。管理产品质量安全风险监控、全区监督抽查工作，落实质量分级制度、质量安全追溯制度。负责工业产品生产许可监督管理。负责纤维质量监督工作。</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九</w:t>
      </w:r>
      <w:r>
        <w:rPr>
          <w:rFonts w:hint="eastAsia" w:ascii="Times New Roman" w:hAnsi="Times New Roman" w:eastAsia="仿宋_GB2312" w:cs="Times New Roman"/>
          <w:sz w:val="32"/>
          <w:szCs w:val="32"/>
        </w:rPr>
        <w:t>）负责特种设备安全监督管理。综合管理特种设备安全监察、监督工作，监督检查高耗能特种设备节能标准和锅炉环境保护标准的执行情况。按规定权限配合组织调查处理特种设备事 故并进行统计分析。</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十</w:t>
      </w:r>
      <w:r>
        <w:rPr>
          <w:rFonts w:hint="eastAsia" w:ascii="Times New Roman" w:hAnsi="Times New Roman" w:eastAsia="仿宋_GB2312" w:cs="Times New Roman"/>
          <w:sz w:val="32"/>
          <w:szCs w:val="32"/>
        </w:rPr>
        <w:t>）负责食品安全监督管理综合协调。组织制定食品安全有关政策措施并组织实施。负责食品安全应急体系建设，组织指导一般食品安全事件应急处置和调查处理工作。建立健全食品安全重要信息直报制度。承担区政府食品安全委员会日常工作。</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十一</w:t>
      </w:r>
      <w:r>
        <w:rPr>
          <w:rFonts w:hint="eastAsia" w:ascii="Times New Roman" w:hAnsi="Times New Roman" w:eastAsia="仿宋_GB2312" w:cs="Times New Roman"/>
          <w:sz w:val="32"/>
          <w:szCs w:val="32"/>
        </w:rPr>
        <w:t>）负责食品安全监督管理。建立覆盖食品生产、流通、消费全过程的监督检查制度和隐患排查治理机制并组织实施，防范区域性、系统性食品安全风险。推动建立食品生产经营者落实主体责任的机制，健全食品安全追溯体系。组织开展食品安全监督抽检、风险监测、核查处置和风险预警、风险交流工作。组织实施特殊食品监督管理。负责食盐专营管理和食盐安全监督管理。</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十二</w:t>
      </w:r>
      <w:r>
        <w:rPr>
          <w:rFonts w:hint="eastAsia" w:ascii="Times New Roman" w:hAnsi="Times New Roman" w:eastAsia="仿宋_GB2312" w:cs="Times New Roman"/>
          <w:sz w:val="32"/>
          <w:szCs w:val="32"/>
        </w:rPr>
        <w:t>）负责统一管理计量工作。推行法定计量单位和国家计量制度，依职责管理计量器具及量值传递和比对工作。规范、监督商品量和市场计量行为。</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十三</w:t>
      </w:r>
      <w:r>
        <w:rPr>
          <w:rFonts w:hint="eastAsia" w:ascii="Times New Roman" w:hAnsi="Times New Roman" w:eastAsia="仿宋_GB2312" w:cs="Times New Roman"/>
          <w:sz w:val="32"/>
          <w:szCs w:val="32"/>
        </w:rPr>
        <w:t>）负责统一管理标准化工作。指导开展标准化试点示范工作。依据法定职责，对标准的制定进行指导监督，对标准的实施进行监督检查。推行采用国际标准。</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十四</w:t>
      </w:r>
      <w:r>
        <w:rPr>
          <w:rFonts w:hint="eastAsia" w:ascii="Times New Roman" w:hAnsi="Times New Roman" w:eastAsia="仿宋_GB2312" w:cs="Times New Roman"/>
          <w:sz w:val="32"/>
          <w:szCs w:val="32"/>
        </w:rPr>
        <w:t>）负责统一管理检验检测工作。规范检验检测市场，完善检验检测体系，指导协调检验检测行业发展。</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十五</w:t>
      </w:r>
      <w:r>
        <w:rPr>
          <w:rFonts w:hint="eastAsia" w:ascii="Times New Roman" w:hAnsi="Times New Roman" w:eastAsia="仿宋_GB2312" w:cs="Times New Roman"/>
          <w:sz w:val="32"/>
          <w:szCs w:val="32"/>
        </w:rPr>
        <w:t>）负责统一管理、监督和综合协调全区认证认可工作。依法监督管理全区认证认可和合格评定有关活动。</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十六</w:t>
      </w:r>
      <w:r>
        <w:rPr>
          <w:rFonts w:hint="eastAsia" w:ascii="Times New Roman" w:hAnsi="Times New Roman" w:eastAsia="仿宋_GB2312" w:cs="Times New Roman"/>
          <w:sz w:val="32"/>
          <w:szCs w:val="32"/>
        </w:rPr>
        <w:t>）负责市场监督管理、知识产权领域科技和信息化建设、新闻宣传、对外交流与合作。按规定承担技术性贸易措施有关工作。</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十七</w:t>
      </w:r>
      <w:r>
        <w:rPr>
          <w:rFonts w:hint="eastAsia" w:ascii="Times New Roman" w:hAnsi="Times New Roman" w:eastAsia="仿宋_GB2312" w:cs="Times New Roman"/>
          <w:sz w:val="32"/>
          <w:szCs w:val="32"/>
        </w:rPr>
        <w:t>）负责实施知识产权战略，推进知识产权强区建设。组织制定实施知识产权创造、保护、运用的政策措施。负责知识产权公共服务体系建设、推动知识产权信息传播利用。统筹协调涉外知识产权有关事宜。</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十八</w:t>
      </w:r>
      <w:r>
        <w:rPr>
          <w:rFonts w:hint="eastAsia" w:ascii="Times New Roman" w:hAnsi="Times New Roman" w:eastAsia="仿宋_GB2312" w:cs="Times New Roman"/>
          <w:sz w:val="32"/>
          <w:szCs w:val="32"/>
        </w:rPr>
        <w:t>）负责保护知识产权。落实严格保护商标、专利、原产地地理标志等相关工作，负责知识产权保护体系建设，组织指导商标、专利执法工作。</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十九</w:t>
      </w:r>
      <w:r>
        <w:rPr>
          <w:rFonts w:hint="eastAsia" w:ascii="Times New Roman" w:hAnsi="Times New Roman" w:eastAsia="仿宋_GB2312" w:cs="Times New Roman"/>
          <w:sz w:val="32"/>
          <w:szCs w:val="32"/>
        </w:rPr>
        <w:t>）负责知识产权创造运用。按权限负责商标、专利和原产地地理标志的管理，开展知识产权运营体系建设，指导较大经济活动知识产权评议，规范知识产权交易和无形资产评估，促进知识产权转移转化。</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二十</w:t>
      </w:r>
      <w:r>
        <w:rPr>
          <w:rFonts w:hint="eastAsia" w:ascii="Times New Roman" w:hAnsi="Times New Roman" w:eastAsia="仿宋_GB2312" w:cs="Times New Roman"/>
          <w:sz w:val="32"/>
          <w:szCs w:val="32"/>
        </w:rPr>
        <w:t>）负责组织开展有关服务领域消费维权工作，查处制售假冒伪劣等违法行为，指导消费者咨询、申诉、举报受理、处理和网络体系建设等工作，保护经营者、消费者合法权益。</w:t>
      </w:r>
    </w:p>
    <w:p>
      <w:pPr>
        <w:spacing w:line="600" w:lineRule="exact"/>
        <w:ind w:firstLine="640" w:firstLineChars="200"/>
        <w:jc w:val="left"/>
        <w:rPr>
          <w:rFonts w:hint="eastAsia" w:ascii="Times New Roman" w:hAnsi="Times New Roman" w:eastAsia="仿宋_GB2312" w:cs="Times New Roman"/>
          <w:color w:val="FF0000"/>
          <w:sz w:val="32"/>
          <w:szCs w:val="32"/>
          <w:lang w:eastAsia="zh-CN"/>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二十一</w:t>
      </w:r>
      <w:r>
        <w:rPr>
          <w:rFonts w:hint="eastAsia" w:ascii="Times New Roman" w:hAnsi="Times New Roman" w:eastAsia="仿宋_GB2312" w:cs="Times New Roman"/>
          <w:sz w:val="32"/>
          <w:szCs w:val="32"/>
        </w:rPr>
        <w:t>）负责职责范围内的药品、医疗器械和化妆品的质量管理。监督实施药品、医疗器械、化妆品标准和分类管理制度，配合有关部门实施国家基本药物制度。监督实施药品经营质量管理规范，监督实施医疗器械经营、使用质量管理规范，监督实施化妆品经营、使用卫生标准和技术</w:t>
      </w:r>
      <w:r>
        <w:rPr>
          <w:rFonts w:hint="eastAsia" w:ascii="Times New Roman" w:hAnsi="Times New Roman" w:eastAsia="仿宋_GB2312" w:cs="Times New Roman"/>
          <w:sz w:val="32"/>
          <w:szCs w:val="32"/>
          <w:lang w:eastAsia="zh-CN"/>
        </w:rPr>
        <w:t>。</w:t>
      </w:r>
    </w:p>
    <w:p>
      <w:pPr>
        <w:widowControl/>
        <w:spacing w:line="600" w:lineRule="exact"/>
        <w:rPr>
          <w:rFonts w:ascii="Times New Roman" w:hAnsi="Times New Roman" w:eastAsia="黑体" w:cs="Times New Roman"/>
          <w:bCs/>
          <w:kern w:val="0"/>
          <w:sz w:val="32"/>
          <w:szCs w:val="32"/>
        </w:rPr>
      </w:pPr>
    </w:p>
    <w:p>
      <w:pPr>
        <w:widowControl/>
        <w:spacing w:line="600" w:lineRule="exact"/>
        <w:rPr>
          <w:rFonts w:ascii="Times New Roman" w:hAnsi="Times New Roman" w:eastAsia="黑体" w:cs="Times New Roman"/>
          <w:bCs/>
          <w:kern w:val="0"/>
          <w:sz w:val="32"/>
          <w:szCs w:val="32"/>
        </w:rPr>
      </w:pPr>
    </w:p>
    <w:p>
      <w:pPr>
        <w:widowControl/>
        <w:spacing w:line="600" w:lineRule="exact"/>
        <w:rPr>
          <w:rFonts w:ascii="Times New Roman" w:hAnsi="Times New Roman" w:eastAsia="黑体" w:cs="Times New Roman"/>
          <w:bCs/>
          <w:kern w:val="0"/>
          <w:sz w:val="32"/>
          <w:szCs w:val="32"/>
        </w:rPr>
      </w:pP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pPr>
        <w:widowControl/>
        <w:spacing w:line="600" w:lineRule="exact"/>
        <w:ind w:firstLine="640" w:firstLineChars="200"/>
        <w:rPr>
          <w:rFonts w:hint="eastAsia" w:ascii="Times New Roman" w:hAnsi="Times New Roman" w:eastAsia="仿宋_GB2312" w:cs="Times New Roman"/>
          <w:bCs/>
          <w:kern w:val="0"/>
          <w:sz w:val="32"/>
          <w:szCs w:val="32"/>
          <w:lang w:val="en-US" w:eastAsia="zh-CN"/>
        </w:rPr>
      </w:pPr>
      <w:r>
        <w:rPr>
          <w:rFonts w:hint="eastAsia" w:ascii="Times New Roman" w:hAnsi="Times New Roman" w:eastAsia="仿宋_GB2312" w:cs="Times New Roman"/>
          <w:bCs/>
          <w:kern w:val="0"/>
          <w:sz w:val="32"/>
          <w:szCs w:val="32"/>
          <w:lang w:val="en-US" w:eastAsia="zh-CN"/>
        </w:rPr>
        <w:t>永州市零陵区市场监督管理局</w:t>
      </w:r>
      <w:r>
        <w:rPr>
          <w:rFonts w:ascii="Times New Roman" w:hAnsi="Times New Roman" w:eastAsia="仿宋_GB2312" w:cs="Times New Roman"/>
          <w:bCs/>
          <w:kern w:val="0"/>
          <w:sz w:val="32"/>
          <w:szCs w:val="32"/>
        </w:rPr>
        <w:t>内设机构包括：</w:t>
      </w:r>
      <w:r>
        <w:rPr>
          <w:rFonts w:hint="eastAsia" w:ascii="Times New Roman" w:hAnsi="Times New Roman" w:eastAsia="仿宋_GB2312" w:cs="Times New Roman"/>
          <w:bCs/>
          <w:kern w:val="0"/>
          <w:sz w:val="32"/>
          <w:szCs w:val="32"/>
          <w:lang w:val="en-US" w:eastAsia="zh-CN"/>
        </w:rPr>
        <w:t>办公室（信访室、综合规划股）、政策法规股、执法督查股、行政审批股（登记注册股）、信用监督管理股、价格监督检查和反不正当竞争、反垄断股（规范直销与打击传销办公室）、网络交易监督管理股、广告监督管理股、质量发展股、产品质量安全监督管理股、食品安全协调股（区食品安全协调办公室）、食品生产安全监督管理股、餐饮服务食品安全监督管理股、食品流通安全监督管理股、特殊食品安全监督管理股、特种设备安全监察股、计量和标准化股、认证、认可与检验检测监督管理股、知识产权股、消费者权益保护股（投诉举报办公室）、新闻宣传与应急管理股、非公有制经济组织党建工作股、药品和医疗器械监督管理股（药品生产服务股）、化妆品监督管理股、科技和财务股、人事股；14个派出机构，包括徐家井市管所、南津渡市管所、朝阳市管所、七里店市管所、富家桥市管所、邮亭圩市管所、珠山+梳子铺市管所、水口山市管所、工业园市管所、接履桥市管所、菱角塘市管所、黄田铺市管所、凼底市管所、石岩头+大庆坪市管所；五个事业单位，包括零陵区市场监督管理局个体私营经济发展指导中心、零陵区消费者委员会办公室、零陵区市场监督管理局信息中心、永州市市场监管综合行政执法支队零陵区大队与零陵区食品质量安全监督检测检验中心。</w:t>
      </w:r>
    </w:p>
    <w:p>
      <w:pPr>
        <w:widowControl/>
        <w:spacing w:line="600" w:lineRule="exact"/>
        <w:ind w:firstLine="640" w:firstLineChars="200"/>
        <w:rPr>
          <w:rFonts w:hint="eastAsia" w:ascii="Times New Roman" w:hAnsi="Times New Roman" w:eastAsia="仿宋_GB2312" w:cs="Times New Roman"/>
          <w:bCs/>
          <w:kern w:val="0"/>
          <w:sz w:val="32"/>
          <w:szCs w:val="32"/>
          <w:lang w:val="en-US" w:eastAsia="zh-CN"/>
        </w:rPr>
      </w:pPr>
      <w:r>
        <w:rPr>
          <w:rFonts w:hint="eastAsia" w:ascii="Times New Roman" w:hAnsi="Times New Roman" w:eastAsia="仿宋_GB2312" w:cs="Times New Roman"/>
          <w:bCs/>
          <w:kern w:val="0"/>
          <w:sz w:val="32"/>
          <w:szCs w:val="32"/>
          <w:lang w:val="en-US" w:eastAsia="zh-CN"/>
        </w:rPr>
        <w:t>永州市零陵区市场监督管理局人员情况：包括当年变动情况及原因。</w:t>
      </w:r>
    </w:p>
    <w:p>
      <w:pPr>
        <w:widowControl/>
        <w:spacing w:line="600" w:lineRule="exact"/>
        <w:ind w:firstLine="640" w:firstLineChars="200"/>
        <w:rPr>
          <w:rFonts w:hint="eastAsia" w:ascii="Times New Roman" w:hAnsi="Times New Roman" w:eastAsia="仿宋_GB2312" w:cs="Times New Roman"/>
          <w:bCs/>
          <w:kern w:val="0"/>
          <w:sz w:val="32"/>
          <w:szCs w:val="32"/>
          <w:lang w:val="en-US" w:eastAsia="zh-CN"/>
        </w:rPr>
      </w:pPr>
      <w:r>
        <w:rPr>
          <w:rFonts w:hint="eastAsia" w:ascii="Times New Roman" w:hAnsi="Times New Roman" w:eastAsia="仿宋_GB2312" w:cs="Times New Roman"/>
          <w:bCs/>
          <w:kern w:val="0"/>
          <w:sz w:val="32"/>
          <w:szCs w:val="32"/>
          <w:lang w:val="en-US" w:eastAsia="zh-CN"/>
        </w:rPr>
        <w:t>2025年年末实有人数189人（不含遗属优抚人员），与2024年度相比，减少1人，变动情况及原因如下：</w:t>
      </w:r>
    </w:p>
    <w:p>
      <w:pPr>
        <w:widowControl/>
        <w:spacing w:line="600" w:lineRule="exact"/>
        <w:ind w:firstLine="640" w:firstLineChars="200"/>
        <w:rPr>
          <w:rFonts w:ascii="仿宋_GB2312" w:eastAsia="仿宋_GB2312"/>
          <w:sz w:val="32"/>
          <w:szCs w:val="32"/>
          <w:highlight w:val="none"/>
          <w:lang w:val="en-US" w:eastAsia="zh-CN"/>
        </w:rPr>
      </w:pPr>
      <w:r>
        <w:rPr>
          <w:rFonts w:hint="eastAsia" w:ascii="Times New Roman" w:hAnsi="Times New Roman" w:eastAsia="仿宋_GB2312" w:cs="Times New Roman"/>
          <w:bCs/>
          <w:kern w:val="0"/>
          <w:sz w:val="32"/>
          <w:szCs w:val="32"/>
          <w:lang w:val="en-US" w:eastAsia="zh-CN"/>
        </w:rPr>
        <w:t>（1）2025年在职人员人数78人。与2024年度相比，减少10人，在职人员人数主要变动原因：公务员9人退休，1人调出</w:t>
      </w:r>
      <w:r>
        <w:rPr>
          <w:rFonts w:hint="eastAsia" w:ascii="仿宋_GB2312" w:eastAsia="仿宋_GB2312" w:cs="仿宋_GB2312"/>
          <w:sz w:val="32"/>
          <w:szCs w:val="32"/>
          <w:highlight w:val="none"/>
          <w:lang w:val="en-US" w:eastAsia="zh-CN" w:bidi="ar"/>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both"/>
        <w:textAlignment w:val="auto"/>
      </w:pPr>
      <w:r>
        <w:rPr>
          <w:rFonts w:hint="eastAsia" w:ascii="仿宋" w:hAnsi="仿宋" w:eastAsia="仿宋" w:cs="仿宋"/>
          <w:sz w:val="32"/>
          <w:szCs w:val="32"/>
          <w:highlight w:val="none"/>
          <w:lang w:val="en-US" w:eastAsia="zh-CN" w:bidi="ar"/>
        </w:rPr>
        <w:t>（2）2025</w:t>
      </w:r>
      <w:r>
        <w:rPr>
          <w:rFonts w:hint="eastAsia" w:ascii="仿宋_GB2312" w:eastAsia="仿宋_GB2312" w:cs="仿宋_GB2312"/>
          <w:sz w:val="32"/>
          <w:szCs w:val="32"/>
          <w:highlight w:val="none"/>
          <w:lang w:val="en-US" w:eastAsia="zh-CN" w:bidi="ar"/>
        </w:rPr>
        <w:t>年退休人员人数为111人。与2024年度相比，增加9人，退休人员人数</w:t>
      </w:r>
      <w:r>
        <w:rPr>
          <w:rFonts w:hint="eastAsia" w:ascii="仿宋_GB2312" w:hAnsi="仿宋" w:eastAsia="仿宋_GB2312" w:cs="仿宋_GB2312"/>
          <w:sz w:val="32"/>
          <w:szCs w:val="32"/>
          <w:highlight w:val="none"/>
          <w:lang w:val="en-US" w:eastAsia="zh-CN" w:bidi="ar"/>
        </w:rPr>
        <w:t>主要变动原因：2025年有新的退休人员</w:t>
      </w:r>
      <w:r>
        <w:rPr>
          <w:rFonts w:hint="eastAsia" w:ascii="仿宋_GB2312" w:eastAsia="仿宋_GB2312" w:cs="仿宋_GB2312"/>
          <w:sz w:val="32"/>
          <w:szCs w:val="32"/>
          <w:highlight w:val="none"/>
          <w:lang w:val="en-US" w:eastAsia="zh-CN" w:bidi="ar"/>
        </w:rPr>
        <w:t>。</w:t>
      </w:r>
    </w:p>
    <w:p>
      <w:pPr>
        <w:widowControl/>
        <w:numPr>
          <w:ilvl w:val="0"/>
          <w:numId w:val="1"/>
        </w:numPr>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决算单位构成。</w:t>
      </w:r>
    </w:p>
    <w:p>
      <w:pPr>
        <w:widowControl/>
        <w:numPr>
          <w:ilvl w:val="0"/>
          <w:numId w:val="0"/>
        </w:numPr>
        <w:spacing w:line="600" w:lineRule="exact"/>
        <w:ind w:firstLine="640" w:firstLineChars="200"/>
        <w:rPr>
          <w:rFonts w:ascii="Times New Roman" w:hAnsi="Times New Roman" w:eastAsia="仿宋_GB2312" w:cs="Times New Roman"/>
          <w:bCs/>
          <w:kern w:val="0"/>
          <w:sz w:val="32"/>
          <w:szCs w:val="32"/>
        </w:rPr>
      </w:pPr>
      <w:r>
        <w:rPr>
          <w:rFonts w:hint="eastAsia" w:ascii="仿宋_GB2312" w:hAnsi="仿宋_GB2312" w:eastAsia="仿宋_GB2312" w:cs="仿宋_GB2312"/>
          <w:color w:val="000000"/>
          <w:kern w:val="0"/>
          <w:sz w:val="32"/>
          <w:szCs w:val="32"/>
          <w:lang w:val="en-US" w:eastAsia="zh-CN"/>
        </w:rPr>
        <w:t>永州市零陵区市场监督管理局</w:t>
      </w:r>
      <w:r>
        <w:rPr>
          <w:rFonts w:hint="eastAsia"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w:t>
      </w:r>
      <w:r>
        <w:rPr>
          <w:rFonts w:hint="eastAsia" w:ascii="仿宋_GB2312" w:hAnsi="仿宋_GB2312" w:eastAsia="仿宋_GB2312" w:cs="仿宋_GB2312"/>
          <w:color w:val="000000"/>
          <w:kern w:val="0"/>
          <w:sz w:val="32"/>
          <w:szCs w:val="32"/>
          <w:lang w:val="en-US" w:eastAsia="zh-CN"/>
        </w:rPr>
        <w:t>永州市零陵区市场监督管理局</w:t>
      </w:r>
      <w:r>
        <w:rPr>
          <w:rFonts w:hint="eastAsia" w:ascii="Times New Roman" w:hAnsi="Times New Roman" w:eastAsia="仿宋_GB2312" w:cs="仿宋_GB2312"/>
          <w:bCs/>
          <w:kern w:val="0"/>
          <w:sz w:val="32"/>
          <w:szCs w:val="32"/>
        </w:rPr>
        <w:t>本级</w:t>
      </w:r>
      <w:r>
        <w:rPr>
          <w:rFonts w:hint="eastAsia" w:ascii="Times New Roman" w:hAnsi="Times New Roman" w:eastAsia="仿宋_GB2312" w:cs="仿宋_GB2312"/>
          <w:bCs/>
          <w:kern w:val="0"/>
          <w:sz w:val="32"/>
          <w:szCs w:val="32"/>
          <w:lang w:eastAsia="zh-CN"/>
        </w:rPr>
        <w:t>。</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11"/>
        <w:rPr>
          <w:rFonts w:ascii="Times New Roman" w:hAnsi="Times New Roman" w:cs="Times New Roman"/>
        </w:rPr>
      </w:pPr>
    </w:p>
    <w:p>
      <w:pPr>
        <w:pStyle w:val="7"/>
        <w:sectPr>
          <w:footerReference r:id="rId6" w:type="default"/>
          <w:pgSz w:w="11906" w:h="16838"/>
          <w:pgMar w:top="1417" w:right="1588" w:bottom="1417" w:left="1588" w:header="851" w:footer="992" w:gutter="0"/>
          <w:pgNumType w:start="1"/>
          <w:cols w:space="425" w:num="1"/>
          <w:docGrid w:type="lines" w:linePitch="312" w:charSpace="0"/>
        </w:sectPr>
      </w:pPr>
    </w:p>
    <w:p>
      <w:pPr>
        <w:pStyle w:val="17"/>
        <w:numPr>
          <w:ilvl w:val="0"/>
          <w:numId w:val="0"/>
        </w:numPr>
        <w:jc w:val="center"/>
        <w:rPr>
          <w:rFonts w:ascii="Times New Roman" w:hAnsi="Times New Roman" w:eastAsia="方正小标宋_GBK" w:cs="Times New Roman"/>
          <w:sz w:val="52"/>
          <w:szCs w:val="52"/>
        </w:rPr>
      </w:pPr>
    </w:p>
    <w:p>
      <w:pPr>
        <w:pStyle w:val="17"/>
        <w:numPr>
          <w:ilvl w:val="0"/>
          <w:numId w:val="0"/>
        </w:numPr>
        <w:jc w:val="center"/>
        <w:rPr>
          <w:rFonts w:ascii="Times New Roman" w:hAnsi="Times New Roman" w:eastAsia="方正小标宋_GBK" w:cs="Times New Roman"/>
          <w:sz w:val="52"/>
          <w:szCs w:val="52"/>
        </w:rPr>
      </w:pPr>
    </w:p>
    <w:p>
      <w:pPr>
        <w:pStyle w:val="17"/>
        <w:numPr>
          <w:ilvl w:val="0"/>
          <w:numId w:val="2"/>
        </w:numPr>
        <w:jc w:val="center"/>
        <w:rPr>
          <w:rFonts w:ascii="Times New Roman" w:hAnsi="Times New Roman" w:eastAsia="方正小标宋_GBK" w:cs="Times New Roman"/>
          <w:sz w:val="52"/>
          <w:szCs w:val="52"/>
        </w:rPr>
      </w:pPr>
    </w:p>
    <w:p>
      <w:pPr>
        <w:pStyle w:val="17"/>
        <w:numPr>
          <w:ilvl w:val="0"/>
          <w:numId w:val="0"/>
        </w:numPr>
        <w:ind w:firstLine="2860" w:firstLineChars="55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部门决算表</w:t>
      </w:r>
    </w:p>
    <w:p>
      <w:pPr>
        <w:pStyle w:val="17"/>
        <w:numPr>
          <w:ilvl w:val="0"/>
          <w:numId w:val="0"/>
        </w:numPr>
        <w:ind w:firstLine="2860" w:firstLineChars="550"/>
        <w:jc w:val="both"/>
        <w:rPr>
          <w:rFonts w:ascii="Times New Roman" w:hAnsi="Times New Roman" w:eastAsia="方正小标宋_GBK" w:cs="Times New Roman"/>
          <w:sz w:val="52"/>
          <w:szCs w:val="52"/>
        </w:rPr>
      </w:pPr>
    </w:p>
    <w:p>
      <w:pPr>
        <w:widowControl/>
        <w:spacing w:line="600" w:lineRule="exact"/>
        <w:rPr>
          <w:rFonts w:ascii="Times New Roman" w:hAnsi="Times New Roman" w:eastAsia="方正小标宋_GBK" w:cs="Times New Roman"/>
          <w:sz w:val="70"/>
          <w:szCs w:val="70"/>
        </w:rPr>
      </w:pPr>
      <w:r>
        <w:rPr>
          <w:rFonts w:hint="eastAsia" w:ascii="Times New Roman" w:hAnsi="Times New Roman" w:eastAsia="黑体" w:cs="Times New Roman"/>
          <w:bCs/>
          <w:kern w:val="0"/>
          <w:sz w:val="44"/>
          <w:szCs w:val="44"/>
          <w:lang w:val="en-US" w:eastAsia="zh-CN"/>
        </w:rPr>
        <w:t>详见《附件1：202</w:t>
      </w:r>
      <w:r>
        <w:rPr>
          <w:rFonts w:hint="default" w:ascii="Times New Roman" w:hAnsi="Times New Roman" w:eastAsia="黑体" w:cs="Times New Roman"/>
          <w:bCs/>
          <w:kern w:val="0"/>
          <w:sz w:val="44"/>
          <w:szCs w:val="44"/>
          <w:lang w:val="en-US" w:eastAsia="zh-CN"/>
        </w:rPr>
        <w:t>5</w:t>
      </w:r>
      <w:r>
        <w:rPr>
          <w:rFonts w:hint="eastAsia" w:ascii="Times New Roman" w:hAnsi="Times New Roman" w:eastAsia="黑体" w:cs="Times New Roman"/>
          <w:bCs/>
          <w:kern w:val="0"/>
          <w:sz w:val="44"/>
          <w:szCs w:val="44"/>
          <w:lang w:val="en-US" w:eastAsia="zh-CN"/>
        </w:rPr>
        <w:t>年度部门决算公开表》</w:t>
      </w:r>
    </w:p>
    <w:p>
      <w:pPr>
        <w:rPr>
          <w:rFonts w:hint="default" w:ascii="Times New Roman" w:hAnsi="Times New Roman" w:eastAsia="仿宋_GB2312" w:cs="Times New Roman"/>
          <w:color w:val="FF0000"/>
          <w:sz w:val="32"/>
          <w:szCs w:val="32"/>
          <w:lang w:val="en-US" w:eastAsia="zh-CN"/>
        </w:rPr>
      </w:pPr>
      <w:r>
        <w:rPr>
          <w:rFonts w:hint="default" w:ascii="Times New Roman" w:hAnsi="Times New Roman" w:eastAsia="仿宋_GB2312" w:cs="Times New Roman"/>
          <w:color w:val="FF0000"/>
          <w:sz w:val="32"/>
          <w:szCs w:val="32"/>
          <w:lang w:val="en-US" w:eastAsia="zh-CN"/>
        </w:rPr>
        <w:br w:type="page"/>
      </w:r>
    </w:p>
    <w:p>
      <w:pPr>
        <w:pStyle w:val="17"/>
        <w:overflowPunct w:val="0"/>
        <w:autoSpaceDE/>
        <w:autoSpaceDN/>
        <w:spacing w:line="600" w:lineRule="exact"/>
        <w:ind w:firstLine="640" w:firstLineChars="200"/>
        <w:jc w:val="both"/>
        <w:rPr>
          <w:rFonts w:hint="default" w:ascii="Times New Roman" w:hAnsi="Times New Roman" w:eastAsia="仿宋_GB2312" w:cs="Times New Roman"/>
          <w:color w:val="FF0000"/>
          <w:sz w:val="32"/>
          <w:szCs w:val="32"/>
          <w:lang w:val="en-US" w:eastAsia="zh-CN"/>
        </w:rPr>
      </w:pPr>
    </w:p>
    <w:p>
      <w:pPr>
        <w:jc w:val="center"/>
        <w:rPr>
          <w:rFonts w:ascii="Times New Roman" w:hAnsi="Times New Roman" w:eastAsia="黑体" w:cs="Times New Roman"/>
          <w:sz w:val="28"/>
          <w:szCs w:val="28"/>
        </w:rPr>
      </w:pPr>
    </w:p>
    <w:p>
      <w:pPr>
        <w:pStyle w:val="17"/>
        <w:jc w:val="both"/>
        <w:rPr>
          <w:rFonts w:ascii="Times New Roman" w:hAnsi="Times New Roman" w:eastAsia="方正小标宋_GBK" w:cs="Times New Roman"/>
          <w:sz w:val="72"/>
          <w:szCs w:val="72"/>
        </w:rPr>
      </w:pPr>
    </w:p>
    <w:p>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default" w:ascii="Times New Roman" w:hAnsi="Times New Roman" w:eastAsia="方正小标宋_GBK" w:cs="Times New Roman"/>
          <w:sz w:val="52"/>
          <w:szCs w:val="52"/>
          <w:lang w:val="en-US"/>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rPr>
        <w:t>25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eastAsia="zh-CN"/>
        </w:rPr>
        <w:t>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rPr>
        <w:t>1842.53</w:t>
      </w:r>
      <w:r>
        <w:rPr>
          <w:rFonts w:ascii="Times New Roman" w:hAnsi="Times New Roman" w:eastAsia="仿宋_GB2312" w:cs="Times New Roman"/>
          <w:sz w:val="32"/>
          <w:szCs w:val="32"/>
        </w:rPr>
        <w:t>万元。与上年相比，减少</w:t>
      </w:r>
      <w:r>
        <w:rPr>
          <w:rFonts w:hint="eastAsia" w:ascii="仿宋_GB2312" w:hAnsi="仿宋" w:eastAsia="仿宋_GB2312" w:cs="Times New Roman"/>
          <w:color w:val="auto"/>
          <w:sz w:val="32"/>
          <w:szCs w:val="32"/>
          <w:highlight w:val="none"/>
          <w:lang w:val="en-US" w:eastAsia="zh-CN"/>
        </w:rPr>
        <w:t>67.97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3.56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落实过紧日子要求厉行节约，</w:t>
      </w:r>
      <w:r>
        <w:rPr>
          <w:rFonts w:hint="eastAsia" w:ascii="仿宋_GB2312" w:eastAsia="仿宋_GB2312" w:cs="仿宋_GB2312"/>
          <w:sz w:val="32"/>
          <w:szCs w:val="32"/>
          <w:highlight w:val="none"/>
          <w:lang w:val="en-US" w:eastAsia="zh-CN" w:bidi="ar"/>
        </w:rPr>
        <w:t>人员减少，经费减少。</w:t>
      </w:r>
    </w:p>
    <w:p>
      <w:pPr>
        <w:pStyle w:val="17"/>
        <w:overflowPunct w:val="0"/>
        <w:autoSpaceDE/>
        <w:autoSpaceDN/>
        <w:spacing w:line="600" w:lineRule="exact"/>
        <w:ind w:firstLine="640" w:firstLineChars="200"/>
        <w:jc w:val="both"/>
        <w:rPr>
          <w:rFonts w:hint="eastAsia" w:ascii="仿宋_GB2312" w:eastAsia="仿宋_GB2312" w:cs="仿宋_GB2312"/>
          <w:sz w:val="32"/>
          <w:szCs w:val="32"/>
          <w:highlight w:val="none"/>
          <w:lang w:val="en-US" w:eastAsia="zh-CN" w:bidi="ar"/>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支出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rPr>
        <w:t>1842.53</w:t>
      </w:r>
      <w:r>
        <w:rPr>
          <w:rFonts w:ascii="Times New Roman" w:hAnsi="Times New Roman" w:eastAsia="仿宋_GB2312" w:cs="Times New Roman"/>
          <w:sz w:val="32"/>
          <w:szCs w:val="32"/>
        </w:rPr>
        <w:t>万元。与上年相比，减少</w:t>
      </w:r>
      <w:r>
        <w:rPr>
          <w:rFonts w:hint="eastAsia" w:ascii="仿宋_GB2312" w:hAnsi="仿宋" w:eastAsia="仿宋_GB2312" w:cs="Times New Roman"/>
          <w:color w:val="auto"/>
          <w:sz w:val="32"/>
          <w:szCs w:val="32"/>
          <w:highlight w:val="none"/>
          <w:lang w:val="en-US" w:eastAsia="zh-CN"/>
        </w:rPr>
        <w:t>67.97万元</w:t>
      </w:r>
      <w:r>
        <w:rPr>
          <w:rFonts w:ascii="Times New Roman" w:hAnsi="Times New Roman" w:eastAsia="仿宋_GB2312" w:cs="Times New Roman"/>
          <w:sz w:val="32"/>
          <w:szCs w:val="32"/>
        </w:rPr>
        <w:t>，降低</w:t>
      </w:r>
      <w:r>
        <w:rPr>
          <w:rFonts w:hint="eastAsia" w:ascii="Times New Roman" w:hAnsi="Times New Roman" w:eastAsia="仿宋_GB2312" w:cs="Times New Roman"/>
          <w:sz w:val="32"/>
          <w:szCs w:val="32"/>
          <w:lang w:val="en-US" w:eastAsia="zh-CN"/>
        </w:rPr>
        <w:t>3.56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落实过紧日子要求厉行节约，</w:t>
      </w:r>
      <w:r>
        <w:rPr>
          <w:rFonts w:hint="eastAsia" w:ascii="仿宋_GB2312" w:eastAsia="仿宋_GB2312" w:cs="仿宋_GB2312"/>
          <w:sz w:val="32"/>
          <w:szCs w:val="32"/>
          <w:highlight w:val="none"/>
          <w:lang w:val="en-US" w:eastAsia="zh-CN" w:bidi="ar"/>
        </w:rPr>
        <w:t>人员减少，经费减少。</w:t>
      </w:r>
    </w:p>
    <w:p>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1842.53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1842.53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1842.53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1737.33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94.29</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105.19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5.71</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7"/>
        <w:overflowPunct w:val="0"/>
        <w:autoSpaceDE/>
        <w:autoSpaceDN/>
        <w:spacing w:line="600" w:lineRule="exact"/>
        <w:ind w:firstLine="640" w:firstLineChars="200"/>
        <w:jc w:val="both"/>
        <w:rPr>
          <w:rFonts w:hint="eastAsia" w:ascii="仿宋_GB2312" w:eastAsia="仿宋_GB2312" w:cs="仿宋_GB2312"/>
          <w:sz w:val="32"/>
          <w:szCs w:val="32"/>
          <w:highlight w:val="none"/>
          <w:lang w:val="en-US" w:eastAsia="zh-CN" w:bidi="ar"/>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年度财政拨款</w:t>
      </w:r>
      <w:r>
        <w:rPr>
          <w:rFonts w:hint="eastAsia" w:ascii="Times New Roman" w:hAnsi="Times New Roman" w:eastAsia="仿宋_GB2312" w:cs="Times New Roman"/>
          <w:sz w:val="32"/>
          <w:szCs w:val="32"/>
          <w:lang w:eastAsia="zh-CN"/>
        </w:rPr>
        <w:t>收入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rPr>
        <w:t>1842.53</w:t>
      </w:r>
      <w:r>
        <w:rPr>
          <w:rFonts w:ascii="Times New Roman" w:hAnsi="Times New Roman" w:eastAsia="仿宋_GB2312" w:cs="Times New Roman"/>
          <w:sz w:val="32"/>
          <w:szCs w:val="32"/>
        </w:rPr>
        <w:t>万元，与上年相比，减少</w:t>
      </w:r>
      <w:r>
        <w:rPr>
          <w:rFonts w:hint="eastAsia" w:ascii="仿宋_GB2312" w:hAnsi="仿宋" w:eastAsia="仿宋_GB2312" w:cs="Times New Roman"/>
          <w:color w:val="auto"/>
          <w:sz w:val="32"/>
          <w:szCs w:val="32"/>
          <w:highlight w:val="none"/>
          <w:lang w:val="en-US" w:eastAsia="zh-CN"/>
        </w:rPr>
        <w:t>67.97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3.56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落实过紧日子要求厉行节约，</w:t>
      </w:r>
      <w:r>
        <w:rPr>
          <w:rFonts w:hint="eastAsia" w:ascii="仿宋_GB2312" w:eastAsia="仿宋_GB2312" w:cs="仿宋_GB2312"/>
          <w:sz w:val="32"/>
          <w:szCs w:val="32"/>
          <w:highlight w:val="none"/>
          <w:lang w:val="en-US" w:eastAsia="zh-CN" w:bidi="ar"/>
        </w:rPr>
        <w:t>人员减少，经费减少。</w:t>
      </w:r>
    </w:p>
    <w:p>
      <w:pPr>
        <w:pStyle w:val="17"/>
        <w:overflowPunct w:val="0"/>
        <w:autoSpaceDE/>
        <w:autoSpaceDN/>
        <w:spacing w:line="600" w:lineRule="exact"/>
        <w:ind w:firstLine="640" w:firstLineChars="200"/>
        <w:jc w:val="both"/>
        <w:rPr>
          <w:rFonts w:hint="eastAsia" w:ascii="Times New Roman" w:hAnsi="Times New Roman" w:eastAsia="仿宋_GB2312" w:cs="Times New Roman"/>
          <w:color w:val="FF0000"/>
          <w:sz w:val="32"/>
          <w:szCs w:val="32"/>
          <w:lang w:eastAsia="zh-CN"/>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年度财政拨款</w:t>
      </w:r>
      <w:r>
        <w:rPr>
          <w:rFonts w:hint="eastAsia" w:ascii="Times New Roman" w:hAnsi="Times New Roman" w:eastAsia="仿宋_GB2312" w:cs="Times New Roman"/>
          <w:sz w:val="32"/>
          <w:szCs w:val="32"/>
          <w:lang w:eastAsia="zh-CN"/>
        </w:rPr>
        <w:t>支出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rPr>
        <w:t>1842.53</w:t>
      </w:r>
      <w:r>
        <w:rPr>
          <w:rFonts w:ascii="Times New Roman" w:hAnsi="Times New Roman" w:eastAsia="仿宋_GB2312" w:cs="Times New Roman"/>
          <w:sz w:val="32"/>
          <w:szCs w:val="32"/>
        </w:rPr>
        <w:t>万元，与上年相比，减少</w:t>
      </w:r>
      <w:r>
        <w:rPr>
          <w:rFonts w:hint="eastAsia" w:ascii="仿宋_GB2312" w:hAnsi="仿宋" w:eastAsia="仿宋_GB2312" w:cs="Times New Roman"/>
          <w:color w:val="auto"/>
          <w:sz w:val="32"/>
          <w:szCs w:val="32"/>
          <w:highlight w:val="none"/>
          <w:lang w:val="en-US" w:eastAsia="zh-CN"/>
        </w:rPr>
        <w:t>67.97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3.56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落实过紧日子要求厉行节约，</w:t>
      </w:r>
      <w:r>
        <w:rPr>
          <w:rFonts w:hint="eastAsia" w:ascii="仿宋_GB2312" w:eastAsia="仿宋_GB2312" w:cs="仿宋_GB2312"/>
          <w:sz w:val="32"/>
          <w:szCs w:val="32"/>
          <w:highlight w:val="none"/>
          <w:lang w:val="en-US" w:eastAsia="zh-CN" w:bidi="ar"/>
        </w:rPr>
        <w:t>人员减少，经费减少。</w:t>
      </w:r>
    </w:p>
    <w:p>
      <w:pPr>
        <w:pStyle w:val="17"/>
        <w:numPr>
          <w:ilvl w:val="0"/>
          <w:numId w:val="3"/>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一般公共预算财政拨款支出决算情况说明</w:t>
      </w:r>
    </w:p>
    <w:p>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7"/>
        <w:overflowPunct w:val="0"/>
        <w:autoSpaceDE/>
        <w:autoSpaceDN/>
        <w:spacing w:line="600" w:lineRule="exact"/>
        <w:ind w:firstLine="640" w:firstLineChars="200"/>
        <w:jc w:val="both"/>
        <w:rPr>
          <w:rFonts w:hint="eastAsia" w:ascii="Times New Roman" w:hAnsi="Times New Roman" w:eastAsia="仿宋_GB2312" w:cs="Times New Roman"/>
          <w:color w:val="FF0000"/>
          <w:sz w:val="32"/>
          <w:szCs w:val="32"/>
          <w:lang w:eastAsia="zh-CN"/>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1842.53</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仿宋_GB2312" w:hAnsi="仿宋" w:eastAsia="仿宋_GB2312" w:cs="Times New Roman"/>
          <w:color w:val="auto"/>
          <w:sz w:val="32"/>
          <w:szCs w:val="32"/>
          <w:highlight w:val="none"/>
          <w:lang w:val="en-US" w:eastAsia="zh-CN"/>
        </w:rPr>
        <w:t>67.97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3.56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落实过紧日子要求厉行节约，</w:t>
      </w:r>
      <w:r>
        <w:rPr>
          <w:rFonts w:hint="eastAsia" w:ascii="仿宋_GB2312" w:eastAsia="仿宋_GB2312" w:cs="仿宋_GB2312"/>
          <w:sz w:val="32"/>
          <w:szCs w:val="32"/>
          <w:highlight w:val="none"/>
          <w:lang w:val="en-US" w:eastAsia="zh-CN" w:bidi="ar"/>
        </w:rPr>
        <w:t>人员减少，经费减少。</w:t>
      </w:r>
    </w:p>
    <w:p>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7"/>
        <w:overflowPunct w:val="0"/>
        <w:autoSpaceDE/>
        <w:autoSpaceDN/>
        <w:spacing w:line="600" w:lineRule="exact"/>
        <w:ind w:firstLine="640" w:firstLineChars="200"/>
        <w:jc w:val="both"/>
        <w:rPr>
          <w:rFonts w:hint="eastAsia" w:ascii="Times New Roman" w:hAnsi="Times New Roman" w:eastAsia="仿宋_GB2312" w:cs="Times New Roman"/>
          <w:color w:val="FF0000"/>
          <w:sz w:val="32"/>
          <w:szCs w:val="32"/>
          <w:lang w:eastAsia="zh-CN"/>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1842.53</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1307.41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70.96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364.43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19.78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支出63.99万元，占3.47%；住房保障支出（类）支出106.7万元，占5.79%。</w:t>
      </w:r>
    </w:p>
    <w:p>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年度财政拨款支出年初预算数为</w:t>
      </w:r>
      <w:r>
        <w:rPr>
          <w:rFonts w:hint="eastAsia" w:ascii="仿宋_GB2312" w:hAnsi="仿宋" w:eastAsia="仿宋_GB2312" w:cs="Times New Roman"/>
          <w:color w:val="auto"/>
          <w:sz w:val="32"/>
          <w:szCs w:val="32"/>
          <w:highlight w:val="none"/>
          <w:lang w:val="en-US" w:eastAsia="zh-CN"/>
        </w:rPr>
        <w:t>1581.12</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1842.53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116.53</w:t>
      </w:r>
      <w:r>
        <w:rPr>
          <w:rFonts w:ascii="Times New Roman" w:hAnsi="Times New Roman" w:eastAsia="仿宋_GB2312" w:cs="Times New Roman"/>
          <w:sz w:val="32"/>
          <w:szCs w:val="32"/>
        </w:rPr>
        <w:t>%，其中：</w:t>
      </w:r>
    </w:p>
    <w:p>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仿宋_GB2312" w:hAnsi="仿宋" w:eastAsia="仿宋_GB2312" w:cs="Times New Roman"/>
          <w:sz w:val="32"/>
          <w:szCs w:val="32"/>
          <w:lang w:val="en-US" w:eastAsia="zh-CN"/>
        </w:rPr>
        <w:t>市场监督管理事务</w:t>
      </w:r>
      <w:r>
        <w:rPr>
          <w:rFonts w:ascii="Times New Roman" w:hAnsi="Times New Roman" w:eastAsia="仿宋_GB2312" w:cs="Times New Roman"/>
          <w:sz w:val="32"/>
          <w:szCs w:val="32"/>
        </w:rPr>
        <w:t>（款）</w:t>
      </w:r>
      <w:r>
        <w:rPr>
          <w:rFonts w:hint="eastAsia" w:ascii="仿宋_GB2312" w:hAnsi="仿宋" w:eastAsia="仿宋_GB2312" w:cs="Times New Roman"/>
          <w:sz w:val="32"/>
          <w:szCs w:val="32"/>
          <w:lang w:val="en-US" w:eastAsia="zh-CN"/>
        </w:rPr>
        <w:t>行政运行</w:t>
      </w:r>
      <w:r>
        <w:rPr>
          <w:rFonts w:ascii="Times New Roman" w:hAnsi="Times New Roman" w:eastAsia="仿宋_GB2312" w:cs="Times New Roman"/>
          <w:sz w:val="32"/>
          <w:szCs w:val="32"/>
        </w:rPr>
        <w:t>（项）。</w:t>
      </w:r>
    </w:p>
    <w:p>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1272.98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1213.68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95.34</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人员退休，车补、工资等支出减少。</w:t>
      </w:r>
    </w:p>
    <w:p>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仿宋_GB2312" w:hAnsi="仿宋" w:eastAsia="仿宋_GB2312" w:cs="Times New Roman"/>
          <w:sz w:val="32"/>
          <w:szCs w:val="32"/>
          <w:lang w:val="en-US" w:eastAsia="zh-CN"/>
        </w:rPr>
        <w:t>市场监督管理事务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其他市场监督管理事务</w:t>
      </w:r>
      <w:r>
        <w:rPr>
          <w:rFonts w:ascii="Times New Roman" w:hAnsi="Times New Roman" w:eastAsia="仿宋_GB2312" w:cs="Times New Roman"/>
          <w:sz w:val="32"/>
          <w:szCs w:val="32"/>
        </w:rPr>
        <w:t>（项）。</w:t>
      </w:r>
    </w:p>
    <w:p>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51.2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71.72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140.08</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2025年下达中央食品、药品专项资金、市场监管专项资金等系列专项资金用于日常市场监管，支出费用增加。</w:t>
      </w:r>
    </w:p>
    <w:p>
      <w:pPr>
        <w:pStyle w:val="17"/>
        <w:numPr>
          <w:ilvl w:val="0"/>
          <w:numId w:val="4"/>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一般公共服务（类）</w:t>
      </w:r>
      <w:r>
        <w:rPr>
          <w:rFonts w:hint="eastAsia" w:ascii="仿宋_GB2312" w:hAnsi="仿宋" w:eastAsia="仿宋_GB2312" w:cs="Times New Roman"/>
          <w:sz w:val="32"/>
          <w:szCs w:val="32"/>
          <w:lang w:val="en-US" w:eastAsia="zh-CN"/>
        </w:rPr>
        <w:t>市场监督管理事务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食品安全监管</w:t>
      </w:r>
      <w:r>
        <w:rPr>
          <w:rFonts w:hint="eastAsia" w:ascii="Times New Roman" w:hAnsi="Times New Roman" w:eastAsia="仿宋_GB2312" w:cs="Times New Roman"/>
          <w:sz w:val="32"/>
          <w:szCs w:val="32"/>
          <w:lang w:val="en-US" w:eastAsia="zh-CN"/>
        </w:rPr>
        <w:t>（项）</w:t>
      </w:r>
    </w:p>
    <w:p>
      <w:pPr>
        <w:pStyle w:val="11"/>
        <w:keepNext w:val="0"/>
        <w:keepLines w:val="0"/>
        <w:pageBreakBefore w:val="0"/>
        <w:widowControl w:val="0"/>
        <w:kinsoku/>
        <w:wordWrap/>
        <w:overflowPunct/>
        <w:topLinePunct w:val="0"/>
        <w:bidi w:val="0"/>
        <w:adjustRightInd w:val="0"/>
        <w:snapToGrid w:val="0"/>
        <w:spacing w:line="520" w:lineRule="exact"/>
        <w:ind w:firstLine="640" w:firstLineChars="200"/>
        <w:textAlignment w:val="auto"/>
        <w:outlineLvl w:val="9"/>
        <w:rPr>
          <w:rFonts w:hint="eastAsia" w:ascii="仿宋_GB2312" w:hAnsi="仿宋" w:eastAsia="仿宋_GB2312" w:cs="Times New Roman"/>
          <w:color w:val="auto"/>
          <w:kern w:val="2"/>
          <w:sz w:val="32"/>
          <w:szCs w:val="32"/>
          <w:highlight w:val="none"/>
          <w:lang w:val="en-US" w:eastAsia="zh-CN" w:bidi="ar-SA"/>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22</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年初预算未安排，为</w:t>
      </w:r>
      <w:r>
        <w:rPr>
          <w:rFonts w:hint="eastAsia" w:ascii="Times New Roman" w:hAnsi="Times New Roman" w:eastAsia="仿宋_GB2312" w:cs="Times New Roman"/>
          <w:sz w:val="32"/>
          <w:szCs w:val="32"/>
          <w:highlight w:val="none"/>
          <w:lang w:val="en-US" w:eastAsia="zh-CN"/>
        </w:rPr>
        <w:t>省级安排的专项资金，</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lang w:eastAsia="zh-CN"/>
        </w:rPr>
        <w:t>年初预算未安排，</w:t>
      </w:r>
      <w:r>
        <w:rPr>
          <w:rFonts w:hint="eastAsia" w:ascii="Times New Roman" w:hAnsi="Times New Roman" w:eastAsia="仿宋_GB2312" w:cs="Times New Roman"/>
          <w:sz w:val="32"/>
          <w:szCs w:val="32"/>
          <w:highlight w:val="none"/>
          <w:lang w:val="en-US" w:eastAsia="zh-CN"/>
        </w:rPr>
        <w:t>为</w:t>
      </w:r>
      <w:r>
        <w:rPr>
          <w:rFonts w:hint="eastAsia" w:ascii="仿宋_GB2312" w:hAnsi="仿宋" w:eastAsia="仿宋_GB2312" w:cs="Times New Roman"/>
          <w:color w:val="auto"/>
          <w:kern w:val="2"/>
          <w:sz w:val="32"/>
          <w:szCs w:val="32"/>
          <w:highlight w:val="none"/>
          <w:lang w:val="en-US" w:eastAsia="zh-CN" w:bidi="ar-SA"/>
        </w:rPr>
        <w:t>2024年中央食品监管补助资金,主要省级专项资金，用于食品监管相关开支。</w:t>
      </w:r>
    </w:p>
    <w:p>
      <w:pPr>
        <w:pStyle w:val="17"/>
        <w:numPr>
          <w:ilvl w:val="0"/>
          <w:numId w:val="4"/>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社会保障和就业支出（类）行政事业单位养老支出（款）</w:t>
      </w:r>
      <w:r>
        <w:rPr>
          <w:rFonts w:hint="eastAsia" w:ascii="Times New Roman" w:hAnsi="Times New Roman" w:eastAsia="仿宋_GB2312" w:cs="Times New Roman"/>
          <w:sz w:val="32"/>
          <w:szCs w:val="32"/>
        </w:rPr>
        <w:t>其他行政事业单位养老支出</w:t>
      </w:r>
      <w:r>
        <w:rPr>
          <w:rFonts w:hint="eastAsia" w:ascii="Times New Roman" w:hAnsi="Times New Roman" w:eastAsia="仿宋_GB2312" w:cs="Times New Roman"/>
          <w:sz w:val="32"/>
          <w:szCs w:val="32"/>
          <w:lang w:val="en-US" w:eastAsia="zh-CN"/>
        </w:rPr>
        <w:t>（项）</w:t>
      </w:r>
    </w:p>
    <w:p>
      <w:pPr>
        <w:pStyle w:val="17"/>
        <w:numPr>
          <w:ilvl w:val="0"/>
          <w:numId w:val="0"/>
        </w:numPr>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cs="Times New Roman"/>
          <w:sz w:val="32"/>
          <w:szCs w:val="32"/>
          <w:lang w:val="en-US" w:eastAsia="zh-CN"/>
        </w:rPr>
        <w:t>年初预算为0万元，支出决算为186.12万元，</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rPr>
        <w:t>年初预算数的主要原因是：</w:t>
      </w:r>
      <w:r>
        <w:rPr>
          <w:rFonts w:hint="eastAsia" w:ascii="Times New Roman" w:hAnsi="Times New Roman" w:eastAsia="仿宋_GB2312"/>
          <w:sz w:val="32"/>
          <w:szCs w:val="32"/>
        </w:rPr>
        <w:t>依据政策和当年实际情况追加经费</w:t>
      </w:r>
      <w:r>
        <w:rPr>
          <w:rFonts w:hint="eastAsia" w:ascii="Times New Roman" w:hAnsi="Times New Roman" w:eastAsia="仿宋_GB2312"/>
          <w:sz w:val="32"/>
          <w:szCs w:val="32"/>
          <w:lang w:eastAsia="zh-CN"/>
        </w:rPr>
        <w:t>。</w:t>
      </w:r>
    </w:p>
    <w:p>
      <w:pPr>
        <w:pStyle w:val="17"/>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sz w:val="32"/>
          <w:szCs w:val="32"/>
          <w:lang w:val="en-US" w:eastAsia="zh-CN"/>
        </w:rPr>
        <w:t>5、</w:t>
      </w:r>
      <w:r>
        <w:rPr>
          <w:rFonts w:hint="eastAsia" w:ascii="Times New Roman" w:hAnsi="Times New Roman" w:eastAsia="仿宋_GB2312" w:cs="Times New Roman"/>
          <w:sz w:val="32"/>
          <w:szCs w:val="32"/>
          <w:lang w:val="en-US" w:eastAsia="zh-CN"/>
        </w:rPr>
        <w:t>社会保障和就业支出（类）行政事业单位养老支出（款）机关事业单位基本养老保险缴费支出（项）</w:t>
      </w:r>
    </w:p>
    <w:p>
      <w:pPr>
        <w:pStyle w:val="17"/>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年初预算为135.81万元，支出决算为125.12万元，完成年初预算的92.13%，决算数小于年初预算数的主要原因是：人员退休，养老保险支出减少。</w:t>
      </w:r>
    </w:p>
    <w:p>
      <w:pPr>
        <w:pStyle w:val="17"/>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6、社会保障和就业支出（类）抚恤（款）死亡抚恤（项）</w:t>
      </w:r>
    </w:p>
    <w:p>
      <w:pPr>
        <w:pStyle w:val="17"/>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53.19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年初预算未安排，为年中追加安排的</w:t>
      </w:r>
      <w:r>
        <w:rPr>
          <w:rFonts w:hint="eastAsia" w:ascii="Times New Roman" w:hAnsi="Times New Roman" w:eastAsia="仿宋_GB2312" w:cs="Times New Roman"/>
          <w:sz w:val="32"/>
          <w:szCs w:val="32"/>
          <w:lang w:val="en-US" w:eastAsia="zh-CN"/>
        </w:rPr>
        <w:t>资金，</w:t>
      </w:r>
      <w:r>
        <w:rPr>
          <w:rFonts w:ascii="Times New Roman" w:hAnsi="Times New Roman" w:eastAsia="仿宋_GB2312" w:cs="Times New Roman"/>
          <w:sz w:val="32"/>
          <w:szCs w:val="32"/>
        </w:rPr>
        <w:t>主要原因是：</w:t>
      </w:r>
      <w:r>
        <w:rPr>
          <w:rFonts w:hint="eastAsia" w:ascii="Times New Roman" w:hAnsi="Times New Roman" w:eastAsia="仿宋_GB2312"/>
          <w:sz w:val="32"/>
          <w:szCs w:val="32"/>
        </w:rPr>
        <w:t>依据政策和当年实际情况追加经费。</w:t>
      </w:r>
    </w:p>
    <w:p>
      <w:pPr>
        <w:pStyle w:val="17"/>
        <w:numPr>
          <w:ilvl w:val="0"/>
          <w:numId w:val="0"/>
        </w:numPr>
        <w:overflowPunct w:val="0"/>
        <w:autoSpaceDE/>
        <w:autoSpaceDN/>
        <w:spacing w:line="600" w:lineRule="exact"/>
        <w:ind w:firstLine="640" w:firstLineChars="200"/>
        <w:jc w:val="both"/>
        <w:rPr>
          <w:rFonts w:hint="eastAsia" w:ascii="仿宋_GB2312" w:hAnsi="仿宋" w:eastAsia="仿宋_GB2312" w:cs="Times New Roman"/>
          <w:sz w:val="32"/>
          <w:szCs w:val="32"/>
          <w:lang w:val="en-US" w:eastAsia="zh-CN"/>
        </w:rPr>
      </w:pPr>
    </w:p>
    <w:p>
      <w:pPr>
        <w:pStyle w:val="17"/>
        <w:numPr>
          <w:ilvl w:val="0"/>
          <w:numId w:val="0"/>
        </w:numPr>
        <w:overflowPunct w:val="0"/>
        <w:autoSpaceDE/>
        <w:autoSpaceDN/>
        <w:spacing w:line="600" w:lineRule="exact"/>
        <w:ind w:firstLine="640" w:firstLineChars="200"/>
        <w:jc w:val="both"/>
        <w:rPr>
          <w:rFonts w:hint="eastAsia" w:ascii="仿宋_GB2312" w:hAnsi="仿宋" w:eastAsia="仿宋_GB2312" w:cs="Times New Roman"/>
          <w:sz w:val="32"/>
          <w:szCs w:val="32"/>
          <w:lang w:val="en-US" w:eastAsia="zh-CN"/>
        </w:rPr>
      </w:pPr>
    </w:p>
    <w:p>
      <w:pPr>
        <w:pStyle w:val="17"/>
        <w:numPr>
          <w:ilvl w:val="0"/>
          <w:numId w:val="0"/>
        </w:numPr>
        <w:overflowPunct w:val="0"/>
        <w:autoSpaceDE/>
        <w:autoSpaceDN/>
        <w:spacing w:line="600" w:lineRule="exact"/>
        <w:ind w:firstLine="640" w:firstLineChars="200"/>
        <w:jc w:val="both"/>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7、卫生健康支出（类）行政事业单位医疗（款）行政单位医疗（项）</w:t>
      </w:r>
    </w:p>
    <w:p>
      <w:pPr>
        <w:pStyle w:val="17"/>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57.51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52.52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91.32</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人员退休，医疗保险支出减少。</w:t>
      </w:r>
    </w:p>
    <w:p>
      <w:pPr>
        <w:pStyle w:val="17"/>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8、卫生健康支出（类）行政事业单位医疗（款）公务员医疗补助（项）</w:t>
      </w:r>
    </w:p>
    <w:p>
      <w:pPr>
        <w:pStyle w:val="17"/>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11.47</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sz w:val="32"/>
          <w:szCs w:val="32"/>
        </w:rPr>
        <w:t>依据相关政策和当年实际追加公务员医疗费二次报销经费</w:t>
      </w:r>
      <w:r>
        <w:rPr>
          <w:rFonts w:hint="eastAsia" w:ascii="Times New Roman" w:hAnsi="Times New Roman" w:eastAsia="仿宋_GB2312" w:cs="Times New Roman"/>
          <w:sz w:val="32"/>
          <w:szCs w:val="32"/>
          <w:lang w:val="en-US" w:eastAsia="zh-CN"/>
        </w:rPr>
        <w:t>。</w:t>
      </w:r>
    </w:p>
    <w:p>
      <w:pPr>
        <w:pStyle w:val="17"/>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9、住房保障支出（类）住房改革支出（款）住房公积金（项）</w:t>
      </w:r>
    </w:p>
    <w:p>
      <w:pPr>
        <w:pStyle w:val="2"/>
        <w:numPr>
          <w:ilvl w:val="0"/>
          <w:numId w:val="0"/>
        </w:numPr>
        <w:ind w:firstLine="640" w:firstLineChars="200"/>
      </w:pPr>
      <w:r>
        <w:rPr>
          <w:rFonts w:hint="eastAsia" w:ascii="仿宋_GB2312" w:hAnsi="仿宋" w:eastAsia="仿宋_GB2312" w:cs="Times New Roman"/>
          <w:sz w:val="32"/>
          <w:szCs w:val="32"/>
          <w:lang w:val="en-US" w:eastAsia="zh-CN"/>
        </w:rPr>
        <w:t>全年预算为114.82万元，支出决算为106.7万元，完成全年预算的92.93%，决算数小于全年预算数的主要原因是：人员退休，住房公积金支出减少。</w:t>
      </w:r>
    </w:p>
    <w:p>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1737.33</w:t>
      </w:r>
      <w:r>
        <w:rPr>
          <w:rFonts w:ascii="Times New Roman" w:hAnsi="Times New Roman" w:eastAsia="仿宋_GB2312" w:cs="Times New Roman"/>
          <w:sz w:val="32"/>
          <w:szCs w:val="32"/>
        </w:rPr>
        <w:t>万元，其中：</w:t>
      </w:r>
    </w:p>
    <w:p>
      <w:pPr>
        <w:pStyle w:val="17"/>
        <w:overflowPunct w:val="0"/>
        <w:autoSpaceDE/>
        <w:autoSpaceDN/>
        <w:spacing w:line="600" w:lineRule="exact"/>
        <w:ind w:firstLine="640" w:firstLineChars="200"/>
        <w:jc w:val="both"/>
        <w:rPr>
          <w:rFonts w:hint="eastAsia" w:ascii="Times New Roman" w:hAnsi="Times New Roman" w:eastAsia="仿宋_GB2312"/>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1486.9</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85.59</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主要包括基本工资、津贴补贴、奖金、绩效工资、机关事业单位基本养老保险缴费、职工基本医疗保险缴费、其他社会保障缴费、住房公积金、其他对个人和家庭的补助等。</w:t>
      </w:r>
    </w:p>
    <w:p>
      <w:pPr>
        <w:pStyle w:val="17"/>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仿宋_GB2312" w:cs="Times New Roman"/>
          <w:color w:val="FF0000"/>
          <w:sz w:val="32"/>
          <w:szCs w:val="32"/>
          <w:lang w:val="en-US"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250.4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14.41</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主要包括办公费、印刷费、水电费、邮电费、</w:t>
      </w:r>
      <w:r>
        <w:rPr>
          <w:rFonts w:hint="eastAsia" w:ascii="Times New Roman" w:hAnsi="Times New Roman" w:eastAsia="仿宋_GB2312"/>
          <w:sz w:val="32"/>
          <w:szCs w:val="32"/>
          <w:lang w:val="en-US" w:eastAsia="zh-CN"/>
        </w:rPr>
        <w:t>培训费、</w:t>
      </w:r>
      <w:r>
        <w:rPr>
          <w:rFonts w:hint="eastAsia" w:ascii="Times New Roman" w:hAnsi="Times New Roman" w:eastAsia="仿宋_GB2312"/>
          <w:sz w:val="32"/>
          <w:szCs w:val="32"/>
        </w:rPr>
        <w:t>物业管理费、维修（护）费、租赁费、公务接待费、劳务费、委托业务费、工会经费、福利费、公车运行维护费、其他交通费用、其他商品和服务支出等。</w:t>
      </w:r>
    </w:p>
    <w:p>
      <w:pPr>
        <w:pStyle w:val="17"/>
        <w:numPr>
          <w:ilvl w:val="0"/>
          <w:numId w:val="0"/>
        </w:numPr>
        <w:overflowPunct w:val="0"/>
        <w:autoSpaceDE/>
        <w:autoSpaceDN/>
        <w:spacing w:line="600" w:lineRule="exact"/>
        <w:ind w:leftChars="200" w:firstLine="320" w:firstLineChars="1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七、</w:t>
      </w:r>
      <w:r>
        <w:rPr>
          <w:rFonts w:ascii="Times New Roman" w:hAnsi="Times New Roman" w:cs="Times New Roman"/>
          <w:bCs/>
          <w:sz w:val="32"/>
          <w:szCs w:val="32"/>
        </w:rPr>
        <w:t>财政拨款“三公”经费支出决算情况说明</w:t>
      </w:r>
    </w:p>
    <w:p>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snapToGrid w:val="0"/>
        <w:spacing w:line="520" w:lineRule="exact"/>
        <w:ind w:firstLine="640" w:firstLineChars="200"/>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23.34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71.82</w:t>
      </w:r>
      <w:r>
        <w:rPr>
          <w:rFonts w:ascii="Times New Roman" w:hAnsi="Times New Roman" w:eastAsia="仿宋_GB2312" w:cs="Times New Roman"/>
          <w:sz w:val="32"/>
          <w:szCs w:val="32"/>
        </w:rPr>
        <w:t>%；与上年相比</w:t>
      </w:r>
      <w:r>
        <w:rPr>
          <w:rFonts w:ascii="仿宋_GB2312" w:eastAsia="仿宋_GB2312" w:cs="仿宋_GB2312"/>
          <w:sz w:val="32"/>
          <w:szCs w:val="32"/>
          <w:highlight w:val="none"/>
          <w:lang w:val="en-US" w:eastAsia="zh-CN" w:bidi="ar"/>
        </w:rPr>
        <w:t>减少</w:t>
      </w:r>
      <w:r>
        <w:rPr>
          <w:rFonts w:hint="eastAsia" w:ascii="仿宋_GB2312" w:eastAsia="仿宋_GB2312" w:cs="仿宋_GB2312"/>
          <w:sz w:val="32"/>
          <w:szCs w:val="32"/>
          <w:highlight w:val="none"/>
          <w:lang w:val="en-US" w:eastAsia="zh-CN" w:bidi="ar"/>
        </w:rPr>
        <w:t>0.81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3.47</w:t>
      </w:r>
      <w:r>
        <w:rPr>
          <w:rFonts w:ascii="Times New Roman" w:hAnsi="Times New Roman" w:eastAsia="仿宋_GB2312" w:cs="Times New Roman"/>
          <w:sz w:val="32"/>
          <w:szCs w:val="32"/>
        </w:rPr>
        <w:t>%。决算数小于预算数的主要原因是</w:t>
      </w:r>
      <w:r>
        <w:rPr>
          <w:rFonts w:hint="eastAsia" w:ascii="仿宋_GB2312" w:hAnsi="仿宋_GB2312" w:eastAsia="仿宋_GB2312"/>
          <w:sz w:val="32"/>
          <w:highlight w:val="none"/>
          <w:lang w:val="en-US" w:eastAsia="zh-CN" w:bidi="ar"/>
        </w:rPr>
        <w:t>严</w:t>
      </w:r>
      <w:r>
        <w:rPr>
          <w:rFonts w:hint="eastAsia" w:ascii="仿宋_GB2312" w:hAnsi="仿宋_GB2312" w:eastAsia="仿宋_GB2312"/>
          <w:sz w:val="32"/>
          <w:lang w:val="en-US" w:eastAsia="zh-CN" w:bidi="ar"/>
        </w:rPr>
        <w:t>格贯彻落实厉行节约反对浪费精神，加强公务接待管理，根据上级文件及相关要求，未产生接待费</w:t>
      </w:r>
      <w:r>
        <w:rPr>
          <w:rFonts w:ascii="Times New Roman" w:hAnsi="Times New Roman" w:eastAsia="仿宋_GB2312" w:cs="Times New Roman"/>
          <w:sz w:val="32"/>
          <w:szCs w:val="32"/>
        </w:rPr>
        <w:t>。决算数小于上年数的主要原因是</w:t>
      </w:r>
      <w:r>
        <w:rPr>
          <w:rFonts w:hint="eastAsia" w:ascii="仿宋_GB2312" w:hAnsi="仿宋_GB2312" w:eastAsia="仿宋_GB2312"/>
          <w:sz w:val="32"/>
          <w:highlight w:val="none"/>
          <w:lang w:val="en-US" w:eastAsia="zh-CN" w:bidi="ar"/>
        </w:rPr>
        <w:t>严</w:t>
      </w:r>
      <w:r>
        <w:rPr>
          <w:rFonts w:hint="eastAsia" w:ascii="仿宋_GB2312" w:hAnsi="仿宋_GB2312" w:eastAsia="仿宋_GB2312"/>
          <w:sz w:val="32"/>
          <w:lang w:val="en-US" w:eastAsia="zh-CN" w:bidi="ar"/>
        </w:rPr>
        <w:t>格贯彻落实厉行节约反对浪费精神，加强公务接待管理，根据上级文件及相关要求，未产生接待费；</w:t>
      </w:r>
      <w:r>
        <w:rPr>
          <w:rFonts w:ascii="Times New Roman" w:hAnsi="Times New Roman" w:eastAsia="仿宋_GB2312" w:cs="Times New Roman"/>
          <w:sz w:val="32"/>
          <w:szCs w:val="32"/>
        </w:rPr>
        <w:t>公务用车购置费及运行维护费支出</w:t>
      </w:r>
      <w:r>
        <w:rPr>
          <w:rFonts w:hint="eastAsia" w:ascii="Times New Roman" w:hAnsi="Times New Roman" w:eastAsia="仿宋_GB2312"/>
          <w:sz w:val="32"/>
          <w:szCs w:val="32"/>
        </w:rPr>
        <w:t>严格执行中央八项规定</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减少</w:t>
      </w:r>
      <w:r>
        <w:rPr>
          <w:rFonts w:hint="eastAsia" w:ascii="Times New Roman" w:hAnsi="Times New Roman" w:eastAsia="仿宋_GB2312"/>
          <w:sz w:val="32"/>
          <w:szCs w:val="32"/>
          <w:lang w:val="en-US" w:eastAsia="zh-CN"/>
        </w:rPr>
        <w:t>费用支出</w:t>
      </w:r>
      <w:r>
        <w:rPr>
          <w:rFonts w:ascii="Times New Roman" w:hAnsi="Times New Roman" w:eastAsia="仿宋_GB2312" w:cs="Times New Roman"/>
          <w:sz w:val="32"/>
          <w:szCs w:val="32"/>
        </w:rPr>
        <w:t>。</w:t>
      </w:r>
    </w:p>
    <w:p>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2025年度我单位未开展因公出国（境）活动。</w:t>
      </w:r>
    </w:p>
    <w:p>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23.34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77.8</w:t>
      </w:r>
      <w:r>
        <w:rPr>
          <w:rFonts w:ascii="Times New Roman" w:hAnsi="Times New Roman" w:eastAsia="仿宋_GB2312" w:cs="Times New Roman"/>
          <w:sz w:val="32"/>
          <w:szCs w:val="32"/>
        </w:rPr>
        <w:t>%；与上年相比增加</w:t>
      </w:r>
      <w:r>
        <w:rPr>
          <w:rFonts w:hint="eastAsia" w:ascii="仿宋_GB2312" w:eastAsia="仿宋_GB2312" w:cs="仿宋_GB2312"/>
          <w:sz w:val="32"/>
          <w:szCs w:val="32"/>
          <w:highlight w:val="none"/>
          <w:lang w:val="en-US" w:eastAsia="zh-CN" w:bidi="ar"/>
        </w:rPr>
        <w:t>0.45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1.97</w:t>
      </w:r>
      <w:r>
        <w:rPr>
          <w:rFonts w:ascii="Times New Roman" w:hAnsi="Times New Roman" w:eastAsia="仿宋_GB2312" w:cs="Times New Roman"/>
          <w:sz w:val="32"/>
          <w:szCs w:val="32"/>
        </w:rPr>
        <w:t>%。其中：</w:t>
      </w:r>
    </w:p>
    <w:p>
      <w:pPr>
        <w:pStyle w:val="17"/>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万元，与上年一致。</w:t>
      </w:r>
      <w:r>
        <w:rPr>
          <w:rFonts w:hint="eastAsia" w:ascii="Times New Roman" w:hAnsi="Times New Roman" w:eastAsia="仿宋_GB2312"/>
          <w:sz w:val="32"/>
          <w:szCs w:val="32"/>
          <w:lang w:val="en-US" w:eastAsia="zh-CN"/>
        </w:rPr>
        <w:t>本单位无更新公务用车。</w:t>
      </w:r>
    </w:p>
    <w:p>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23.34</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val="en-US" w:eastAsia="zh-CN"/>
        </w:rPr>
        <w:t>公务用车油费、车辆保险、车检、过路费、停车费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77.8</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0.45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1.97</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sz w:val="32"/>
          <w:szCs w:val="32"/>
        </w:rPr>
        <w:t>严格执行中央八项规定</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减少</w:t>
      </w:r>
      <w:r>
        <w:rPr>
          <w:rFonts w:hint="eastAsia" w:ascii="Times New Roman" w:hAnsi="Times New Roman" w:eastAsia="仿宋_GB2312"/>
          <w:sz w:val="32"/>
          <w:szCs w:val="32"/>
          <w:lang w:val="en-US" w:eastAsia="zh-CN"/>
        </w:rPr>
        <w:t>费用支出</w:t>
      </w:r>
      <w:r>
        <w:rPr>
          <w:rFonts w:ascii="Times New Roman" w:hAnsi="Times New Roman" w:eastAsia="仿宋_GB2312" w:cs="Times New Roman"/>
          <w:sz w:val="32"/>
          <w:szCs w:val="32"/>
        </w:rPr>
        <w:t>。决算数大于上年数的主要原因是</w:t>
      </w:r>
      <w:r>
        <w:rPr>
          <w:rFonts w:hint="eastAsia" w:ascii="仿宋_GB2312" w:hAnsi="仿宋" w:eastAsia="仿宋_GB2312" w:cs="仿宋_GB2312"/>
          <w:sz w:val="32"/>
          <w:szCs w:val="32"/>
          <w:highlight w:val="none"/>
          <w:lang w:val="en-US" w:eastAsia="zh-CN" w:bidi="ar"/>
        </w:rPr>
        <w:t>2025年外出监管、执法较多加油油量增多、车辆老旧维修费增加，但均在预算范围内</w:t>
      </w:r>
      <w:r>
        <w:rPr>
          <w:rFonts w:ascii="Times New Roman" w:hAnsi="Times New Roman" w:eastAsia="仿宋_GB2312" w:cs="Times New Roman"/>
          <w:sz w:val="32"/>
          <w:szCs w:val="32"/>
        </w:rPr>
        <w:t>。截止2024年12月31日，我单位开支财政拨款的公务用车保有量为</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辆。</w:t>
      </w:r>
    </w:p>
    <w:p>
      <w:pPr>
        <w:numPr>
          <w:ilvl w:val="0"/>
          <w:numId w:val="0"/>
        </w:numPr>
        <w:snapToGrid w:val="0"/>
        <w:spacing w:line="52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仿宋_GB2312" w:eastAsia="仿宋_GB2312" w:cs="仿宋_GB2312"/>
          <w:sz w:val="32"/>
          <w:szCs w:val="32"/>
          <w:highlight w:val="none"/>
          <w:lang w:val="en-US" w:eastAsia="zh-CN" w:bidi="ar"/>
        </w:rPr>
        <w:t>1.26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仿宋_GB2312" w:hAnsi="仿宋_GB2312" w:eastAsia="仿宋_GB2312"/>
          <w:sz w:val="32"/>
          <w:highlight w:val="none"/>
          <w:lang w:val="en-US" w:eastAsia="zh-CN" w:bidi="ar"/>
        </w:rPr>
        <w:t>严</w:t>
      </w:r>
      <w:r>
        <w:rPr>
          <w:rFonts w:hint="eastAsia" w:ascii="仿宋_GB2312" w:hAnsi="仿宋_GB2312" w:eastAsia="仿宋_GB2312"/>
          <w:sz w:val="32"/>
          <w:lang w:val="en-US" w:eastAsia="zh-CN" w:bidi="ar"/>
        </w:rPr>
        <w:t>格贯彻落实厉行节约反对浪费精神，加强公务接待管理，根据上级文件及相关要求，未产生接待费</w:t>
      </w:r>
      <w:r>
        <w:rPr>
          <w:rFonts w:ascii="Times New Roman" w:hAnsi="Times New Roman" w:eastAsia="仿宋_GB2312" w:cs="Times New Roman"/>
          <w:sz w:val="32"/>
          <w:szCs w:val="32"/>
        </w:rPr>
        <w:t>。决算数小于上年数的主要原因是</w:t>
      </w:r>
      <w:r>
        <w:rPr>
          <w:rFonts w:hint="eastAsia" w:ascii="仿宋_GB2312" w:hAnsi="仿宋_GB2312" w:eastAsia="仿宋_GB2312"/>
          <w:sz w:val="32"/>
          <w:highlight w:val="none"/>
          <w:lang w:val="en-US" w:eastAsia="zh-CN" w:bidi="ar"/>
        </w:rPr>
        <w:t>严</w:t>
      </w:r>
      <w:r>
        <w:rPr>
          <w:rFonts w:hint="eastAsia" w:ascii="仿宋_GB2312" w:hAnsi="仿宋_GB2312" w:eastAsia="仿宋_GB2312"/>
          <w:sz w:val="32"/>
          <w:lang w:val="en-US" w:eastAsia="zh-CN" w:bidi="ar"/>
        </w:rPr>
        <w:t>格贯彻落实厉行节约反对浪费精神，加强公务接待管理，根据上级文件及相关要求，未产生接待费</w:t>
      </w:r>
      <w:r>
        <w:rPr>
          <w:rFonts w:ascii="Times New Roman" w:hAnsi="Times New Roman" w:eastAsia="仿宋_GB2312" w:cs="Times New Roman"/>
          <w:sz w:val="32"/>
          <w:szCs w:val="32"/>
        </w:rPr>
        <w:t>。</w:t>
      </w:r>
    </w:p>
    <w:p>
      <w:pPr>
        <w:numPr>
          <w:ilvl w:val="0"/>
          <w:numId w:val="0"/>
        </w:numPr>
        <w:snapToGrid w:val="0"/>
        <w:spacing w:line="52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sz w:val="32"/>
          <w:szCs w:val="32"/>
          <w:lang w:val="en-US" w:eastAsia="zh-CN"/>
        </w:rPr>
        <w:t>本单位未</w:t>
      </w:r>
      <w:r>
        <w:rPr>
          <w:rFonts w:ascii="Times New Roman" w:hAnsi="Times New Roman" w:eastAsia="仿宋_GB2312" w:cs="Times New Roman"/>
          <w:sz w:val="32"/>
          <w:szCs w:val="32"/>
        </w:rPr>
        <w:t>发生的接待支出。</w:t>
      </w:r>
    </w:p>
    <w:p>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7"/>
        <w:overflowPunct w:val="0"/>
        <w:autoSpaceDE/>
        <w:autoSpaceDN/>
        <w:spacing w:line="600" w:lineRule="exact"/>
        <w:ind w:firstLine="640" w:firstLineChars="200"/>
        <w:jc w:val="both"/>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202</w:t>
      </w:r>
      <w:r>
        <w:rPr>
          <w:rFonts w:hint="default" w:ascii="Times New Roman" w:hAnsi="Times New Roman" w:eastAsia="仿宋_GB2312" w:cs="Times New Roman"/>
          <w:color w:val="auto"/>
          <w:kern w:val="2"/>
          <w:sz w:val="32"/>
          <w:szCs w:val="32"/>
          <w:lang w:val="en-US" w:eastAsia="zh-CN" w:bidi="ar-SA"/>
        </w:rPr>
        <w:t>5</w:t>
      </w:r>
      <w:r>
        <w:rPr>
          <w:rFonts w:hint="eastAsia" w:ascii="Times New Roman" w:hAnsi="Times New Roman" w:eastAsia="仿宋_GB2312" w:cs="Times New Roman"/>
          <w:color w:val="auto"/>
          <w:kern w:val="2"/>
          <w:sz w:val="32"/>
          <w:szCs w:val="32"/>
          <w:lang w:val="en-US" w:eastAsia="zh-CN" w:bidi="ar-SA"/>
        </w:rPr>
        <w:t>年度本单位无政府性基金收支。</w:t>
      </w:r>
    </w:p>
    <w:p>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7"/>
        <w:overflowPunct w:val="0"/>
        <w:autoSpaceDE/>
        <w:autoSpaceDN/>
        <w:spacing w:line="600" w:lineRule="exact"/>
        <w:ind w:firstLine="640" w:firstLineChars="200"/>
        <w:jc w:val="both"/>
        <w:rPr>
          <w:rFonts w:hint="eastAsia" w:ascii="Times New Roman" w:hAnsi="Times New Roman" w:eastAsia="仿宋_GB2312" w:cs="Times New Roman"/>
          <w:color w:val="FF0000"/>
          <w:sz w:val="32"/>
          <w:szCs w:val="32"/>
          <w:lang w:eastAsia="zh-CN"/>
        </w:rPr>
      </w:pPr>
      <w:r>
        <w:rPr>
          <w:rFonts w:ascii="Times New Roman" w:hAnsi="Times New Roman" w:eastAsia="仿宋_GB2312" w:cs="Times New Roman"/>
          <w:sz w:val="32"/>
          <w:szCs w:val="32"/>
        </w:rPr>
        <w:t>本部门202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250.4</w:t>
      </w:r>
      <w:r>
        <w:rPr>
          <w:rFonts w:ascii="Times New Roman" w:hAnsi="Times New Roman" w:eastAsia="仿宋_GB2312" w:cs="Times New Roman"/>
          <w:sz w:val="32"/>
          <w:szCs w:val="32"/>
        </w:rPr>
        <w:t>万元，上年决算数减少</w:t>
      </w:r>
      <w:r>
        <w:rPr>
          <w:rFonts w:hint="eastAsia" w:ascii="Times New Roman" w:hAnsi="Times New Roman" w:eastAsia="仿宋_GB2312" w:cs="Times New Roman"/>
          <w:sz w:val="32"/>
          <w:szCs w:val="32"/>
          <w:lang w:val="en-US" w:eastAsia="zh-CN"/>
        </w:rPr>
        <w:t>8.77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3.38</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厉行节俭，支出减少。</w:t>
      </w:r>
    </w:p>
    <w:p>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lang w:val="en-US" w:eastAsia="zh-CN"/>
        </w:rPr>
        <w:t>本单位2025年未</w:t>
      </w:r>
      <w:r>
        <w:rPr>
          <w:rFonts w:ascii="Times New Roman" w:hAnsi="Times New Roman" w:eastAsia="仿宋_GB2312" w:cs="Times New Roman"/>
          <w:sz w:val="32"/>
          <w:szCs w:val="32"/>
        </w:rPr>
        <w:t>发生的</w:t>
      </w:r>
      <w:r>
        <w:rPr>
          <w:rFonts w:hint="eastAsia" w:ascii="Times New Roman" w:hAnsi="Times New Roman" w:eastAsia="仿宋_GB2312" w:cs="Times New Roman"/>
          <w:sz w:val="32"/>
          <w:szCs w:val="32"/>
          <w:lang w:val="en-US" w:eastAsia="zh-CN"/>
        </w:rPr>
        <w:t>会议</w:t>
      </w:r>
      <w:r>
        <w:rPr>
          <w:rFonts w:ascii="Times New Roman" w:hAnsi="Times New Roman" w:eastAsia="仿宋_GB2312" w:cs="Times New Roman"/>
          <w:sz w:val="32"/>
          <w:szCs w:val="32"/>
        </w:rPr>
        <w:t>支出；开支培训费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w:t>
      </w:r>
      <w:r>
        <w:rPr>
          <w:rFonts w:hint="eastAsia" w:ascii="Times New Roman" w:hAnsi="Times New Roman" w:eastAsia="仿宋_GB2312"/>
          <w:sz w:val="32"/>
          <w:szCs w:val="32"/>
          <w:lang w:val="en-US" w:eastAsia="zh-CN"/>
        </w:rPr>
        <w:t>本单位2025年未</w:t>
      </w:r>
      <w:r>
        <w:rPr>
          <w:rFonts w:ascii="Times New Roman" w:hAnsi="Times New Roman" w:eastAsia="仿宋_GB2312" w:cs="Times New Roman"/>
          <w:sz w:val="32"/>
          <w:szCs w:val="32"/>
        </w:rPr>
        <w:t>开展培训；</w:t>
      </w:r>
      <w:r>
        <w:rPr>
          <w:rFonts w:hint="eastAsia" w:ascii="Times New Roman" w:hAnsi="Times New Roman" w:eastAsia="仿宋_GB2312" w:cs="Times New Roman"/>
          <w:sz w:val="32"/>
          <w:szCs w:val="32"/>
          <w:lang w:val="en-US" w:eastAsia="zh-CN"/>
        </w:rPr>
        <w:t>2025年本单位未</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7"/>
        <w:overflowPunct w:val="0"/>
        <w:autoSpaceDE/>
        <w:autoSpaceDN/>
        <w:spacing w:line="600" w:lineRule="exact"/>
        <w:ind w:firstLine="640" w:firstLineChars="200"/>
        <w:jc w:val="both"/>
        <w:rPr>
          <w:rFonts w:hint="eastAsia" w:ascii="Times New Roman" w:hAnsi="Times New Roman" w:cs="Times New Roman"/>
          <w:bCs/>
          <w:sz w:val="32"/>
          <w:szCs w:val="32"/>
          <w:lang w:val="en-US" w:eastAsia="zh-CN"/>
        </w:rPr>
      </w:pPr>
      <w:r>
        <w:rPr>
          <w:rFonts w:hint="eastAsia" w:ascii="Times New Roman" w:hAnsi="Times New Roman" w:cs="Times New Roman"/>
          <w:bCs/>
          <w:sz w:val="32"/>
          <w:szCs w:val="32"/>
          <w:lang w:val="en-US" w:eastAsia="zh-CN"/>
        </w:rPr>
        <w:t>十一、关于政府采购支出说明</w:t>
      </w:r>
    </w:p>
    <w:p>
      <w:pPr>
        <w:pStyle w:val="17"/>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sz w:val="32"/>
          <w:szCs w:val="32"/>
          <w:highlight w:val="none"/>
        </w:rPr>
        <w:t>本部门202</w:t>
      </w:r>
      <w:r>
        <w:rPr>
          <w:rFonts w:hint="default" w:ascii="Times New Roman" w:hAnsi="Times New Roman" w:eastAsia="仿宋_GB2312" w:cs="Times New Roman"/>
          <w:sz w:val="32"/>
          <w:szCs w:val="32"/>
          <w:highlight w:val="none"/>
          <w:lang w:val="en-US"/>
        </w:rPr>
        <w:t>5</w:t>
      </w:r>
      <w:r>
        <w:rPr>
          <w:rFonts w:ascii="Times New Roman" w:hAnsi="Times New Roman" w:eastAsia="仿宋_GB2312" w:cs="Times New Roman"/>
          <w:sz w:val="32"/>
          <w:szCs w:val="32"/>
          <w:highlight w:val="none"/>
        </w:rPr>
        <w:t>年度政府采购支出总额</w:t>
      </w:r>
      <w:r>
        <w:rPr>
          <w:rFonts w:hint="eastAsia" w:ascii="Times New Roman" w:hAnsi="Times New Roman" w:eastAsia="仿宋_GB2312" w:cs="Times New Roman"/>
          <w:sz w:val="32"/>
          <w:szCs w:val="32"/>
          <w:highlight w:val="none"/>
          <w:lang w:val="en-US" w:eastAsia="zh-CN"/>
        </w:rPr>
        <w:t>126.5</w:t>
      </w:r>
      <w:r>
        <w:rPr>
          <w:rFonts w:ascii="Times New Roman" w:hAnsi="Times New Roman" w:eastAsia="仿宋_GB2312" w:cs="Times New Roman"/>
          <w:sz w:val="32"/>
          <w:szCs w:val="32"/>
          <w:highlight w:val="none"/>
        </w:rPr>
        <w:t>万元，其中：政府采购货物支出</w:t>
      </w:r>
      <w:r>
        <w:rPr>
          <w:rFonts w:hint="eastAsia" w:ascii="Times New Roman" w:hAnsi="Times New Roman" w:eastAsia="仿宋_GB2312" w:cs="Times New Roman"/>
          <w:sz w:val="32"/>
          <w:szCs w:val="32"/>
          <w:highlight w:val="none"/>
          <w:lang w:val="en-US" w:eastAsia="zh-CN"/>
        </w:rPr>
        <w:t>58.79</w:t>
      </w:r>
      <w:r>
        <w:rPr>
          <w:rFonts w:ascii="Times New Roman" w:hAnsi="Times New Roman" w:eastAsia="仿宋_GB2312" w:cs="Times New Roman"/>
          <w:sz w:val="32"/>
          <w:szCs w:val="32"/>
          <w:highlight w:val="none"/>
        </w:rPr>
        <w:t>万元、政府采购工程支出</w:t>
      </w:r>
      <w:r>
        <w:rPr>
          <w:rFonts w:hint="eastAsia" w:ascii="Times New Roman" w:hAnsi="Times New Roman" w:eastAsia="仿宋_GB2312" w:cs="Times New Roman"/>
          <w:sz w:val="32"/>
          <w:szCs w:val="32"/>
          <w:highlight w:val="none"/>
          <w:lang w:val="en-US" w:eastAsia="zh-CN"/>
        </w:rPr>
        <w:t>19.45</w:t>
      </w:r>
      <w:r>
        <w:rPr>
          <w:rFonts w:ascii="Times New Roman" w:hAnsi="Times New Roman" w:eastAsia="仿宋_GB2312" w:cs="Times New Roman"/>
          <w:sz w:val="32"/>
          <w:szCs w:val="32"/>
          <w:highlight w:val="none"/>
        </w:rPr>
        <w:t>万元、政府采购服务支出</w:t>
      </w:r>
      <w:r>
        <w:rPr>
          <w:rFonts w:hint="eastAsia" w:ascii="Times New Roman" w:hAnsi="Times New Roman" w:eastAsia="仿宋_GB2312" w:cs="Times New Roman"/>
          <w:sz w:val="32"/>
          <w:szCs w:val="32"/>
          <w:highlight w:val="none"/>
          <w:lang w:val="en-US" w:eastAsia="zh-CN"/>
        </w:rPr>
        <w:t>48.26</w:t>
      </w:r>
      <w:r>
        <w:rPr>
          <w:rFonts w:ascii="Times New Roman" w:hAnsi="Times New Roman" w:eastAsia="仿宋_GB2312" w:cs="Times New Roman"/>
          <w:sz w:val="32"/>
          <w:szCs w:val="32"/>
          <w:highlight w:val="none"/>
        </w:rPr>
        <w:t>万元。授予中小企业合同金额</w:t>
      </w:r>
      <w:r>
        <w:rPr>
          <w:rFonts w:hint="eastAsia" w:ascii="Times New Roman" w:hAnsi="Times New Roman" w:eastAsia="仿宋_GB2312" w:cs="Times New Roman"/>
          <w:sz w:val="32"/>
          <w:szCs w:val="32"/>
          <w:highlight w:val="none"/>
          <w:lang w:val="en-US" w:eastAsia="zh-CN"/>
        </w:rPr>
        <w:t>126</w:t>
      </w:r>
      <w:r>
        <w:rPr>
          <w:rFonts w:ascii="Times New Roman" w:hAnsi="Times New Roman" w:eastAsia="仿宋_GB2312" w:cs="Times New Roman"/>
          <w:sz w:val="32"/>
          <w:szCs w:val="32"/>
          <w:highlight w:val="none"/>
        </w:rPr>
        <w:t>万元，占政府采购支出总额的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%，其中：授予小微企业合同金额</w:t>
      </w:r>
      <w:r>
        <w:rPr>
          <w:rFonts w:hint="eastAsia" w:ascii="Times New Roman" w:hAnsi="Times New Roman" w:eastAsia="仿宋_GB2312" w:cs="Times New Roman"/>
          <w:sz w:val="32"/>
          <w:szCs w:val="32"/>
          <w:highlight w:val="none"/>
          <w:lang w:val="en-US" w:eastAsia="zh-CN"/>
        </w:rPr>
        <w:t>126</w:t>
      </w:r>
      <w:r>
        <w:rPr>
          <w:rFonts w:ascii="Times New Roman" w:hAnsi="Times New Roman" w:eastAsia="仿宋_GB2312" w:cs="Times New Roman"/>
          <w:sz w:val="32"/>
          <w:szCs w:val="32"/>
          <w:highlight w:val="none"/>
        </w:rPr>
        <w:t>万元，</w:t>
      </w:r>
      <w:r>
        <w:rPr>
          <w:rFonts w:ascii="Times New Roman" w:hAnsi="Times New Roman" w:eastAsia="仿宋_GB2312" w:cs="Times New Roman"/>
          <w:color w:val="auto"/>
          <w:sz w:val="32"/>
          <w:szCs w:val="32"/>
          <w:highlight w:val="none"/>
        </w:rPr>
        <w:t>占授予中小企业合同金额的</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%。货物采购授予中小企业合同金额占货物支出金额的</w:t>
      </w:r>
      <w:r>
        <w:rPr>
          <w:rFonts w:hint="eastAsia" w:ascii="Times New Roman" w:hAnsi="Times New Roman" w:eastAsia="仿宋_GB2312" w:cs="Times New Roman"/>
          <w:color w:val="auto"/>
          <w:sz w:val="32"/>
          <w:szCs w:val="32"/>
          <w:highlight w:val="none"/>
          <w:lang w:val="en-US" w:eastAsia="zh-CN"/>
        </w:rPr>
        <w:t>46.47</w:t>
      </w:r>
      <w:r>
        <w:rPr>
          <w:rFonts w:ascii="Times New Roman" w:hAnsi="Times New Roman" w:eastAsia="仿宋_GB2312" w:cs="Times New Roman"/>
          <w:color w:val="auto"/>
          <w:sz w:val="32"/>
          <w:szCs w:val="32"/>
          <w:highlight w:val="none"/>
        </w:rPr>
        <w:t>%，工程采购授予中小企业合同金额占工程支出金额的</w:t>
      </w:r>
      <w:r>
        <w:rPr>
          <w:rFonts w:hint="eastAsia" w:ascii="Times New Roman" w:hAnsi="Times New Roman" w:eastAsia="仿宋_GB2312" w:cs="Times New Roman"/>
          <w:color w:val="auto"/>
          <w:sz w:val="32"/>
          <w:szCs w:val="32"/>
          <w:highlight w:val="none"/>
          <w:lang w:val="en-US" w:eastAsia="zh-CN"/>
        </w:rPr>
        <w:t>15.38</w:t>
      </w:r>
      <w:r>
        <w:rPr>
          <w:rFonts w:ascii="Times New Roman" w:hAnsi="Times New Roman" w:eastAsia="仿宋_GB2312" w:cs="Times New Roman"/>
          <w:color w:val="auto"/>
          <w:sz w:val="32"/>
          <w:szCs w:val="32"/>
          <w:highlight w:val="none"/>
        </w:rPr>
        <w:t>%，服务采购授予中小企业合同金额占服务支出金额的</w:t>
      </w:r>
      <w:r>
        <w:rPr>
          <w:rFonts w:hint="eastAsia" w:ascii="Times New Roman" w:hAnsi="Times New Roman" w:eastAsia="仿宋_GB2312" w:cs="Times New Roman"/>
          <w:color w:val="auto"/>
          <w:sz w:val="32"/>
          <w:szCs w:val="32"/>
          <w:highlight w:val="none"/>
          <w:lang w:val="en-US" w:eastAsia="zh-CN"/>
        </w:rPr>
        <w:t>38.15</w:t>
      </w:r>
      <w:r>
        <w:rPr>
          <w:rFonts w:ascii="Times New Roman" w:hAnsi="Times New Roman" w:eastAsia="仿宋_GB2312" w:cs="Times New Roman"/>
          <w:color w:val="auto"/>
          <w:sz w:val="32"/>
          <w:szCs w:val="32"/>
          <w:highlight w:val="none"/>
        </w:rPr>
        <w:t>%。</w:t>
      </w:r>
    </w:p>
    <w:p>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7"/>
        <w:overflowPunct w:val="0"/>
        <w:autoSpaceDE/>
        <w:autoSpaceDN/>
        <w:spacing w:line="600" w:lineRule="exact"/>
        <w:ind w:firstLine="640" w:firstLineChars="200"/>
        <w:jc w:val="both"/>
        <w:rPr>
          <w:rFonts w:hint="eastAsia" w:ascii="Times New Roman" w:hAnsi="Times New Roman" w:eastAsia="仿宋_GB2312" w:cs="Times New Roman"/>
          <w:color w:val="FF0000"/>
          <w:sz w:val="32"/>
          <w:szCs w:val="32"/>
          <w:lang w:eastAsia="zh-CN"/>
        </w:rPr>
      </w:pPr>
      <w:r>
        <w:rPr>
          <w:rFonts w:ascii="Times New Roman" w:hAnsi="Times New Roman" w:eastAsia="仿宋_GB2312" w:cs="Times New Roman"/>
          <w:color w:val="auto"/>
          <w:sz w:val="32"/>
          <w:szCs w:val="32"/>
        </w:rPr>
        <w:t>截至202</w:t>
      </w:r>
      <w:r>
        <w:rPr>
          <w:rFonts w:hint="default" w:ascii="Times New Roman" w:hAnsi="Times New Roman" w:eastAsia="仿宋_GB2312" w:cs="Times New Roman"/>
          <w:color w:val="auto"/>
          <w:sz w:val="32"/>
          <w:szCs w:val="32"/>
          <w:lang w:val="en-US"/>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8</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olor w:val="auto"/>
          <w:sz w:val="32"/>
          <w:szCs w:val="32"/>
          <w:lang w:val="en-US" w:eastAsia="zh-CN"/>
        </w:rPr>
        <w:t>原消委用车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pPr>
        <w:overflowPunct w:val="0"/>
        <w:spacing w:line="600" w:lineRule="exact"/>
        <w:ind w:firstLine="640" w:firstLineChars="200"/>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一是绩效自评开展情况。</w:t>
      </w:r>
    </w:p>
    <w:p>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组织对202</w:t>
      </w:r>
      <w:r>
        <w:rPr>
          <w:rFonts w:hint="default" w:ascii="Times New Roman" w:hAnsi="Times New Roman" w:eastAsia="仿宋_GB2312" w:cs="Times New Roman"/>
          <w:kern w:val="0"/>
          <w:sz w:val="32"/>
          <w:szCs w:val="32"/>
          <w:lang w:val="en-US"/>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105.19</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48.72</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46.32</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pPr>
        <w:overflowPunct w:val="0"/>
        <w:spacing w:line="600" w:lineRule="exact"/>
        <w:ind w:firstLine="640" w:firstLineChars="200"/>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二是部门评价开展情况。</w:t>
      </w:r>
    </w:p>
    <w:p>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组织对所属单位202</w:t>
      </w:r>
      <w:r>
        <w:rPr>
          <w:rFonts w:hint="default" w:ascii="Times New Roman" w:hAnsi="Times New Roman" w:eastAsia="仿宋_GB2312" w:cs="Times New Roman"/>
          <w:kern w:val="0"/>
          <w:sz w:val="32"/>
          <w:szCs w:val="32"/>
          <w:lang w:val="en-US"/>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2024年第二批省级市场监督管理专项资金”、“2024年中央食品监管补助资金”、“零陵区市场监督管理局非税收入安排的支出”、“零陵区市场监督管理局执法办案经费”</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93.72</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pPr>
        <w:numPr>
          <w:ilvl w:val="0"/>
          <w:numId w:val="1"/>
        </w:numPr>
        <w:overflowPunct w:val="0"/>
        <w:spacing w:line="600" w:lineRule="exact"/>
        <w:ind w:left="0" w:leftChars="0"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绩效评价结果。</w:t>
      </w:r>
    </w:p>
    <w:p>
      <w:pPr>
        <w:numPr>
          <w:ilvl w:val="0"/>
          <w:numId w:val="0"/>
        </w:numPr>
        <w:overflowPunct w:val="0"/>
        <w:spacing w:line="600" w:lineRule="exact"/>
        <w:ind w:leftChars="200"/>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一是绩效自评结果。</w:t>
      </w:r>
    </w:p>
    <w:p>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kern w:val="0"/>
          <w:sz w:val="32"/>
          <w:szCs w:val="32"/>
        </w:rPr>
        <w:t>202</w:t>
      </w:r>
      <w:r>
        <w:rPr>
          <w:rFonts w:hint="default" w:ascii="Times New Roman" w:hAnsi="Times New Roman" w:eastAsia="仿宋_GB2312" w:cs="Times New Roman"/>
          <w:kern w:val="0"/>
          <w:sz w:val="32"/>
          <w:szCs w:val="32"/>
          <w:lang w:val="en-US"/>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rPr>
        <w:t>1887.49</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1842.53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97.61</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97.76</w:t>
      </w:r>
      <w:r>
        <w:rPr>
          <w:rFonts w:ascii="Times New Roman" w:hAnsi="Times New Roman" w:eastAsia="仿宋_GB2312" w:cs="Times New Roman"/>
          <w:sz w:val="32"/>
          <w:szCs w:val="32"/>
        </w:rPr>
        <w:t>分。</w:t>
      </w:r>
    </w:p>
    <w:p>
      <w:pPr>
        <w:overflowPunct w:val="0"/>
        <w:spacing w:line="600" w:lineRule="exact"/>
        <w:ind w:firstLine="640" w:firstLineChars="200"/>
        <w:rPr>
          <w:rFonts w:hint="eastAsia" w:ascii="Times New Roman" w:hAnsi="Times New Roman" w:eastAsia="仿宋_GB2312" w:cs="黑体"/>
          <w:color w:val="auto"/>
          <w:kern w:val="0"/>
          <w:sz w:val="32"/>
          <w:szCs w:val="32"/>
          <w:lang w:val="en-US" w:eastAsia="zh-CN" w:bidi="ar-SA"/>
        </w:rPr>
      </w:pP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一、深化商事制度改革，负责餐饮服务许可、化妆品卫生许可、保健食品行政许可、特种设备许可、卫生监督管理及相关审批工作，加强事中事后监管；二、加强市场监管和综合执法，监督实施消费环节食品安全管理；开展消费环节食品安全状况调查和监测工作，发布与消费环节食品安全监管有关的信息，切实维护食品药品及特种设备安全，促进市</w:t>
      </w:r>
      <w:r>
        <w:rPr>
          <w:rFonts w:hint="eastAsia" w:ascii="Times New Roman" w:hAnsi="Times New Roman" w:eastAsia="仿宋_GB2312" w:cs="黑体"/>
          <w:color w:val="auto"/>
          <w:kern w:val="0"/>
          <w:sz w:val="32"/>
          <w:szCs w:val="32"/>
          <w:lang w:val="en-US" w:eastAsia="zh-CN" w:bidi="ar-SA"/>
        </w:rPr>
        <w:t>场秩序健康有序发展；三、发挥市场监管职能，加强对药品、医疗器械行政监督和技术监督，监督实施药品和医疗器械研制、生产、流通、使用过程的质量管理规范；着力知识产权、标准认证、计量检定和产品质量检验工作，引导、培育名优品牌，实施质量强县战略，服务社会经济发展；四、强化消费维权，加强消费保护工作宣传，鼓励消费者积极参与，促进社会和谐稳定。</w:t>
      </w:r>
    </w:p>
    <w:p>
      <w:pPr>
        <w:keepNext w:val="0"/>
        <w:keepLines w:val="0"/>
        <w:pageBreakBefore w:val="0"/>
        <w:kinsoku/>
        <w:wordWrap/>
        <w:overflowPunct/>
        <w:topLinePunct w:val="0"/>
        <w:autoSpaceDE/>
        <w:autoSpaceDN/>
        <w:bidi w:val="0"/>
        <w:snapToGrid w:val="0"/>
        <w:spacing w:line="440" w:lineRule="exact"/>
        <w:ind w:firstLine="640" w:firstLineChars="200"/>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下一步改进措施：一是科学合理编制预算，严格执行预算。按政策规定及本部门的发展规划，结合上一年度预算执行情况和本年度预算收支变化因素，科学、合理地编制本年预算草案，避免项目支出与基本支出划分不准或预算支出与实际执行出现较大偏差的情况。二是规范账务处理，提高财务信息质量。严格按照《会计法》、《政府会计制度》等规定执行财务核算，并结合实际情况，完整、准确地披露相关信息，尽可能地做到决算与预算相衔接。三是完善管理制度，进一步加强资产管理。进一步贯彻落实中央“八项规定”建立本部门“三公经费”等公务支出管理制度及厉行节约制度，加强经费审批和控制，规范支出标准与范围，并严格执行。严格按照《固定资产管理办法》的规定加强固定资产管理，及时登记、更新台账，加强资产卡片管理，年终前对各类实物资产进行全面盘点，确保账实相符。四是加强政府会计制度和预算法学习培训。加强新《预算法》、《政府会计制度》等学习培训，规范部门预算收支核算，制定和完善基本支出、项目支出等各项支出标准，严格按项目和进度执行预算，增强预算的约束力和严肃性。落实预算执行分析，及时了解预算执行差异，合理调整、纠正预算执行偏差，切实提高部门预算收支管理水平。</w:t>
      </w:r>
    </w:p>
    <w:p>
      <w:pPr>
        <w:pStyle w:val="17"/>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pPr>
        <w:pStyle w:val="17"/>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本单位严格按政策规定及本部门的发展规划，科学合理编制预算，严格执行预算。结合上一年度预算执行情况和本年度预算收支变化因素，科学、合理地编制本年预算草案，避免项目支出与基本支出划分不准或预算支出与实际执行出现较大偏差的情况。</w:t>
      </w:r>
    </w:p>
    <w:p>
      <w:pPr>
        <w:pStyle w:val="17"/>
        <w:overflowPunct w:val="0"/>
        <w:autoSpaceDE/>
        <w:autoSpaceDN/>
        <w:spacing w:line="600" w:lineRule="exact"/>
        <w:ind w:firstLine="640" w:firstLineChars="200"/>
        <w:jc w:val="both"/>
        <w:rPr>
          <w:rFonts w:hint="eastAsia" w:ascii="Times New Roman" w:hAnsi="Times New Roman" w:eastAsia="仿宋_GB2312" w:cs="Times New Roman"/>
          <w:color w:val="FF0000"/>
          <w:sz w:val="32"/>
          <w:szCs w:val="32"/>
          <w:lang w:eastAsia="zh-CN"/>
        </w:rPr>
      </w:pPr>
    </w:p>
    <w:p>
      <w:pPr>
        <w:pStyle w:val="17"/>
        <w:jc w:val="center"/>
        <w:rPr>
          <w:rFonts w:ascii="Times New Roman" w:hAnsi="Times New Roman" w:cs="Times New Roman"/>
          <w:sz w:val="72"/>
          <w:szCs w:val="72"/>
        </w:rPr>
      </w:pPr>
    </w:p>
    <w:p>
      <w:pPr>
        <w:pStyle w:val="17"/>
        <w:jc w:val="center"/>
        <w:rPr>
          <w:rFonts w:ascii="Times New Roman" w:hAnsi="Times New Roman" w:cs="Times New Roman"/>
          <w:sz w:val="72"/>
          <w:szCs w:val="72"/>
        </w:rPr>
      </w:pPr>
      <w:r>
        <w:rPr>
          <w:rFonts w:ascii="Times New Roman" w:hAnsi="Times New Roman" w:cs="Times New Roman"/>
          <w:sz w:val="72"/>
          <w:szCs w:val="72"/>
        </w:rPr>
        <w:br w:type="column"/>
      </w:r>
    </w:p>
    <w:p>
      <w:pPr>
        <w:pStyle w:val="17"/>
        <w:jc w:val="both"/>
        <w:rPr>
          <w:rFonts w:ascii="Times New Roman" w:hAnsi="Times New Roman" w:cs="Times New Roman"/>
          <w:sz w:val="72"/>
          <w:szCs w:val="72"/>
        </w:rPr>
      </w:pPr>
    </w:p>
    <w:p>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numPr>
          <w:ilvl w:val="0"/>
          <w:numId w:val="5"/>
        </w:numPr>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基本支出：指为保障机构正常运转、完成日常工作任务而发生的各项支出，包括人员支出和公用支出。</w:t>
      </w:r>
    </w:p>
    <w:p>
      <w:pPr>
        <w:numPr>
          <w:ilvl w:val="0"/>
          <w:numId w:val="5"/>
        </w:numPr>
        <w:ind w:left="0" w:leftChars="0" w:firstLine="640" w:firstLineChars="200"/>
        <w:jc w:val="left"/>
        <w:rPr>
          <w:rFonts w:hint="eastAsia" w:cs="黑体" w:asciiTheme="minorEastAsia" w:hAnsiTheme="minorEastAsia" w:eastAsiaTheme="minorEastAsia"/>
          <w:color w:val="000000"/>
          <w:kern w:val="0"/>
          <w:sz w:val="32"/>
          <w:szCs w:val="32"/>
          <w:lang w:eastAsia="zh-CN"/>
        </w:rPr>
      </w:pPr>
      <w:r>
        <w:rPr>
          <w:rFonts w:hint="eastAsia" w:cs="黑体" w:asciiTheme="minorEastAsia" w:hAnsiTheme="minorEastAsia"/>
          <w:color w:val="000000"/>
          <w:kern w:val="0"/>
          <w:sz w:val="32"/>
          <w:szCs w:val="32"/>
        </w:rPr>
        <w:t>项目支出：指在基本支出以外为完成相关执行任务和事业发展目标所发生的各项支出。</w:t>
      </w:r>
    </w:p>
    <w:p>
      <w:pPr>
        <w:numPr>
          <w:ilvl w:val="0"/>
          <w:numId w:val="5"/>
        </w:numPr>
        <w:ind w:left="0" w:leftChars="0" w:firstLine="640" w:firstLineChars="200"/>
        <w:jc w:val="left"/>
        <w:rPr>
          <w:rFonts w:hint="eastAsia" w:cs="黑体" w:asciiTheme="minorEastAsia" w:hAnsiTheme="minorEastAsia" w:eastAsiaTheme="minorEastAsia"/>
          <w:color w:val="000000"/>
          <w:kern w:val="0"/>
          <w:sz w:val="32"/>
          <w:szCs w:val="32"/>
          <w:lang w:eastAsia="zh-CN"/>
        </w:rPr>
      </w:pPr>
      <w:r>
        <w:rPr>
          <w:rFonts w:hint="eastAsia" w:cs="黑体" w:asciiTheme="minorEastAsia" w:hAnsiTheme="minorEastAsia"/>
          <w:color w:val="000000"/>
          <w:kern w:val="0"/>
          <w:sz w:val="32"/>
          <w:szCs w:val="32"/>
        </w:rPr>
        <w:t>“三公”经费：指通过财政拨款资金安排的因公出国（境）费、公务用车购置及运行费和公务接待费支出。往年为一般公共预算财政拨款口径，今年为财政拨款口径</w:t>
      </w:r>
      <w:r>
        <w:rPr>
          <w:rFonts w:hint="eastAsia" w:cs="黑体" w:asciiTheme="minorEastAsia" w:hAnsiTheme="minorEastAsia"/>
          <w:color w:val="000000"/>
          <w:kern w:val="0"/>
          <w:sz w:val="32"/>
          <w:szCs w:val="32"/>
          <w:lang w:eastAsia="zh-CN"/>
        </w:rPr>
        <w:t>。</w:t>
      </w:r>
    </w:p>
    <w:p>
      <w:pPr>
        <w:numPr>
          <w:ilvl w:val="0"/>
          <w:numId w:val="5"/>
        </w:numPr>
        <w:ind w:left="0" w:leftChars="0"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 xml:space="preserve">机关运行经费：是指各部门的公用经费，包括办公费、印刷费、邮电费、差旅费、会议费、福利费、日常维修费、专用材料及一般设备购置费、办公用房水电费、办公用房物业管理费、公务用车运行维护费以及其他费用。 </w:t>
      </w:r>
    </w:p>
    <w:p>
      <w:pPr>
        <w:numPr>
          <w:ilvl w:val="0"/>
          <w:numId w:val="5"/>
        </w:numPr>
        <w:ind w:left="0" w:leftChars="0"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政府采购金额的计算口径为：本部门纳入2022年度部门预算范围的各项政府采购支出金额之和，不包括涉密采购项目的支出金额。</w:t>
      </w:r>
    </w:p>
    <w:p>
      <w:pPr>
        <w:pStyle w:val="17"/>
        <w:jc w:val="both"/>
        <w:rPr>
          <w:rFonts w:ascii="Times New Roman" w:hAnsi="Times New Roman" w:cs="Times New Roman"/>
          <w:sz w:val="72"/>
          <w:szCs w:val="72"/>
        </w:rPr>
      </w:pPr>
    </w:p>
    <w:p>
      <w:pPr>
        <w:pStyle w:val="17"/>
        <w:jc w:val="center"/>
        <w:rPr>
          <w:rFonts w:hint="eastAsia" w:ascii="Times New Roman" w:hAnsi="Times New Roman" w:eastAsia="黑体" w:cs="Times New Roman"/>
          <w:sz w:val="72"/>
          <w:szCs w:val="72"/>
          <w:lang w:eastAsia="zh-CN"/>
        </w:rPr>
      </w:pPr>
    </w:p>
    <w:p>
      <w:pPr>
        <w:pStyle w:val="17"/>
        <w:jc w:val="center"/>
        <w:rPr>
          <w:rFonts w:ascii="Times New Roman" w:hAnsi="Times New Roman" w:cs="Times New Roman"/>
          <w:sz w:val="72"/>
          <w:szCs w:val="72"/>
        </w:rPr>
      </w:pPr>
    </w:p>
    <w:p>
      <w:pPr>
        <w:pStyle w:val="17"/>
        <w:jc w:val="center"/>
        <w:rPr>
          <w:rFonts w:ascii="Times New Roman" w:hAnsi="Times New Roman" w:cs="Times New Roman"/>
          <w:sz w:val="72"/>
          <w:szCs w:val="72"/>
        </w:rPr>
      </w:pPr>
    </w:p>
    <w:p>
      <w:pPr>
        <w:pStyle w:val="17"/>
        <w:jc w:val="center"/>
        <w:rPr>
          <w:rFonts w:ascii="Times New Roman" w:hAnsi="Times New Roman" w:cs="Times New Roman"/>
          <w:sz w:val="72"/>
          <w:szCs w:val="72"/>
        </w:rPr>
      </w:pPr>
    </w:p>
    <w:p>
      <w:pPr>
        <w:pStyle w:val="17"/>
        <w:jc w:val="center"/>
        <w:rPr>
          <w:rFonts w:ascii="Times New Roman" w:hAnsi="Times New Roman" w:cs="Times New Roman"/>
          <w:sz w:val="72"/>
          <w:szCs w:val="72"/>
        </w:rPr>
      </w:pPr>
    </w:p>
    <w:p>
      <w:pPr>
        <w:pStyle w:val="17"/>
        <w:jc w:val="center"/>
        <w:rPr>
          <w:rFonts w:ascii="Times New Roman" w:hAnsi="Times New Roman" w:cs="Times New Roman"/>
          <w:sz w:val="72"/>
          <w:szCs w:val="72"/>
        </w:rPr>
      </w:pPr>
    </w:p>
    <w:p>
      <w:pPr>
        <w:pStyle w:val="17"/>
        <w:jc w:val="center"/>
        <w:rPr>
          <w:rFonts w:ascii="Times New Roman" w:hAnsi="Times New Roman" w:cs="Times New Roman"/>
          <w:sz w:val="72"/>
          <w:szCs w:val="72"/>
        </w:rPr>
      </w:pPr>
    </w:p>
    <w:p>
      <w:pPr>
        <w:pStyle w:val="17"/>
        <w:jc w:val="both"/>
        <w:rPr>
          <w:rFonts w:ascii="Times New Roman" w:hAnsi="Times New Roman" w:cs="Times New Roman"/>
          <w:sz w:val="72"/>
          <w:szCs w:val="72"/>
        </w:rPr>
      </w:pPr>
    </w:p>
    <w:p>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7"/>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年度部门(</w:t>
      </w:r>
      <w:r>
        <w:rPr>
          <w:rFonts w:hint="eastAsia" w:ascii="Times New Roman" w:hAnsi="Times New Roman" w:eastAsia="仿宋_GB2312" w:cs="Times New Roman"/>
          <w:sz w:val="32"/>
          <w:szCs w:val="32"/>
          <w:lang w:val="en-US" w:eastAsia="zh-CN"/>
        </w:rPr>
        <w:t>永州市零陵区市场监督管理局</w:t>
      </w:r>
      <w:r>
        <w:rPr>
          <w:rFonts w:ascii="Times New Roman" w:hAnsi="Times New Roman" w:eastAsia="仿宋_GB2312" w:cs="Times New Roman"/>
          <w:sz w:val="32"/>
          <w:szCs w:val="32"/>
        </w:rPr>
        <w:t>)整体支出绩效自评报告。</w:t>
      </w:r>
    </w:p>
    <w:p>
      <w:pPr>
        <w:pStyle w:val="17"/>
        <w:spacing w:line="600" w:lineRule="exact"/>
        <w:ind w:firstLine="640" w:firstLineChars="200"/>
        <w:rPr>
          <w:rFonts w:ascii="Times New Roman" w:hAnsi="Times New Roman" w:eastAsia="仿宋_GB2312" w:cs="Times New Roman"/>
          <w:sz w:val="32"/>
          <w:szCs w:val="32"/>
        </w:rPr>
      </w:pPr>
    </w:p>
    <w:p>
      <w:pPr>
        <w:pStyle w:val="17"/>
        <w:spacing w:line="600" w:lineRule="exact"/>
        <w:ind w:firstLine="640" w:firstLineChars="200"/>
        <w:rPr>
          <w:rFonts w:ascii="Times New Roman" w:hAnsi="Times New Roman" w:eastAsia="仿宋_GB2312" w:cs="Times New Roman"/>
          <w:sz w:val="32"/>
          <w:szCs w:val="32"/>
        </w:rPr>
      </w:pPr>
    </w:p>
    <w:p>
      <w:pPr>
        <w:pStyle w:val="17"/>
        <w:jc w:val="center"/>
        <w:rPr>
          <w:rFonts w:ascii="Times New Roman" w:hAnsi="Times New Roman" w:cs="Times New Roman"/>
          <w:sz w:val="72"/>
          <w:szCs w:val="72"/>
        </w:rPr>
      </w:pPr>
    </w:p>
    <w:p>
      <w:pPr>
        <w:pStyle w:val="17"/>
        <w:jc w:val="center"/>
        <w:rPr>
          <w:rFonts w:ascii="Times New Roman" w:hAnsi="Times New Roman" w:cs="Times New Roman"/>
          <w:sz w:val="72"/>
          <w:szCs w:val="72"/>
        </w:rPr>
      </w:pPr>
    </w:p>
    <w:p>
      <w:pPr>
        <w:spacing w:line="600" w:lineRule="exact"/>
        <w:rPr>
          <w:rFonts w:eastAsia="黑体"/>
          <w:sz w:val="32"/>
          <w:szCs w:val="32"/>
        </w:rPr>
      </w:pPr>
      <w:r>
        <w:rPr>
          <w:rFonts w:ascii="Times New Roman" w:hAnsi="Times New Roman" w:cs="Times New Roman"/>
          <w:color w:val="000000"/>
          <w:kern w:val="0"/>
          <w:sz w:val="32"/>
          <w:szCs w:val="32"/>
        </w:rPr>
        <w:br w:type="page"/>
      </w:r>
    </w:p>
    <w:p>
      <w:pPr>
        <w:jc w:val="center"/>
        <w:rPr>
          <w:rFonts w:hint="eastAsia" w:ascii="方正小标宋简体" w:eastAsia="方正小标宋简体"/>
          <w:sz w:val="52"/>
          <w:szCs w:val="52"/>
        </w:rPr>
      </w:pPr>
      <w:r>
        <w:rPr>
          <w:rFonts w:hint="eastAsia" w:ascii="方正小标宋简体" w:eastAsia="方正小标宋简体"/>
          <w:sz w:val="52"/>
          <w:szCs w:val="52"/>
        </w:rPr>
        <w:t>2025年度</w:t>
      </w:r>
    </w:p>
    <w:p>
      <w:pPr>
        <w:jc w:val="center"/>
        <w:rPr>
          <w:rFonts w:hint="eastAsia" w:ascii="方正小标宋简体" w:eastAsia="方正小标宋简体"/>
          <w:sz w:val="52"/>
          <w:szCs w:val="52"/>
          <w:lang w:val="en-US" w:eastAsia="zh-CN"/>
        </w:rPr>
      </w:pPr>
      <w:r>
        <w:rPr>
          <w:rFonts w:hint="eastAsia" w:ascii="方正小标宋简体" w:eastAsia="方正小标宋简体"/>
          <w:sz w:val="52"/>
          <w:szCs w:val="52"/>
          <w:lang w:val="en-US" w:eastAsia="zh-CN"/>
        </w:rPr>
        <w:t>永州市零陵区市场监督管理局</w:t>
      </w:r>
    </w:p>
    <w:p>
      <w:pPr>
        <w:jc w:val="center"/>
        <w:rPr>
          <w:rFonts w:hint="eastAsia" w:ascii="方正小标宋简体" w:eastAsia="方正小标宋简体"/>
          <w:sz w:val="52"/>
          <w:szCs w:val="52"/>
        </w:rPr>
      </w:pPr>
      <w:r>
        <w:rPr>
          <w:rFonts w:hint="eastAsia" w:ascii="方正小标宋简体" w:eastAsia="方正小标宋简体"/>
          <w:sz w:val="52"/>
          <w:szCs w:val="52"/>
        </w:rPr>
        <w:t>整体支出绩效自评报告</w:t>
      </w:r>
    </w:p>
    <w:p>
      <w:pPr>
        <w:jc w:val="center"/>
        <w:rPr>
          <w:rFonts w:eastAsia="方正小标宋_GBK"/>
          <w:b/>
          <w:sz w:val="52"/>
          <w:szCs w:val="52"/>
        </w:rPr>
      </w:pPr>
    </w:p>
    <w:p>
      <w:pPr>
        <w:jc w:val="center"/>
        <w:rPr>
          <w:rFonts w:eastAsia="楷体_GB2312"/>
          <w:b/>
          <w:sz w:val="32"/>
          <w:szCs w:val="32"/>
        </w:rPr>
      </w:pPr>
    </w:p>
    <w:p>
      <w:pPr>
        <w:rPr>
          <w:rFonts w:eastAsia="楷体_GB2312"/>
          <w:b/>
          <w:sz w:val="32"/>
          <w:szCs w:val="32"/>
        </w:rPr>
      </w:pPr>
    </w:p>
    <w:p>
      <w:pPr>
        <w:jc w:val="center"/>
        <w:rPr>
          <w:rFonts w:eastAsia="黑体"/>
          <w:sz w:val="32"/>
          <w:szCs w:val="32"/>
        </w:rPr>
      </w:pPr>
    </w:p>
    <w:p>
      <w:pPr>
        <w:jc w:val="center"/>
        <w:rPr>
          <w:rFonts w:eastAsia="黑体"/>
          <w:sz w:val="32"/>
          <w:szCs w:val="32"/>
        </w:rPr>
      </w:pPr>
    </w:p>
    <w:p>
      <w:pPr>
        <w:jc w:val="center"/>
        <w:rPr>
          <w:rFonts w:eastAsia="黑体"/>
          <w:sz w:val="32"/>
          <w:szCs w:val="32"/>
        </w:rPr>
      </w:pPr>
    </w:p>
    <w:p>
      <w:pPr>
        <w:jc w:val="center"/>
        <w:rPr>
          <w:rFonts w:eastAsia="黑体"/>
          <w:sz w:val="32"/>
          <w:szCs w:val="32"/>
        </w:rPr>
      </w:pPr>
    </w:p>
    <w:p>
      <w:pPr>
        <w:rPr>
          <w:rFonts w:eastAsia="黑体"/>
          <w:sz w:val="32"/>
          <w:szCs w:val="32"/>
        </w:rPr>
      </w:pPr>
    </w:p>
    <w:p>
      <w:pPr>
        <w:jc w:val="center"/>
        <w:rPr>
          <w:rFonts w:eastAsia="黑体"/>
          <w:sz w:val="32"/>
          <w:szCs w:val="32"/>
        </w:rPr>
      </w:pPr>
    </w:p>
    <w:p>
      <w:pPr>
        <w:jc w:val="center"/>
        <w:rPr>
          <w:rFonts w:eastAsia="黑体"/>
          <w:sz w:val="32"/>
          <w:szCs w:val="32"/>
        </w:rPr>
      </w:pPr>
    </w:p>
    <w:p>
      <w:pPr>
        <w:jc w:val="center"/>
        <w:rPr>
          <w:rFonts w:eastAsia="黑体"/>
          <w:sz w:val="32"/>
          <w:szCs w:val="32"/>
        </w:rPr>
      </w:pPr>
    </w:p>
    <w:p>
      <w:pPr>
        <w:spacing w:line="600" w:lineRule="exact"/>
        <w:ind w:firstLine="320" w:firstLineChars="100"/>
        <w:rPr>
          <w:rFonts w:eastAsia="仿宋_GB2312"/>
          <w:sz w:val="32"/>
          <w:szCs w:val="32"/>
          <w:u w:val="single"/>
        </w:rPr>
      </w:pPr>
      <w:r>
        <w:rPr>
          <w:rFonts w:eastAsia="仿宋_GB2312"/>
          <w:sz w:val="32"/>
          <w:szCs w:val="32"/>
        </w:rPr>
        <w:t>单位名称：</w:t>
      </w:r>
      <w:r>
        <w:rPr>
          <w:rFonts w:hint="eastAsia" w:eastAsia="仿宋_GB2312"/>
          <w:sz w:val="32"/>
          <w:szCs w:val="32"/>
          <w:u w:val="single"/>
          <w:lang w:val="en-US" w:eastAsia="zh-CN"/>
        </w:rPr>
        <w:t>永州市零陵区市场监督管理局</w:t>
      </w:r>
      <w:r>
        <w:rPr>
          <w:rFonts w:eastAsia="仿宋_GB2312"/>
          <w:sz w:val="32"/>
          <w:szCs w:val="32"/>
          <w:u w:val="single"/>
        </w:rPr>
        <w:t xml:space="preserve">       </w:t>
      </w:r>
    </w:p>
    <w:p>
      <w:pPr>
        <w:spacing w:line="600" w:lineRule="exact"/>
        <w:ind w:firstLine="2560" w:firstLineChars="800"/>
        <w:rPr>
          <w:rFonts w:eastAsia="楷体_GB2312"/>
          <w:sz w:val="32"/>
          <w:szCs w:val="32"/>
        </w:rPr>
      </w:pPr>
      <w:r>
        <w:rPr>
          <w:rFonts w:hint="eastAsia" w:eastAsia="楷体_GB2312"/>
          <w:sz w:val="32"/>
          <w:szCs w:val="32"/>
          <w:lang w:val="en-US" w:eastAsia="zh-CN"/>
        </w:rPr>
        <w:t>2025</w:t>
      </w:r>
      <w:r>
        <w:rPr>
          <w:rFonts w:eastAsia="楷体_GB2312"/>
          <w:sz w:val="32"/>
          <w:szCs w:val="32"/>
        </w:rPr>
        <w:t xml:space="preserve">年 </w:t>
      </w:r>
      <w:r>
        <w:rPr>
          <w:rFonts w:hint="eastAsia" w:eastAsia="楷体_GB2312"/>
          <w:sz w:val="32"/>
          <w:szCs w:val="32"/>
          <w:lang w:val="en-US" w:eastAsia="zh-CN"/>
        </w:rPr>
        <w:t>4</w:t>
      </w:r>
      <w:r>
        <w:rPr>
          <w:rFonts w:eastAsia="楷体_GB2312"/>
          <w:sz w:val="32"/>
          <w:szCs w:val="32"/>
        </w:rPr>
        <w:t>月</w:t>
      </w:r>
      <w:r>
        <w:rPr>
          <w:rFonts w:hint="eastAsia" w:eastAsia="楷体_GB2312"/>
          <w:sz w:val="32"/>
          <w:szCs w:val="32"/>
          <w:lang w:val="en-US" w:eastAsia="zh-CN"/>
        </w:rPr>
        <w:t>10</w:t>
      </w:r>
      <w:r>
        <w:rPr>
          <w:rFonts w:eastAsia="楷体_GB2312"/>
          <w:sz w:val="32"/>
          <w:szCs w:val="32"/>
        </w:rPr>
        <w:t>日</w:t>
      </w:r>
    </w:p>
    <w:p>
      <w:pPr>
        <w:jc w:val="center"/>
        <w:rPr>
          <w:rFonts w:eastAsia="黑体"/>
          <w:sz w:val="32"/>
          <w:szCs w:val="32"/>
        </w:rPr>
      </w:pPr>
    </w:p>
    <w:p>
      <w:pPr>
        <w:jc w:val="center"/>
        <w:rPr>
          <w:rFonts w:eastAsia="仿宋_GB2312"/>
          <w:sz w:val="32"/>
          <w:szCs w:val="32"/>
        </w:rPr>
      </w:pPr>
      <w:r>
        <w:rPr>
          <w:rFonts w:eastAsia="仿宋_GB2312"/>
          <w:sz w:val="32"/>
          <w:szCs w:val="32"/>
        </w:rPr>
        <w:t>（此页为封面）</w:t>
      </w:r>
    </w:p>
    <w:p>
      <w:pPr>
        <w:numPr>
          <w:ilvl w:val="0"/>
          <w:numId w:val="6"/>
        </w:numPr>
        <w:spacing w:line="570" w:lineRule="exact"/>
        <w:ind w:firstLine="640" w:firstLineChars="200"/>
        <w:rPr>
          <w:rFonts w:eastAsia="黑体"/>
          <w:sz w:val="32"/>
          <w:szCs w:val="32"/>
        </w:rPr>
      </w:pPr>
      <w:r>
        <w:rPr>
          <w:rFonts w:eastAsia="仿宋_GB2312"/>
          <w:sz w:val="32"/>
          <w:szCs w:val="32"/>
        </w:rPr>
        <w:br w:type="page"/>
      </w:r>
      <w:r>
        <w:rPr>
          <w:rFonts w:eastAsia="黑体"/>
          <w:sz w:val="32"/>
          <w:szCs w:val="32"/>
        </w:rPr>
        <w:t>部门（单位）基本情况</w:t>
      </w:r>
    </w:p>
    <w:p>
      <w:pPr>
        <w:pStyle w:val="2"/>
        <w:keepNext w:val="0"/>
        <w:keepLines w:val="0"/>
        <w:pageBreakBefore w:val="0"/>
        <w:numPr>
          <w:ilvl w:val="0"/>
          <w:numId w:val="0"/>
        </w:numPr>
        <w:kinsoku/>
        <w:wordWrap/>
        <w:overflowPunct/>
        <w:topLinePunct w:val="0"/>
        <w:autoSpaceDE/>
        <w:autoSpaceDN/>
        <w:bidi w:val="0"/>
        <w:spacing w:line="440" w:lineRule="exact"/>
        <w:ind w:firstLine="636" w:firstLineChars="200"/>
        <w:textAlignment w:val="auto"/>
        <w:rPr>
          <w:rFonts w:hint="eastAsia" w:ascii="仿宋" w:hAnsi="仿宋" w:eastAsia="仿宋" w:cs="仿宋"/>
          <w:sz w:val="28"/>
          <w:szCs w:val="28"/>
        </w:rPr>
      </w:pPr>
      <w:r>
        <w:rPr>
          <w:rFonts w:hint="eastAsia" w:ascii="仿宋" w:hAnsi="仿宋" w:eastAsia="仿宋" w:cs="仿宋"/>
          <w:spacing w:val="19"/>
          <w:sz w:val="28"/>
          <w:szCs w:val="28"/>
        </w:rPr>
        <w:t>(一)部门(单位)职能职责、机构编制、人员构成等。</w:t>
      </w:r>
    </w:p>
    <w:p>
      <w:pPr>
        <w:keepNext w:val="0"/>
        <w:keepLines w:val="0"/>
        <w:pageBreakBefore w:val="0"/>
        <w:kinsoku/>
        <w:wordWrap/>
        <w:overflowPunct/>
        <w:topLinePunct w:val="0"/>
        <w:autoSpaceDE/>
        <w:autoSpaceDN/>
        <w:bidi w:val="0"/>
        <w:snapToGrid w:val="0"/>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1．主要职能。</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1</w:t>
      </w:r>
      <w:r>
        <w:rPr>
          <w:rFonts w:hint="eastAsia" w:ascii="仿宋" w:hAnsi="仿宋" w:eastAsia="仿宋" w:cs="仿宋"/>
          <w:sz w:val="28"/>
          <w:szCs w:val="28"/>
        </w:rPr>
        <w:t>）负责市场综合监督管理。贯彻执行国家有关市场监督管理的方针政策和法律法规，拟制市场监督管理地方规范性文件，组织实施质量强区战略、食品安全战略、标准化战略和知识产权战略，拟制并组织实施有关规划，规范和维护市场秩序，营造诚实守信、公平竞争的市场环境。</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2</w:t>
      </w:r>
      <w:r>
        <w:rPr>
          <w:rFonts w:hint="eastAsia" w:ascii="仿宋" w:hAnsi="仿宋" w:eastAsia="仿宋" w:cs="仿宋"/>
          <w:sz w:val="28"/>
          <w:szCs w:val="28"/>
        </w:rPr>
        <w:t>）负责市场主体统一登记注册。负责全区各类企业、农民专业合作社和从事经营活动的单位、个体工商户以及外国（地区）企业常驻代表机构等市场主体的登记注册和监督管理工作。建立市场主体信患公示和共享机制，依法公示和共享有关信息，加强信用监管，推动市场主体信用体系建设。</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3</w:t>
      </w:r>
      <w:r>
        <w:rPr>
          <w:rFonts w:hint="eastAsia" w:ascii="仿宋" w:hAnsi="仿宋" w:eastAsia="仿宋" w:cs="仿宋"/>
          <w:sz w:val="28"/>
          <w:szCs w:val="28"/>
        </w:rPr>
        <w:t>）负责权限范围内食品、药品、医疗器械、化妆品、特种设备、计量器具的许可管理。负责权限内食品生产、流通和餐饮服务环节的行政许可。负责权限内药品流通环节的行政许可。负责权限内医疗器械备案及医疗器械经营环节的行政许可。负责权限内特种设备、计量器具的行政许可及备案工作。</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4</w:t>
      </w:r>
      <w:r>
        <w:rPr>
          <w:rFonts w:hint="eastAsia" w:ascii="仿宋" w:hAnsi="仿宋" w:eastAsia="仿宋" w:cs="仿宋"/>
          <w:sz w:val="28"/>
          <w:szCs w:val="28"/>
        </w:rPr>
        <w:t>）负责组织和指导市场监督综合执法工作。指导全区市场监管综合执法队伍整合和建设，推动实行统一的市场监管。组织配合查处重大违法案件。规范市场监管行政执法行为。</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5</w:t>
      </w:r>
      <w:r>
        <w:rPr>
          <w:rFonts w:hint="eastAsia" w:ascii="仿宋" w:hAnsi="仿宋" w:eastAsia="仿宋" w:cs="仿宋"/>
          <w:sz w:val="28"/>
          <w:szCs w:val="28"/>
        </w:rPr>
        <w:t>）受上级委托履行权限内的反垄断执法调查职责。统筹推进竞争政策实施，组织实施公平竞争审查制度。根据委托依法对经营者集中行为进行反垄断调查，根据委托负责承担垄断协议、滥用市场支配地位和滥用行政权力排除、限制竞争等反垄断工作。</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6</w:t>
      </w:r>
      <w:r>
        <w:rPr>
          <w:rFonts w:hint="eastAsia" w:ascii="仿宋" w:hAnsi="仿宋" w:eastAsia="仿宋" w:cs="仿宋"/>
          <w:sz w:val="28"/>
          <w:szCs w:val="28"/>
        </w:rPr>
        <w:t>）负责监督管理市场秩序。依法监督管理市场交易、网络商品交易及有关服务的行为。组织指导查处价格收费违法违规、不正当竞争、违法直销、传销、侵犯商标专利知识产权和制售假冒伪劣行为。指导广告业的发展，监督管理广告活动。指导依法查处无照生产经营和相关无证生产经营行为。</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7</w:t>
      </w:r>
      <w:r>
        <w:rPr>
          <w:rFonts w:hint="eastAsia" w:ascii="仿宋" w:hAnsi="仿宋" w:eastAsia="仿宋" w:cs="仿宋"/>
          <w:sz w:val="28"/>
          <w:szCs w:val="28"/>
        </w:rPr>
        <w:t>）负责宏观质量管理。拟制并组织实施质量强区发展的制度措施，会同有关部门组织实施较大工程设备质量监理制度，组织较大产品质量事故调查，贯彻实施缺陷产品召回制度，监督管理产品防伪工作。</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8</w:t>
      </w:r>
      <w:r>
        <w:rPr>
          <w:rFonts w:hint="eastAsia" w:ascii="仿宋" w:hAnsi="仿宋" w:eastAsia="仿宋" w:cs="仿宋"/>
          <w:sz w:val="28"/>
          <w:szCs w:val="28"/>
        </w:rPr>
        <w:t>）负责产品质量安全监督管理。管理产品质量安全风险监控、全区监督抽查工作，落实质量分级制度、质量安全追溯制度。负责工业产品生产许可监督管理。负责纤维质量监督工作。</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9</w:t>
      </w:r>
      <w:r>
        <w:rPr>
          <w:rFonts w:hint="eastAsia" w:ascii="仿宋" w:hAnsi="仿宋" w:eastAsia="仿宋" w:cs="仿宋"/>
          <w:sz w:val="28"/>
          <w:szCs w:val="28"/>
        </w:rPr>
        <w:t>）负责特种设备安全监督管理。综合管理特种设备安全监察、监督工作，监督检查高耗能特种设备节能标准和锅炉环境保护标准的执行情况。按规定权限配合组织调查处理特种设备事 故并进行统计分析。</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10</w:t>
      </w:r>
      <w:r>
        <w:rPr>
          <w:rFonts w:hint="eastAsia" w:ascii="仿宋" w:hAnsi="仿宋" w:eastAsia="仿宋" w:cs="仿宋"/>
          <w:sz w:val="28"/>
          <w:szCs w:val="28"/>
        </w:rPr>
        <w:t>）负责食品安全监督管理综合协调。组织制定食品安全有关政策措施并组织实施。负责食品安全应急体系建设，组织指导一般食品安全事件应急处置和调查处理工作。建立健全食品安全重要信息直报制度。承担区政府食品安全委员会日常工作。</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11</w:t>
      </w:r>
      <w:r>
        <w:rPr>
          <w:rFonts w:hint="eastAsia" w:ascii="仿宋" w:hAnsi="仿宋" w:eastAsia="仿宋" w:cs="仿宋"/>
          <w:sz w:val="28"/>
          <w:szCs w:val="28"/>
        </w:rPr>
        <w:t>）负责食品安全监督管理。建立覆盖食品生产、流通、消费全过程的监督检查制度和隐患排查治理机制并组织实施，防范区域性、系统性食品安全风险。推动建立食品生产经营者落实主体责任的机制，健全食品安全追溯体系。组织开展食品安全监督抽检、风险监测、核查处置和风险预警、风险交流工作。组织实施特殊食品监督管理。负责食盐专营管理和食盐安全监督管理。</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12</w:t>
      </w:r>
      <w:r>
        <w:rPr>
          <w:rFonts w:hint="eastAsia" w:ascii="仿宋" w:hAnsi="仿宋" w:eastAsia="仿宋" w:cs="仿宋"/>
          <w:sz w:val="28"/>
          <w:szCs w:val="28"/>
        </w:rPr>
        <w:t>）负责统一管理计量工作。推行法定计量单位和国家计量制度，依职责管理计量器具及量值传递和比对工作。规范、监督商品量和市场计量行为。</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13</w:t>
      </w:r>
      <w:r>
        <w:rPr>
          <w:rFonts w:hint="eastAsia" w:ascii="仿宋" w:hAnsi="仿宋" w:eastAsia="仿宋" w:cs="仿宋"/>
          <w:sz w:val="28"/>
          <w:szCs w:val="28"/>
        </w:rPr>
        <w:t>）负责统一管理标准化工作。指导开展标准化试点示范工作。依据法定职责，对标准的制定进行指导监督，对标准的实施进行监督检查。推行采用国际标准。</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14</w:t>
      </w:r>
      <w:r>
        <w:rPr>
          <w:rFonts w:hint="eastAsia" w:ascii="仿宋" w:hAnsi="仿宋" w:eastAsia="仿宋" w:cs="仿宋"/>
          <w:sz w:val="28"/>
          <w:szCs w:val="28"/>
        </w:rPr>
        <w:t>）负责统一管理检验检测工作。规范检验检测市场，完善检验检测体系，指导协调检验检测行业发展。</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15</w:t>
      </w:r>
      <w:r>
        <w:rPr>
          <w:rFonts w:hint="eastAsia" w:ascii="仿宋" w:hAnsi="仿宋" w:eastAsia="仿宋" w:cs="仿宋"/>
          <w:sz w:val="28"/>
          <w:szCs w:val="28"/>
        </w:rPr>
        <w:t>）负责统一管理、监督和综合协调全区认证认可工作。依法监督管理全区认证认可和合格评定有关活动。</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16</w:t>
      </w:r>
      <w:r>
        <w:rPr>
          <w:rFonts w:hint="eastAsia" w:ascii="仿宋" w:hAnsi="仿宋" w:eastAsia="仿宋" w:cs="仿宋"/>
          <w:sz w:val="28"/>
          <w:szCs w:val="28"/>
        </w:rPr>
        <w:t>）负责市场监督管理、知识产权领域科技和信息化建设、新闻宣传、对外交流与合作。按规定承担技术性贸易措施有关工作。</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17</w:t>
      </w:r>
      <w:r>
        <w:rPr>
          <w:rFonts w:hint="eastAsia" w:ascii="仿宋" w:hAnsi="仿宋" w:eastAsia="仿宋" w:cs="仿宋"/>
          <w:sz w:val="28"/>
          <w:szCs w:val="28"/>
        </w:rPr>
        <w:t>）负责实施知识产权战略，推进知识产权强区建设。组织制定实施知识产权创造、保护、运用的政策措施。负责知识产权公共服务体系建设、推动知识产权信息传播利用。统筹协调涉外知识产权有关事宜。</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18</w:t>
      </w:r>
      <w:r>
        <w:rPr>
          <w:rFonts w:hint="eastAsia" w:ascii="仿宋" w:hAnsi="仿宋" w:eastAsia="仿宋" w:cs="仿宋"/>
          <w:sz w:val="28"/>
          <w:szCs w:val="28"/>
        </w:rPr>
        <w:t>）负责保护知识产权。落实严格保护商标、专利、原产地地理标志等相关工作，负责知识产权保护体系建设，组织指导商标、专利执法工作。</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19</w:t>
      </w:r>
      <w:r>
        <w:rPr>
          <w:rFonts w:hint="eastAsia" w:ascii="仿宋" w:hAnsi="仿宋" w:eastAsia="仿宋" w:cs="仿宋"/>
          <w:sz w:val="28"/>
          <w:szCs w:val="28"/>
        </w:rPr>
        <w:t>）负责知识产权创造运用。按权限负责商标、专利和原产地地理标志的管理，开展知识产权运营体系建设，指导较大经济活动知识产权评议，规范知识产权交易和无形资产评估，促进知识产权转移转化。</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20</w:t>
      </w:r>
      <w:r>
        <w:rPr>
          <w:rFonts w:hint="eastAsia" w:ascii="仿宋" w:hAnsi="仿宋" w:eastAsia="仿宋" w:cs="仿宋"/>
          <w:sz w:val="28"/>
          <w:szCs w:val="28"/>
        </w:rPr>
        <w:t>）负责组织开展有关服务领域消费维权工作，查处制售假冒伪劣等违法行为，指导消费者咨询、申诉、举报受理、处理和网络体系建设等工作，保护经营者、消费者合法权益。</w:t>
      </w:r>
    </w:p>
    <w:p>
      <w:pPr>
        <w:keepNext w:val="0"/>
        <w:keepLines w:val="0"/>
        <w:pageBreakBefore w:val="0"/>
        <w:kinsoku/>
        <w:wordWrap/>
        <w:overflowPunct/>
        <w:topLinePunct w:val="0"/>
        <w:autoSpaceDE/>
        <w:autoSpaceDN/>
        <w:bidi w:val="0"/>
        <w:snapToGrid w:val="0"/>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21</w:t>
      </w:r>
      <w:r>
        <w:rPr>
          <w:rFonts w:hint="eastAsia" w:ascii="仿宋" w:hAnsi="仿宋" w:eastAsia="仿宋" w:cs="仿宋"/>
          <w:sz w:val="28"/>
          <w:szCs w:val="28"/>
        </w:rPr>
        <w:t>）负责职责范围内的药品、医疗器械和化妆品的质量管理。监督实施药品、医疗器械、化妆品标准和分类管理制度，配合有关部门实施国家基本药物制度。监督实施药品经营质量管理规范，监督实施医疗器械经营、使用质量管理规范，监督实施化妆品经营、使用卫生标准和技术</w:t>
      </w:r>
      <w:r>
        <w:rPr>
          <w:rFonts w:hint="eastAsia" w:ascii="仿宋" w:hAnsi="仿宋" w:eastAsia="仿宋" w:cs="仿宋"/>
          <w:sz w:val="28"/>
          <w:szCs w:val="28"/>
          <w:lang w:eastAsia="zh-CN"/>
        </w:rPr>
        <w:t>。</w:t>
      </w:r>
    </w:p>
    <w:p>
      <w:pPr>
        <w:keepNext w:val="0"/>
        <w:keepLines w:val="0"/>
        <w:pageBreakBefore w:val="0"/>
        <w:widowControl/>
        <w:kinsoku/>
        <w:wordWrap/>
        <w:overflowPunct/>
        <w:topLinePunct w:val="0"/>
        <w:autoSpaceDE/>
        <w:autoSpaceDN/>
        <w:bidi w:val="0"/>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2．机构情况，包括当年变动情况及原因。</w:t>
      </w:r>
    </w:p>
    <w:p>
      <w:pPr>
        <w:keepNext w:val="0"/>
        <w:keepLines w:val="0"/>
        <w:pageBreakBefore w:val="0"/>
        <w:widowControl/>
        <w:kinsoku/>
        <w:wordWrap/>
        <w:overflowPunct/>
        <w:topLinePunct w:val="0"/>
        <w:autoSpaceDE/>
        <w:autoSpaceDN/>
        <w:bidi w:val="0"/>
        <w:spacing w:line="440" w:lineRule="exact"/>
        <w:ind w:firstLine="560" w:firstLineChars="200"/>
        <w:textAlignment w:val="auto"/>
        <w:rPr>
          <w:rFonts w:hint="eastAsia" w:ascii="仿宋" w:hAnsi="仿宋" w:eastAsia="仿宋" w:cs="仿宋"/>
          <w:bCs/>
          <w:kern w:val="0"/>
          <w:sz w:val="28"/>
          <w:szCs w:val="28"/>
          <w:lang w:val="en-US" w:eastAsia="zh-CN"/>
        </w:rPr>
      </w:pPr>
      <w:r>
        <w:rPr>
          <w:rFonts w:hint="eastAsia" w:ascii="仿宋" w:hAnsi="仿宋" w:eastAsia="仿宋" w:cs="仿宋"/>
          <w:bCs/>
          <w:kern w:val="0"/>
          <w:sz w:val="28"/>
          <w:szCs w:val="28"/>
          <w:lang w:val="en-US" w:eastAsia="zh-CN"/>
        </w:rPr>
        <w:t>永州市零陵区市场监督管理局</w:t>
      </w:r>
      <w:r>
        <w:rPr>
          <w:rFonts w:hint="eastAsia" w:ascii="仿宋" w:hAnsi="仿宋" w:eastAsia="仿宋" w:cs="仿宋"/>
          <w:bCs/>
          <w:kern w:val="0"/>
          <w:sz w:val="28"/>
          <w:szCs w:val="28"/>
        </w:rPr>
        <w:t>内设机构包括：</w:t>
      </w:r>
      <w:r>
        <w:rPr>
          <w:rFonts w:hint="eastAsia" w:ascii="仿宋" w:hAnsi="仿宋" w:eastAsia="仿宋" w:cs="仿宋"/>
          <w:bCs/>
          <w:kern w:val="0"/>
          <w:sz w:val="28"/>
          <w:szCs w:val="28"/>
          <w:lang w:val="en-US" w:eastAsia="zh-CN"/>
        </w:rPr>
        <w:t>办公室（信访室、综合规划股）、政策法规股、执法督查股、行政审批股（登记注册股）、信用监督管理股、价格监督检查和反不正当竞争、反垄断股（规范直销与打击传销办公室）、网络交易监督管理股、广告监督管理股、质量发展股、产品质量安全监督管理股、食品安全协调股（区食品安全协调办公室）、食品生产安全监督管理股、餐饮服务食品安全监督管理股、食品流通安全监督管理股、特殊食品安全监督管理股、特种设备安全监察股、计量和标准化股、认证、认可与检验检测监督管理股、知识产权股、消费者权益保护股（投诉举报办公室）、新闻宣传与应急管理股、非公有制经济组织党建工作股、药品和医疗器械监督管理股（药品生产服务股）、化妆品监督管理股、科技和财务股、人事股；14个派出机构，包括徐家井市管所、南津渡市管所、朝阳市管所、七里店市管所、富家桥市管所、邮亭圩市管所、珠山+梳子铺市管所、水口山市管所、工业园市管所、接履桥市管所、菱角塘市管所、黄田铺市管所、凼底市管所、石岩头+大庆坪市管所；五个事业单位，包括零陵区市场监督管理局个体私营经济发展指导中心、零陵区消费者委员会办公室、零陵区市场监督管理局信息中心、永州市市场监管综合行政执法支队零陵区大队与零陵区食品质量安全监督检测检验中心。</w:t>
      </w:r>
    </w:p>
    <w:p>
      <w:pPr>
        <w:keepNext w:val="0"/>
        <w:keepLines w:val="0"/>
        <w:pageBreakBefore w:val="0"/>
        <w:numPr>
          <w:ilvl w:val="0"/>
          <w:numId w:val="0"/>
        </w:numPr>
        <w:kinsoku/>
        <w:wordWrap/>
        <w:overflowPunct/>
        <w:topLinePunct w:val="0"/>
        <w:autoSpaceDE/>
        <w:autoSpaceDN/>
        <w:bidi w:val="0"/>
        <w:snapToGrid w:val="0"/>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人员情况，包括当年变动情况及原因。</w:t>
      </w:r>
    </w:p>
    <w:p>
      <w:pPr>
        <w:keepNext w:val="0"/>
        <w:keepLines w:val="0"/>
        <w:pageBreakBefore w:val="0"/>
        <w:widowControl/>
        <w:kinsoku/>
        <w:wordWrap/>
        <w:overflowPunct/>
        <w:topLinePunct w:val="0"/>
        <w:autoSpaceDE/>
        <w:autoSpaceDN/>
        <w:bidi w:val="0"/>
        <w:spacing w:line="440" w:lineRule="exact"/>
        <w:ind w:firstLine="560" w:firstLineChars="200"/>
        <w:textAlignment w:val="auto"/>
        <w:rPr>
          <w:rFonts w:hint="eastAsia" w:ascii="仿宋" w:hAnsi="仿宋" w:eastAsia="仿宋" w:cs="仿宋"/>
          <w:bCs/>
          <w:kern w:val="0"/>
          <w:sz w:val="28"/>
          <w:szCs w:val="28"/>
          <w:lang w:val="en-US" w:eastAsia="zh-CN"/>
        </w:rPr>
      </w:pPr>
      <w:r>
        <w:rPr>
          <w:rFonts w:hint="eastAsia" w:ascii="仿宋" w:hAnsi="仿宋" w:eastAsia="仿宋" w:cs="仿宋"/>
          <w:bCs/>
          <w:kern w:val="0"/>
          <w:sz w:val="28"/>
          <w:szCs w:val="28"/>
          <w:lang w:val="en-US" w:eastAsia="zh-CN"/>
        </w:rPr>
        <w:t>2025年年末实有人数189人（不含遗属优抚人员），与2024年度相比，减少1人，变动情况及原因如下：</w:t>
      </w:r>
    </w:p>
    <w:p>
      <w:pPr>
        <w:keepNext w:val="0"/>
        <w:keepLines w:val="0"/>
        <w:pageBreakBefore w:val="0"/>
        <w:widowControl/>
        <w:kinsoku/>
        <w:wordWrap/>
        <w:overflowPunct/>
        <w:topLinePunct w:val="0"/>
        <w:autoSpaceDE/>
        <w:autoSpaceDN/>
        <w:bidi w:val="0"/>
        <w:spacing w:line="44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bCs/>
          <w:kern w:val="0"/>
          <w:sz w:val="28"/>
          <w:szCs w:val="28"/>
          <w:lang w:val="en-US" w:eastAsia="zh-CN"/>
        </w:rPr>
        <w:t>（1）2025年在职人员人数78人。与2024年度相比，减少10人，在职人员人数主要变动原因：公务员9人退休，1人调出</w:t>
      </w:r>
      <w:r>
        <w:rPr>
          <w:rFonts w:hint="eastAsia" w:ascii="仿宋" w:hAnsi="仿宋" w:eastAsia="仿宋" w:cs="仿宋"/>
          <w:sz w:val="28"/>
          <w:szCs w:val="28"/>
          <w:highlight w:val="none"/>
          <w:lang w:val="en-US" w:eastAsia="zh-CN" w:bidi="ar"/>
        </w:rPr>
        <w:t>。</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highlight w:val="none"/>
          <w:lang w:val="en-US" w:eastAsia="zh-CN" w:bidi="ar"/>
        </w:rPr>
        <w:t>（2）2025年退休人员人数为111人。与2024年度相比，增加9人，退休人员人数主要变动原因：2025年有新的退休人员。</w:t>
      </w:r>
    </w:p>
    <w:p>
      <w:pPr>
        <w:keepNext w:val="0"/>
        <w:keepLines w:val="0"/>
        <w:pageBreakBefore w:val="0"/>
        <w:kinsoku/>
        <w:wordWrap/>
        <w:overflowPunct/>
        <w:topLinePunct w:val="0"/>
        <w:autoSpaceDE/>
        <w:autoSpaceDN/>
        <w:bidi w:val="0"/>
        <w:spacing w:before="1" w:line="440" w:lineRule="exact"/>
        <w:ind w:right="133" w:firstLine="672" w:firstLineChars="200"/>
        <w:jc w:val="both"/>
        <w:textAlignment w:val="auto"/>
        <w:rPr>
          <w:rFonts w:hint="eastAsia" w:ascii="仿宋" w:hAnsi="仿宋" w:eastAsia="仿宋" w:cs="仿宋"/>
          <w:sz w:val="28"/>
          <w:szCs w:val="28"/>
        </w:rPr>
      </w:pPr>
      <w:r>
        <w:rPr>
          <w:rFonts w:hint="eastAsia" w:ascii="仿宋" w:hAnsi="仿宋" w:eastAsia="仿宋" w:cs="仿宋"/>
          <w:spacing w:val="28"/>
          <w:sz w:val="28"/>
          <w:szCs w:val="28"/>
        </w:rPr>
        <w:t>(二)部门(单位)整体支出规模，包括但不限于</w:t>
      </w:r>
      <w:r>
        <w:rPr>
          <w:rFonts w:hint="eastAsia" w:ascii="仿宋" w:hAnsi="仿宋" w:eastAsia="仿宋" w:cs="仿宋"/>
          <w:spacing w:val="27"/>
          <w:sz w:val="28"/>
          <w:szCs w:val="28"/>
        </w:rPr>
        <w:t>部门</w:t>
      </w:r>
      <w:r>
        <w:rPr>
          <w:rFonts w:hint="eastAsia" w:ascii="仿宋" w:hAnsi="仿宋" w:eastAsia="仿宋" w:cs="仿宋"/>
          <w:spacing w:val="8"/>
          <w:sz w:val="28"/>
          <w:szCs w:val="28"/>
        </w:rPr>
        <w:t>整体支出情况、部门预算收支决算情况及“三公经</w:t>
      </w:r>
      <w:r>
        <w:rPr>
          <w:rFonts w:hint="eastAsia" w:ascii="仿宋" w:hAnsi="仿宋" w:eastAsia="仿宋" w:cs="仿宋"/>
          <w:spacing w:val="7"/>
          <w:sz w:val="28"/>
          <w:szCs w:val="28"/>
        </w:rPr>
        <w:t>费”支出</w:t>
      </w:r>
      <w:r>
        <w:rPr>
          <w:rFonts w:hint="eastAsia" w:ascii="仿宋" w:hAnsi="仿宋" w:eastAsia="仿宋" w:cs="仿宋"/>
          <w:spacing w:val="-3"/>
          <w:sz w:val="28"/>
          <w:szCs w:val="28"/>
        </w:rPr>
        <w:t>使用和管理情况。</w:t>
      </w:r>
    </w:p>
    <w:p>
      <w:pPr>
        <w:keepNext w:val="0"/>
        <w:keepLines w:val="0"/>
        <w:pageBreakBefore w:val="0"/>
        <w:kinsoku/>
        <w:wordWrap/>
        <w:overflowPunct/>
        <w:topLinePunct w:val="0"/>
        <w:autoSpaceDE/>
        <w:autoSpaceDN/>
        <w:bidi w:val="0"/>
        <w:spacing w:before="23"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1.部门整体支出情况。</w:t>
      </w:r>
    </w:p>
    <w:p>
      <w:pPr>
        <w:keepNext w:val="0"/>
        <w:keepLines w:val="0"/>
        <w:pageBreakBefore w:val="0"/>
        <w:kinsoku/>
        <w:wordWrap/>
        <w:overflowPunct/>
        <w:topLinePunct w:val="0"/>
        <w:autoSpaceDE/>
        <w:autoSpaceDN/>
        <w:bidi w:val="0"/>
        <w:spacing w:before="182" w:line="440" w:lineRule="exact"/>
        <w:ind w:right="115" w:firstLine="612" w:firstLineChars="200"/>
        <w:textAlignment w:val="auto"/>
        <w:rPr>
          <w:rFonts w:hint="eastAsia" w:ascii="仿宋" w:hAnsi="仿宋" w:eastAsia="仿宋" w:cs="仿宋"/>
          <w:sz w:val="28"/>
          <w:szCs w:val="28"/>
        </w:rPr>
      </w:pPr>
      <w:r>
        <w:rPr>
          <w:rFonts w:hint="eastAsia" w:ascii="仿宋" w:hAnsi="仿宋" w:eastAsia="仿宋" w:cs="仿宋"/>
          <w:spacing w:val="13"/>
          <w:sz w:val="28"/>
          <w:szCs w:val="28"/>
        </w:rPr>
        <w:t>202</w:t>
      </w:r>
      <w:r>
        <w:rPr>
          <w:rFonts w:hint="eastAsia" w:ascii="仿宋" w:hAnsi="仿宋" w:eastAsia="仿宋" w:cs="仿宋"/>
          <w:spacing w:val="13"/>
          <w:sz w:val="28"/>
          <w:szCs w:val="28"/>
          <w:lang w:val="en-US" w:eastAsia="zh-CN"/>
        </w:rPr>
        <w:t>5</w:t>
      </w:r>
      <w:r>
        <w:rPr>
          <w:rFonts w:hint="eastAsia" w:ascii="仿宋" w:hAnsi="仿宋" w:eastAsia="仿宋" w:cs="仿宋"/>
          <w:spacing w:val="13"/>
          <w:sz w:val="28"/>
          <w:szCs w:val="28"/>
        </w:rPr>
        <w:t>年度年初预算收入总计</w:t>
      </w:r>
      <w:r>
        <w:rPr>
          <w:rFonts w:hint="eastAsia" w:ascii="仿宋" w:hAnsi="仿宋" w:eastAsia="仿宋" w:cs="仿宋"/>
          <w:color w:val="auto"/>
          <w:sz w:val="28"/>
          <w:szCs w:val="28"/>
          <w:highlight w:val="none"/>
          <w:lang w:val="en-US" w:eastAsia="zh-CN"/>
        </w:rPr>
        <w:t>1581.12</w:t>
      </w:r>
      <w:r>
        <w:rPr>
          <w:rFonts w:hint="eastAsia" w:ascii="仿宋" w:hAnsi="仿宋" w:eastAsia="仿宋" w:cs="仿宋"/>
          <w:spacing w:val="13"/>
          <w:sz w:val="28"/>
          <w:szCs w:val="28"/>
        </w:rPr>
        <w:t>万元，实</w:t>
      </w:r>
      <w:r>
        <w:rPr>
          <w:rFonts w:hint="eastAsia" w:ascii="仿宋" w:hAnsi="仿宋" w:eastAsia="仿宋" w:cs="仿宋"/>
          <w:spacing w:val="12"/>
          <w:sz w:val="28"/>
          <w:szCs w:val="28"/>
        </w:rPr>
        <w:t>际总收入</w:t>
      </w:r>
      <w:r>
        <w:rPr>
          <w:rFonts w:hint="eastAsia" w:ascii="仿宋" w:hAnsi="仿宋" w:eastAsia="仿宋" w:cs="仿宋"/>
          <w:color w:val="auto"/>
          <w:sz w:val="28"/>
          <w:szCs w:val="28"/>
          <w:highlight w:val="none"/>
          <w:lang w:val="en-US" w:eastAsia="zh-CN"/>
        </w:rPr>
        <w:t>1842.53</w:t>
      </w:r>
      <w:r>
        <w:rPr>
          <w:rFonts w:hint="eastAsia" w:ascii="仿宋" w:hAnsi="仿宋" w:eastAsia="仿宋" w:cs="仿宋"/>
          <w:spacing w:val="11"/>
          <w:sz w:val="28"/>
          <w:szCs w:val="28"/>
        </w:rPr>
        <w:t>万元，财政拨款收入</w:t>
      </w:r>
      <w:r>
        <w:rPr>
          <w:rFonts w:hint="eastAsia" w:ascii="仿宋" w:hAnsi="仿宋" w:eastAsia="仿宋" w:cs="仿宋"/>
          <w:color w:val="auto"/>
          <w:sz w:val="28"/>
          <w:szCs w:val="28"/>
          <w:highlight w:val="none"/>
          <w:lang w:val="en-US" w:eastAsia="zh-CN"/>
        </w:rPr>
        <w:t>1842.53</w:t>
      </w:r>
      <w:r>
        <w:rPr>
          <w:rFonts w:hint="eastAsia" w:ascii="仿宋" w:hAnsi="仿宋" w:eastAsia="仿宋" w:cs="仿宋"/>
          <w:spacing w:val="11"/>
          <w:sz w:val="28"/>
          <w:szCs w:val="28"/>
        </w:rPr>
        <w:t>万元</w:t>
      </w:r>
      <w:r>
        <w:rPr>
          <w:rFonts w:hint="eastAsia" w:ascii="仿宋" w:hAnsi="仿宋" w:eastAsia="仿宋" w:cs="仿宋"/>
          <w:spacing w:val="15"/>
          <w:sz w:val="28"/>
          <w:szCs w:val="28"/>
        </w:rPr>
        <w:t>。202</w:t>
      </w:r>
      <w:r>
        <w:rPr>
          <w:rFonts w:hint="eastAsia" w:ascii="仿宋" w:hAnsi="仿宋" w:eastAsia="仿宋" w:cs="仿宋"/>
          <w:spacing w:val="15"/>
          <w:sz w:val="28"/>
          <w:szCs w:val="28"/>
          <w:lang w:val="en-US" w:eastAsia="zh-CN"/>
        </w:rPr>
        <w:t>5</w:t>
      </w:r>
      <w:r>
        <w:rPr>
          <w:rFonts w:hint="eastAsia" w:ascii="仿宋" w:hAnsi="仿宋" w:eastAsia="仿宋" w:cs="仿宋"/>
          <w:spacing w:val="15"/>
          <w:sz w:val="28"/>
          <w:szCs w:val="28"/>
        </w:rPr>
        <w:t>年总支出</w:t>
      </w:r>
      <w:r>
        <w:rPr>
          <w:rFonts w:hint="eastAsia" w:ascii="仿宋" w:hAnsi="仿宋" w:eastAsia="仿宋" w:cs="仿宋"/>
          <w:color w:val="auto"/>
          <w:sz w:val="28"/>
          <w:szCs w:val="28"/>
          <w:highlight w:val="none"/>
          <w:lang w:val="en-US" w:eastAsia="zh-CN"/>
        </w:rPr>
        <w:t>1842.53</w:t>
      </w:r>
      <w:r>
        <w:rPr>
          <w:rFonts w:hint="eastAsia" w:ascii="仿宋" w:hAnsi="仿宋" w:eastAsia="仿宋" w:cs="仿宋"/>
          <w:spacing w:val="15"/>
          <w:sz w:val="28"/>
          <w:szCs w:val="28"/>
        </w:rPr>
        <w:t>万元，其中工资福利支出</w:t>
      </w:r>
      <w:r>
        <w:rPr>
          <w:rFonts w:hint="eastAsia" w:ascii="仿宋" w:hAnsi="仿宋" w:eastAsia="仿宋" w:cs="仿宋"/>
          <w:color w:val="auto"/>
          <w:kern w:val="2"/>
          <w:sz w:val="28"/>
          <w:szCs w:val="28"/>
          <w:highlight w:val="none"/>
          <w:lang w:val="en-US" w:eastAsia="zh-CN" w:bidi="ar-SA"/>
        </w:rPr>
        <w:t>1259.09</w:t>
      </w:r>
      <w:r>
        <w:rPr>
          <w:rFonts w:hint="eastAsia" w:ascii="仿宋" w:hAnsi="仿宋" w:eastAsia="仿宋" w:cs="仿宋"/>
          <w:spacing w:val="20"/>
          <w:sz w:val="28"/>
          <w:szCs w:val="28"/>
        </w:rPr>
        <w:t>万元，占总支出的</w:t>
      </w:r>
      <w:r>
        <w:rPr>
          <w:rFonts w:hint="eastAsia" w:ascii="仿宋" w:hAnsi="仿宋" w:eastAsia="仿宋" w:cs="仿宋"/>
          <w:spacing w:val="20"/>
          <w:sz w:val="28"/>
          <w:szCs w:val="28"/>
          <w:lang w:val="en-US" w:eastAsia="zh-CN"/>
        </w:rPr>
        <w:t>68.33</w:t>
      </w:r>
      <w:r>
        <w:rPr>
          <w:rFonts w:hint="eastAsia" w:ascii="仿宋" w:hAnsi="仿宋" w:eastAsia="仿宋" w:cs="仿宋"/>
          <w:spacing w:val="20"/>
          <w:sz w:val="28"/>
          <w:szCs w:val="28"/>
        </w:rPr>
        <w:t>%,商品和服务支出</w:t>
      </w:r>
      <w:r>
        <w:rPr>
          <w:rFonts w:hint="eastAsia" w:ascii="仿宋" w:hAnsi="仿宋" w:eastAsia="仿宋" w:cs="仿宋"/>
          <w:color w:val="auto"/>
          <w:kern w:val="2"/>
          <w:sz w:val="28"/>
          <w:szCs w:val="28"/>
          <w:highlight w:val="none"/>
          <w:lang w:val="en-US" w:eastAsia="zh-CN" w:bidi="ar-SA"/>
        </w:rPr>
        <w:t>341.25</w:t>
      </w:r>
      <w:r>
        <w:rPr>
          <w:rFonts w:hint="eastAsia" w:ascii="仿宋" w:hAnsi="仿宋" w:eastAsia="仿宋" w:cs="仿宋"/>
          <w:spacing w:val="20"/>
          <w:sz w:val="28"/>
          <w:szCs w:val="28"/>
        </w:rPr>
        <w:t>万元，</w:t>
      </w:r>
      <w:r>
        <w:rPr>
          <w:rFonts w:hint="eastAsia" w:ascii="仿宋" w:hAnsi="仿宋" w:eastAsia="仿宋" w:cs="仿宋"/>
          <w:spacing w:val="17"/>
          <w:sz w:val="28"/>
          <w:szCs w:val="28"/>
        </w:rPr>
        <w:t>占总支出的</w:t>
      </w:r>
      <w:r>
        <w:rPr>
          <w:rFonts w:hint="eastAsia" w:ascii="仿宋" w:hAnsi="仿宋" w:eastAsia="仿宋" w:cs="仿宋"/>
          <w:spacing w:val="17"/>
          <w:sz w:val="28"/>
          <w:szCs w:val="28"/>
          <w:lang w:val="en-US" w:eastAsia="zh-CN"/>
        </w:rPr>
        <w:t>18.52</w:t>
      </w:r>
      <w:r>
        <w:rPr>
          <w:rFonts w:hint="eastAsia" w:ascii="仿宋" w:hAnsi="仿宋" w:eastAsia="仿宋" w:cs="仿宋"/>
          <w:spacing w:val="17"/>
          <w:sz w:val="28"/>
          <w:szCs w:val="28"/>
        </w:rPr>
        <w:t>%,对个人和家庭的补助</w:t>
      </w:r>
      <w:r>
        <w:rPr>
          <w:rFonts w:hint="eastAsia" w:ascii="仿宋" w:hAnsi="仿宋" w:eastAsia="仿宋" w:cs="仿宋"/>
          <w:color w:val="auto"/>
          <w:kern w:val="2"/>
          <w:sz w:val="28"/>
          <w:szCs w:val="28"/>
          <w:highlight w:val="none"/>
          <w:lang w:val="en-US" w:eastAsia="zh-CN" w:bidi="ar-SA"/>
        </w:rPr>
        <w:t>239.32</w:t>
      </w:r>
      <w:r>
        <w:rPr>
          <w:rFonts w:hint="eastAsia" w:ascii="仿宋" w:hAnsi="仿宋" w:eastAsia="仿宋" w:cs="仿宋"/>
          <w:spacing w:val="17"/>
          <w:sz w:val="28"/>
          <w:szCs w:val="28"/>
        </w:rPr>
        <w:t>万元，占总</w:t>
      </w:r>
      <w:r>
        <w:rPr>
          <w:rFonts w:hint="eastAsia" w:ascii="仿宋" w:hAnsi="仿宋" w:eastAsia="仿宋" w:cs="仿宋"/>
          <w:spacing w:val="20"/>
          <w:sz w:val="28"/>
          <w:szCs w:val="28"/>
        </w:rPr>
        <w:t>支出的</w:t>
      </w:r>
      <w:r>
        <w:rPr>
          <w:rFonts w:hint="eastAsia" w:ascii="仿宋" w:hAnsi="仿宋" w:eastAsia="仿宋" w:cs="仿宋"/>
          <w:spacing w:val="20"/>
          <w:sz w:val="28"/>
          <w:szCs w:val="28"/>
          <w:lang w:val="en-US" w:eastAsia="zh-CN"/>
        </w:rPr>
        <w:t>12.99</w:t>
      </w:r>
      <w:r>
        <w:rPr>
          <w:rFonts w:hint="eastAsia" w:ascii="仿宋" w:hAnsi="仿宋" w:eastAsia="仿宋" w:cs="仿宋"/>
          <w:spacing w:val="20"/>
          <w:sz w:val="28"/>
          <w:szCs w:val="28"/>
        </w:rPr>
        <w:t>%,资本性支出</w:t>
      </w:r>
      <w:r>
        <w:rPr>
          <w:rFonts w:hint="eastAsia" w:ascii="仿宋" w:hAnsi="仿宋" w:eastAsia="仿宋" w:cs="仿宋"/>
          <w:color w:val="auto"/>
          <w:kern w:val="2"/>
          <w:sz w:val="28"/>
          <w:szCs w:val="28"/>
          <w:highlight w:val="none"/>
          <w:lang w:val="en-US" w:eastAsia="zh-CN" w:bidi="ar-SA"/>
        </w:rPr>
        <w:t>2.87</w:t>
      </w:r>
      <w:r>
        <w:rPr>
          <w:rFonts w:hint="eastAsia" w:ascii="仿宋" w:hAnsi="仿宋" w:eastAsia="仿宋" w:cs="仿宋"/>
          <w:spacing w:val="20"/>
          <w:sz w:val="28"/>
          <w:szCs w:val="28"/>
        </w:rPr>
        <w:t>万元，占总支出</w:t>
      </w:r>
      <w:r>
        <w:rPr>
          <w:rFonts w:hint="eastAsia" w:ascii="仿宋" w:hAnsi="仿宋" w:eastAsia="仿宋" w:cs="仿宋"/>
          <w:spacing w:val="19"/>
          <w:sz w:val="28"/>
          <w:szCs w:val="28"/>
        </w:rPr>
        <w:t>的</w:t>
      </w:r>
      <w:r>
        <w:rPr>
          <w:rFonts w:hint="eastAsia" w:ascii="仿宋" w:hAnsi="仿宋" w:eastAsia="仿宋" w:cs="仿宋"/>
          <w:spacing w:val="19"/>
          <w:sz w:val="28"/>
          <w:szCs w:val="28"/>
          <w:lang w:val="en-US" w:eastAsia="zh-CN"/>
        </w:rPr>
        <w:t>0.16</w:t>
      </w:r>
      <w:r>
        <w:rPr>
          <w:rFonts w:hint="eastAsia" w:ascii="仿宋" w:hAnsi="仿宋" w:eastAsia="仿宋" w:cs="仿宋"/>
          <w:spacing w:val="19"/>
          <w:sz w:val="28"/>
          <w:szCs w:val="28"/>
        </w:rPr>
        <w:t>%。</w:t>
      </w:r>
    </w:p>
    <w:p>
      <w:pPr>
        <w:keepNext w:val="0"/>
        <w:keepLines w:val="0"/>
        <w:pageBreakBefore w:val="0"/>
        <w:widowControl w:val="0"/>
        <w:kinsoku/>
        <w:wordWrap/>
        <w:overflowPunct/>
        <w:topLinePunct w:val="0"/>
        <w:autoSpaceDE/>
        <w:autoSpaceDN/>
        <w:bidi w:val="0"/>
        <w:adjustRightInd/>
        <w:snapToGrid/>
        <w:spacing w:before="1" w:line="440" w:lineRule="exact"/>
        <w:ind w:firstLine="580" w:firstLineChars="200"/>
        <w:textAlignment w:val="auto"/>
        <w:rPr>
          <w:rFonts w:hint="eastAsia" w:ascii="仿宋" w:hAnsi="仿宋" w:eastAsia="仿宋" w:cs="仿宋"/>
          <w:sz w:val="28"/>
          <w:szCs w:val="28"/>
        </w:rPr>
      </w:pPr>
      <w:r>
        <w:rPr>
          <w:rFonts w:hint="eastAsia" w:ascii="仿宋" w:hAnsi="仿宋" w:eastAsia="仿宋" w:cs="仿宋"/>
          <w:spacing w:val="5"/>
          <w:sz w:val="28"/>
          <w:szCs w:val="28"/>
        </w:rPr>
        <w:t>2.部门预算收支决算情况。</w:t>
      </w:r>
    </w:p>
    <w:p>
      <w:pPr>
        <w:keepNext w:val="0"/>
        <w:keepLines w:val="0"/>
        <w:pageBreakBefore w:val="0"/>
        <w:widowControl w:val="0"/>
        <w:kinsoku/>
        <w:wordWrap/>
        <w:overflowPunct/>
        <w:topLinePunct w:val="0"/>
        <w:autoSpaceDE/>
        <w:autoSpaceDN/>
        <w:bidi w:val="0"/>
        <w:adjustRightInd/>
        <w:snapToGrid/>
        <w:spacing w:before="187" w:line="440" w:lineRule="exact"/>
        <w:ind w:firstLine="624" w:firstLineChars="200"/>
        <w:textAlignment w:val="auto"/>
        <w:rPr>
          <w:rFonts w:hint="eastAsia" w:ascii="仿宋" w:hAnsi="仿宋" w:eastAsia="仿宋" w:cs="仿宋"/>
          <w:sz w:val="28"/>
          <w:szCs w:val="28"/>
        </w:rPr>
      </w:pPr>
      <w:r>
        <w:rPr>
          <w:rFonts w:hint="eastAsia" w:ascii="仿宋" w:hAnsi="仿宋" w:eastAsia="仿宋" w:cs="仿宋"/>
          <w:spacing w:val="16"/>
          <w:sz w:val="28"/>
          <w:szCs w:val="28"/>
        </w:rPr>
        <w:t>(1)收入支出与预算对比分析。</w:t>
      </w:r>
    </w:p>
    <w:p>
      <w:pPr>
        <w:keepNext w:val="0"/>
        <w:keepLines w:val="0"/>
        <w:pageBreakBefore w:val="0"/>
        <w:widowControl w:val="0"/>
        <w:kinsoku/>
        <w:wordWrap/>
        <w:overflowPunct/>
        <w:topLinePunct w:val="0"/>
        <w:autoSpaceDE/>
        <w:autoSpaceDN/>
        <w:bidi w:val="0"/>
        <w:adjustRightInd/>
        <w:snapToGrid/>
        <w:spacing w:before="215" w:line="440" w:lineRule="exact"/>
        <w:ind w:firstLine="600" w:firstLineChars="200"/>
        <w:textAlignment w:val="auto"/>
        <w:rPr>
          <w:rFonts w:hint="eastAsia" w:ascii="仿宋" w:hAnsi="仿宋" w:eastAsia="仿宋" w:cs="仿宋"/>
          <w:sz w:val="28"/>
          <w:szCs w:val="28"/>
        </w:rPr>
      </w:pPr>
      <w:r>
        <w:rPr>
          <w:rFonts w:hint="eastAsia" w:ascii="仿宋" w:hAnsi="仿宋" w:eastAsia="仿宋" w:cs="仿宋"/>
          <w:spacing w:val="10"/>
          <w:sz w:val="28"/>
          <w:szCs w:val="28"/>
        </w:rPr>
        <w:t>本年收入总计</w:t>
      </w:r>
      <w:r>
        <w:rPr>
          <w:rFonts w:hint="eastAsia" w:ascii="仿宋" w:hAnsi="仿宋" w:eastAsia="仿宋" w:cs="仿宋"/>
          <w:color w:val="auto"/>
          <w:sz w:val="28"/>
          <w:szCs w:val="28"/>
          <w:highlight w:val="none"/>
          <w:lang w:val="en-US" w:eastAsia="zh-CN"/>
        </w:rPr>
        <w:t>1842.53</w:t>
      </w:r>
      <w:r>
        <w:rPr>
          <w:rFonts w:hint="eastAsia" w:ascii="仿宋" w:hAnsi="仿宋" w:eastAsia="仿宋" w:cs="仿宋"/>
          <w:spacing w:val="10"/>
          <w:sz w:val="28"/>
          <w:szCs w:val="28"/>
        </w:rPr>
        <w:t>万元，年初预算数</w:t>
      </w:r>
      <w:r>
        <w:rPr>
          <w:rFonts w:hint="eastAsia" w:ascii="仿宋" w:hAnsi="仿宋" w:eastAsia="仿宋" w:cs="仿宋"/>
          <w:color w:val="auto"/>
          <w:sz w:val="28"/>
          <w:szCs w:val="28"/>
          <w:highlight w:val="none"/>
          <w:lang w:val="en-US" w:eastAsia="zh-CN"/>
        </w:rPr>
        <w:t>1581.12</w:t>
      </w:r>
      <w:r>
        <w:rPr>
          <w:rFonts w:hint="eastAsia" w:ascii="仿宋" w:hAnsi="仿宋" w:eastAsia="仿宋" w:cs="仿宋"/>
          <w:spacing w:val="10"/>
          <w:sz w:val="28"/>
          <w:szCs w:val="28"/>
        </w:rPr>
        <w:t>万元，</w:t>
      </w:r>
      <w:r>
        <w:rPr>
          <w:rFonts w:hint="eastAsia" w:ascii="仿宋" w:hAnsi="仿宋" w:eastAsia="仿宋" w:cs="仿宋"/>
          <w:spacing w:val="1"/>
          <w:sz w:val="28"/>
          <w:szCs w:val="28"/>
        </w:rPr>
        <w:t>增幅</w:t>
      </w:r>
      <w:r>
        <w:rPr>
          <w:rFonts w:hint="eastAsia" w:ascii="仿宋" w:hAnsi="仿宋" w:eastAsia="仿宋" w:cs="仿宋"/>
          <w:spacing w:val="1"/>
          <w:sz w:val="28"/>
          <w:szCs w:val="28"/>
          <w:lang w:val="en-US" w:eastAsia="zh-CN"/>
        </w:rPr>
        <w:t>16.53</w:t>
      </w:r>
      <w:r>
        <w:rPr>
          <w:rFonts w:hint="eastAsia" w:ascii="仿宋" w:hAnsi="仿宋" w:eastAsia="仿宋" w:cs="仿宋"/>
          <w:spacing w:val="1"/>
          <w:sz w:val="28"/>
          <w:szCs w:val="28"/>
        </w:rPr>
        <w:t>%。财政拨款收入</w:t>
      </w:r>
      <w:r>
        <w:rPr>
          <w:rFonts w:hint="eastAsia" w:ascii="仿宋" w:hAnsi="仿宋" w:eastAsia="仿宋" w:cs="仿宋"/>
          <w:color w:val="auto"/>
          <w:sz w:val="28"/>
          <w:szCs w:val="28"/>
          <w:highlight w:val="none"/>
          <w:lang w:val="en-US" w:eastAsia="zh-CN"/>
        </w:rPr>
        <w:t>1842.53</w:t>
      </w:r>
      <w:r>
        <w:rPr>
          <w:rFonts w:hint="eastAsia" w:ascii="仿宋" w:hAnsi="仿宋" w:eastAsia="仿宋" w:cs="仿宋"/>
          <w:spacing w:val="1"/>
          <w:sz w:val="28"/>
          <w:szCs w:val="28"/>
        </w:rPr>
        <w:t>万元，年初预算数</w:t>
      </w:r>
      <w:r>
        <w:rPr>
          <w:rFonts w:hint="eastAsia" w:ascii="仿宋" w:hAnsi="仿宋" w:eastAsia="仿宋" w:cs="仿宋"/>
          <w:color w:val="auto"/>
          <w:sz w:val="28"/>
          <w:szCs w:val="28"/>
          <w:highlight w:val="none"/>
          <w:lang w:val="en-US" w:eastAsia="zh-CN"/>
        </w:rPr>
        <w:t>1842.53</w:t>
      </w:r>
      <w:r>
        <w:rPr>
          <w:rFonts w:hint="eastAsia" w:ascii="仿宋" w:hAnsi="仿宋" w:eastAsia="仿宋" w:cs="仿宋"/>
          <w:spacing w:val="11"/>
          <w:sz w:val="28"/>
          <w:szCs w:val="28"/>
        </w:rPr>
        <w:t>万元，增幅</w:t>
      </w:r>
      <w:r>
        <w:rPr>
          <w:rFonts w:hint="eastAsia" w:ascii="仿宋" w:hAnsi="仿宋" w:eastAsia="仿宋" w:cs="仿宋"/>
          <w:spacing w:val="1"/>
          <w:sz w:val="28"/>
          <w:szCs w:val="28"/>
          <w:lang w:val="en-US" w:eastAsia="zh-CN"/>
        </w:rPr>
        <w:t>16.53</w:t>
      </w:r>
      <w:r>
        <w:rPr>
          <w:rFonts w:hint="eastAsia" w:ascii="仿宋" w:hAnsi="仿宋" w:eastAsia="仿宋" w:cs="仿宋"/>
          <w:spacing w:val="11"/>
          <w:sz w:val="28"/>
          <w:szCs w:val="28"/>
        </w:rPr>
        <w:t>%</w:t>
      </w:r>
      <w:r>
        <w:rPr>
          <w:rFonts w:hint="eastAsia" w:ascii="仿宋" w:hAnsi="仿宋" w:eastAsia="仿宋" w:cs="仿宋"/>
          <w:spacing w:val="10"/>
          <w:sz w:val="28"/>
          <w:szCs w:val="28"/>
        </w:rPr>
        <w:t>。</w:t>
      </w:r>
    </w:p>
    <w:p>
      <w:pPr>
        <w:keepNext w:val="0"/>
        <w:keepLines w:val="0"/>
        <w:pageBreakBefore w:val="0"/>
        <w:kinsoku/>
        <w:wordWrap/>
        <w:overflowPunct/>
        <w:topLinePunct w:val="0"/>
        <w:autoSpaceDE/>
        <w:autoSpaceDN/>
        <w:bidi w:val="0"/>
        <w:spacing w:before="9" w:line="440" w:lineRule="exact"/>
        <w:ind w:right="109" w:firstLine="600" w:firstLineChars="200"/>
        <w:textAlignment w:val="auto"/>
        <w:rPr>
          <w:rFonts w:hint="eastAsia" w:ascii="仿宋" w:hAnsi="仿宋" w:eastAsia="仿宋" w:cs="仿宋"/>
          <w:sz w:val="28"/>
          <w:szCs w:val="28"/>
        </w:rPr>
      </w:pPr>
      <w:r>
        <w:rPr>
          <w:rFonts w:hint="eastAsia" w:ascii="仿宋" w:hAnsi="仿宋" w:eastAsia="仿宋" w:cs="仿宋"/>
          <w:spacing w:val="10"/>
          <w:sz w:val="28"/>
          <w:szCs w:val="28"/>
        </w:rPr>
        <w:t>本年支出总计</w:t>
      </w:r>
      <w:r>
        <w:rPr>
          <w:rFonts w:hint="eastAsia" w:ascii="仿宋" w:hAnsi="仿宋" w:eastAsia="仿宋" w:cs="仿宋"/>
          <w:color w:val="auto"/>
          <w:sz w:val="28"/>
          <w:szCs w:val="28"/>
          <w:highlight w:val="none"/>
          <w:lang w:val="en-US" w:eastAsia="zh-CN"/>
        </w:rPr>
        <w:t>1842.53</w:t>
      </w:r>
      <w:r>
        <w:rPr>
          <w:rFonts w:hint="eastAsia" w:ascii="仿宋" w:hAnsi="仿宋" w:eastAsia="仿宋" w:cs="仿宋"/>
          <w:spacing w:val="10"/>
          <w:sz w:val="28"/>
          <w:szCs w:val="28"/>
        </w:rPr>
        <w:t>万元，年初预算数</w:t>
      </w:r>
      <w:r>
        <w:rPr>
          <w:rFonts w:hint="eastAsia" w:ascii="仿宋" w:hAnsi="仿宋" w:eastAsia="仿宋" w:cs="仿宋"/>
          <w:color w:val="auto"/>
          <w:sz w:val="28"/>
          <w:szCs w:val="28"/>
          <w:highlight w:val="none"/>
          <w:lang w:val="en-US" w:eastAsia="zh-CN"/>
        </w:rPr>
        <w:t>1581.12</w:t>
      </w:r>
      <w:r>
        <w:rPr>
          <w:rFonts w:hint="eastAsia" w:ascii="仿宋" w:hAnsi="仿宋" w:eastAsia="仿宋" w:cs="仿宋"/>
          <w:spacing w:val="10"/>
          <w:sz w:val="28"/>
          <w:szCs w:val="28"/>
        </w:rPr>
        <w:t>万元，</w:t>
      </w:r>
      <w:r>
        <w:rPr>
          <w:rFonts w:hint="eastAsia" w:ascii="仿宋" w:hAnsi="仿宋" w:eastAsia="仿宋" w:cs="仿宋"/>
          <w:spacing w:val="32"/>
          <w:sz w:val="28"/>
          <w:szCs w:val="28"/>
        </w:rPr>
        <w:t>增幅</w:t>
      </w:r>
      <w:r>
        <w:rPr>
          <w:rFonts w:hint="eastAsia" w:ascii="仿宋" w:hAnsi="仿宋" w:eastAsia="仿宋" w:cs="仿宋"/>
          <w:spacing w:val="1"/>
          <w:sz w:val="28"/>
          <w:szCs w:val="28"/>
          <w:lang w:val="en-US" w:eastAsia="zh-CN"/>
        </w:rPr>
        <w:t>16.53</w:t>
      </w:r>
      <w:r>
        <w:rPr>
          <w:rFonts w:hint="eastAsia" w:ascii="仿宋" w:hAnsi="仿宋" w:eastAsia="仿宋" w:cs="仿宋"/>
          <w:spacing w:val="32"/>
          <w:sz w:val="28"/>
          <w:szCs w:val="28"/>
        </w:rPr>
        <w:t>%。其中基本支出</w:t>
      </w:r>
      <w:r>
        <w:rPr>
          <w:rFonts w:hint="eastAsia" w:ascii="仿宋" w:hAnsi="仿宋" w:eastAsia="仿宋" w:cs="仿宋"/>
          <w:sz w:val="28"/>
          <w:szCs w:val="28"/>
          <w:highlight w:val="none"/>
          <w:lang w:val="en-US" w:eastAsia="zh-CN" w:bidi="ar"/>
        </w:rPr>
        <w:t>1737.33</w:t>
      </w:r>
      <w:r>
        <w:rPr>
          <w:rFonts w:hint="eastAsia" w:ascii="仿宋" w:hAnsi="仿宋" w:eastAsia="仿宋" w:cs="仿宋"/>
          <w:spacing w:val="32"/>
          <w:sz w:val="28"/>
          <w:szCs w:val="28"/>
        </w:rPr>
        <w:t>万</w:t>
      </w:r>
      <w:r>
        <w:rPr>
          <w:rFonts w:hint="eastAsia" w:ascii="仿宋" w:hAnsi="仿宋" w:eastAsia="仿宋" w:cs="仿宋"/>
          <w:spacing w:val="31"/>
          <w:sz w:val="28"/>
          <w:szCs w:val="28"/>
        </w:rPr>
        <w:t>元，年初预算数</w:t>
      </w:r>
      <w:r>
        <w:rPr>
          <w:rFonts w:hint="eastAsia" w:ascii="仿宋" w:hAnsi="仿宋" w:eastAsia="仿宋" w:cs="仿宋"/>
          <w:spacing w:val="10"/>
          <w:sz w:val="28"/>
          <w:szCs w:val="28"/>
        </w:rPr>
        <w:t>1529.92万元，增幅</w:t>
      </w:r>
      <w:r>
        <w:rPr>
          <w:rFonts w:hint="eastAsia" w:ascii="仿宋" w:hAnsi="仿宋" w:eastAsia="仿宋" w:cs="仿宋"/>
          <w:spacing w:val="10"/>
          <w:sz w:val="28"/>
          <w:szCs w:val="28"/>
          <w:lang w:val="en-US" w:eastAsia="zh-CN"/>
        </w:rPr>
        <w:t>1.36</w:t>
      </w:r>
      <w:r>
        <w:rPr>
          <w:rFonts w:hint="eastAsia" w:ascii="仿宋" w:hAnsi="仿宋" w:eastAsia="仿宋" w:cs="仿宋"/>
          <w:spacing w:val="10"/>
          <w:sz w:val="28"/>
          <w:szCs w:val="28"/>
        </w:rPr>
        <w:t>%(人员经费1486.94</w:t>
      </w:r>
      <w:r>
        <w:rPr>
          <w:rFonts w:hint="eastAsia" w:ascii="仿宋" w:hAnsi="仿宋" w:eastAsia="仿宋" w:cs="仿宋"/>
          <w:spacing w:val="9"/>
          <w:sz w:val="28"/>
          <w:szCs w:val="28"/>
        </w:rPr>
        <w:t>万元，年初预算</w:t>
      </w:r>
      <w:r>
        <w:rPr>
          <w:rFonts w:hint="eastAsia" w:ascii="仿宋" w:hAnsi="仿宋" w:eastAsia="仿宋" w:cs="仿宋"/>
          <w:spacing w:val="21"/>
          <w:sz w:val="28"/>
          <w:szCs w:val="28"/>
        </w:rPr>
        <w:t>数1265.15万元，增幅</w:t>
      </w:r>
      <w:r>
        <w:rPr>
          <w:rFonts w:hint="eastAsia" w:ascii="仿宋" w:hAnsi="仿宋" w:eastAsia="仿宋" w:cs="仿宋"/>
          <w:spacing w:val="21"/>
          <w:sz w:val="28"/>
          <w:szCs w:val="28"/>
          <w:lang w:val="en-US" w:eastAsia="zh-CN"/>
        </w:rPr>
        <w:t>1.75</w:t>
      </w:r>
      <w:r>
        <w:rPr>
          <w:rFonts w:hint="eastAsia" w:ascii="仿宋" w:hAnsi="仿宋" w:eastAsia="仿宋" w:cs="仿宋"/>
          <w:spacing w:val="21"/>
          <w:sz w:val="28"/>
          <w:szCs w:val="28"/>
        </w:rPr>
        <w:t>%;</w:t>
      </w:r>
      <w:r>
        <w:rPr>
          <w:rFonts w:hint="eastAsia" w:ascii="仿宋" w:hAnsi="仿宋" w:eastAsia="仿宋" w:cs="仿宋"/>
          <w:spacing w:val="20"/>
          <w:sz w:val="28"/>
          <w:szCs w:val="28"/>
        </w:rPr>
        <w:t>公用经费250.4万元，年初</w:t>
      </w:r>
      <w:r>
        <w:rPr>
          <w:rFonts w:hint="eastAsia" w:ascii="仿宋" w:hAnsi="仿宋" w:eastAsia="仿宋" w:cs="仿宋"/>
          <w:spacing w:val="18"/>
          <w:sz w:val="28"/>
          <w:szCs w:val="28"/>
        </w:rPr>
        <w:t>预算数264.77万元，降幅</w:t>
      </w:r>
      <w:r>
        <w:rPr>
          <w:rFonts w:hint="eastAsia" w:ascii="仿宋" w:hAnsi="仿宋" w:eastAsia="仿宋" w:cs="仿宋"/>
          <w:spacing w:val="18"/>
          <w:sz w:val="28"/>
          <w:szCs w:val="28"/>
          <w:lang w:val="en-US" w:eastAsia="zh-CN"/>
        </w:rPr>
        <w:t>5.42</w:t>
      </w:r>
      <w:r>
        <w:rPr>
          <w:rFonts w:hint="eastAsia" w:ascii="仿宋" w:hAnsi="仿宋" w:eastAsia="仿宋" w:cs="仿宋"/>
          <w:spacing w:val="18"/>
          <w:sz w:val="28"/>
          <w:szCs w:val="28"/>
        </w:rPr>
        <w:t>%);项目支出105.19</w:t>
      </w:r>
      <w:r>
        <w:rPr>
          <w:rFonts w:hint="eastAsia" w:ascii="仿宋" w:hAnsi="仿宋" w:eastAsia="仿宋" w:cs="仿宋"/>
          <w:spacing w:val="17"/>
          <w:sz w:val="28"/>
          <w:szCs w:val="28"/>
        </w:rPr>
        <w:t>万元，</w:t>
      </w:r>
      <w:r>
        <w:rPr>
          <w:rFonts w:hint="eastAsia" w:ascii="仿宋" w:hAnsi="仿宋" w:eastAsia="仿宋" w:cs="仿宋"/>
          <w:spacing w:val="7"/>
          <w:sz w:val="28"/>
          <w:szCs w:val="28"/>
        </w:rPr>
        <w:t>年初预算数5</w:t>
      </w:r>
      <w:r>
        <w:rPr>
          <w:rFonts w:hint="eastAsia" w:ascii="仿宋" w:hAnsi="仿宋" w:eastAsia="仿宋" w:cs="仿宋"/>
          <w:spacing w:val="7"/>
          <w:sz w:val="28"/>
          <w:szCs w:val="28"/>
          <w:lang w:val="en-US" w:eastAsia="zh-CN"/>
        </w:rPr>
        <w:t>1.2</w:t>
      </w:r>
      <w:r>
        <w:rPr>
          <w:rFonts w:hint="eastAsia" w:ascii="仿宋" w:hAnsi="仿宋" w:eastAsia="仿宋" w:cs="仿宋"/>
          <w:spacing w:val="7"/>
          <w:sz w:val="28"/>
          <w:szCs w:val="28"/>
        </w:rPr>
        <w:t>万元。</w:t>
      </w:r>
    </w:p>
    <w:p>
      <w:pPr>
        <w:keepNext w:val="0"/>
        <w:keepLines w:val="0"/>
        <w:pageBreakBefore w:val="0"/>
        <w:kinsoku/>
        <w:wordWrap/>
        <w:overflowPunct/>
        <w:topLinePunct w:val="0"/>
        <w:autoSpaceDE/>
        <w:autoSpaceDN/>
        <w:bidi w:val="0"/>
        <w:spacing w:before="182" w:line="440" w:lineRule="exact"/>
        <w:ind w:right="115" w:firstLine="612" w:firstLineChars="200"/>
        <w:textAlignment w:val="auto"/>
        <w:rPr>
          <w:rFonts w:hint="eastAsia" w:ascii="仿宋" w:hAnsi="仿宋" w:eastAsia="仿宋" w:cs="仿宋"/>
          <w:spacing w:val="13"/>
          <w:sz w:val="28"/>
          <w:szCs w:val="28"/>
        </w:rPr>
      </w:pPr>
      <w:r>
        <w:rPr>
          <w:rFonts w:hint="eastAsia" w:ascii="仿宋" w:hAnsi="仿宋" w:eastAsia="仿宋" w:cs="仿宋"/>
          <w:spacing w:val="13"/>
          <w:sz w:val="28"/>
          <w:szCs w:val="28"/>
        </w:rPr>
        <w:t>(</w:t>
      </w:r>
      <w:r>
        <w:rPr>
          <w:rFonts w:hint="eastAsia" w:ascii="仿宋" w:hAnsi="仿宋" w:eastAsia="仿宋" w:cs="仿宋"/>
          <w:spacing w:val="13"/>
          <w:sz w:val="28"/>
          <w:szCs w:val="28"/>
          <w:lang w:val="en-US" w:eastAsia="zh-CN"/>
        </w:rPr>
        <w:t>2</w:t>
      </w:r>
      <w:r>
        <w:rPr>
          <w:rFonts w:hint="eastAsia" w:ascii="仿宋" w:hAnsi="仿宋" w:eastAsia="仿宋" w:cs="仿宋"/>
          <w:spacing w:val="13"/>
          <w:sz w:val="28"/>
          <w:szCs w:val="28"/>
        </w:rPr>
        <w:t>)“三公”经费支出情况</w:t>
      </w:r>
    </w:p>
    <w:p>
      <w:pPr>
        <w:keepNext w:val="0"/>
        <w:keepLines w:val="0"/>
        <w:pageBreakBefore w:val="0"/>
        <w:kinsoku/>
        <w:wordWrap/>
        <w:overflowPunct/>
        <w:topLinePunct w:val="0"/>
        <w:autoSpaceDE/>
        <w:autoSpaceDN/>
        <w:bidi w:val="0"/>
        <w:spacing w:before="182" w:line="440" w:lineRule="exact"/>
        <w:ind w:right="115" w:firstLine="612" w:firstLineChars="200"/>
        <w:textAlignment w:val="auto"/>
        <w:rPr>
          <w:rFonts w:hint="eastAsia" w:ascii="仿宋" w:hAnsi="仿宋" w:eastAsia="仿宋" w:cs="仿宋"/>
          <w:spacing w:val="13"/>
          <w:sz w:val="28"/>
          <w:szCs w:val="28"/>
          <w:lang w:val="en-US" w:eastAsia="zh-CN"/>
        </w:rPr>
      </w:pPr>
      <w:r>
        <w:rPr>
          <w:rFonts w:hint="eastAsia" w:ascii="仿宋" w:hAnsi="仿宋" w:eastAsia="仿宋" w:cs="仿宋"/>
          <w:spacing w:val="13"/>
          <w:sz w:val="28"/>
          <w:szCs w:val="28"/>
          <w:lang w:val="en-US" w:eastAsia="zh-CN"/>
        </w:rPr>
        <w:t>1)支出情况</w:t>
      </w:r>
    </w:p>
    <w:p>
      <w:pPr>
        <w:keepNext w:val="0"/>
        <w:keepLines w:val="0"/>
        <w:pageBreakBefore w:val="0"/>
        <w:kinsoku/>
        <w:wordWrap/>
        <w:overflowPunct/>
        <w:topLinePunct w:val="0"/>
        <w:autoSpaceDE/>
        <w:autoSpaceDN/>
        <w:bidi w:val="0"/>
        <w:spacing w:before="182" w:line="440" w:lineRule="exact"/>
        <w:ind w:right="115" w:firstLine="612" w:firstLineChars="200"/>
        <w:textAlignment w:val="auto"/>
        <w:rPr>
          <w:rFonts w:hint="eastAsia" w:ascii="仿宋" w:hAnsi="仿宋" w:eastAsia="仿宋" w:cs="仿宋"/>
          <w:spacing w:val="13"/>
          <w:sz w:val="28"/>
          <w:szCs w:val="28"/>
          <w:lang w:val="en-US" w:eastAsia="zh-CN"/>
        </w:rPr>
      </w:pPr>
      <w:r>
        <w:rPr>
          <w:rFonts w:hint="eastAsia" w:ascii="仿宋" w:hAnsi="仿宋" w:eastAsia="仿宋" w:cs="仿宋"/>
          <w:spacing w:val="13"/>
          <w:sz w:val="28"/>
          <w:szCs w:val="28"/>
          <w:lang w:val="en-US" w:eastAsia="zh-CN"/>
        </w:rPr>
        <w:t>永州市零陵区市场监督管理局2025年度“三公”经费财政拨款支出23.34万元，其中：因公出国（境）支出0.00万元，公务用车购置及运行维护费支出23.34万元，公务接待费支出0万元。</w:t>
      </w:r>
    </w:p>
    <w:p>
      <w:pPr>
        <w:keepNext w:val="0"/>
        <w:keepLines w:val="0"/>
        <w:pageBreakBefore w:val="0"/>
        <w:kinsoku/>
        <w:wordWrap/>
        <w:overflowPunct/>
        <w:topLinePunct w:val="0"/>
        <w:autoSpaceDE/>
        <w:autoSpaceDN/>
        <w:bidi w:val="0"/>
        <w:spacing w:before="182" w:line="440" w:lineRule="exact"/>
        <w:ind w:right="115" w:firstLine="612" w:firstLineChars="200"/>
        <w:textAlignment w:val="auto"/>
        <w:rPr>
          <w:rFonts w:hint="eastAsia" w:ascii="仿宋" w:hAnsi="仿宋" w:eastAsia="仿宋" w:cs="仿宋"/>
          <w:spacing w:val="13"/>
          <w:sz w:val="28"/>
          <w:szCs w:val="28"/>
          <w:lang w:val="en-US" w:eastAsia="zh-CN"/>
        </w:rPr>
      </w:pPr>
      <w:r>
        <w:rPr>
          <w:rFonts w:hint="eastAsia" w:ascii="仿宋" w:hAnsi="仿宋" w:eastAsia="仿宋" w:cs="仿宋"/>
          <w:spacing w:val="13"/>
          <w:sz w:val="28"/>
          <w:szCs w:val="28"/>
          <w:lang w:val="en-US" w:eastAsia="zh-CN"/>
        </w:rPr>
        <w:t>2）预决算对比情况</w:t>
      </w:r>
    </w:p>
    <w:p>
      <w:pPr>
        <w:keepNext w:val="0"/>
        <w:keepLines w:val="0"/>
        <w:pageBreakBefore w:val="0"/>
        <w:kinsoku/>
        <w:wordWrap/>
        <w:overflowPunct/>
        <w:topLinePunct w:val="0"/>
        <w:autoSpaceDE/>
        <w:autoSpaceDN/>
        <w:bidi w:val="0"/>
        <w:spacing w:before="182" w:line="440" w:lineRule="exact"/>
        <w:ind w:right="115" w:firstLine="612" w:firstLineChars="200"/>
        <w:textAlignment w:val="auto"/>
        <w:rPr>
          <w:rFonts w:hint="eastAsia" w:ascii="仿宋" w:hAnsi="仿宋" w:eastAsia="仿宋" w:cs="仿宋"/>
          <w:spacing w:val="13"/>
          <w:sz w:val="28"/>
          <w:szCs w:val="28"/>
          <w:lang w:val="en-US" w:eastAsia="zh-CN"/>
        </w:rPr>
      </w:pPr>
      <w:r>
        <w:rPr>
          <w:rFonts w:hint="eastAsia" w:ascii="仿宋" w:hAnsi="仿宋" w:eastAsia="仿宋" w:cs="仿宋"/>
          <w:spacing w:val="13"/>
          <w:sz w:val="28"/>
          <w:szCs w:val="28"/>
          <w:lang w:val="en-US" w:eastAsia="zh-CN"/>
        </w:rPr>
        <w:t>2025年“三公”经费财政拨款支出决算数为23.34万元，与2025年预算相比，减少9.16万元。其中：公务用车购置及运行维护费支出减少6.66万元；公务接待费支出减少2.5万元。</w:t>
      </w:r>
    </w:p>
    <w:p>
      <w:pPr>
        <w:keepNext w:val="0"/>
        <w:keepLines w:val="0"/>
        <w:pageBreakBefore w:val="0"/>
        <w:numPr>
          <w:ilvl w:val="0"/>
          <w:numId w:val="7"/>
        </w:numPr>
        <w:kinsoku/>
        <w:wordWrap/>
        <w:overflowPunct/>
        <w:topLinePunct w:val="0"/>
        <w:autoSpaceDE/>
        <w:autoSpaceDN/>
        <w:bidi w:val="0"/>
        <w:spacing w:before="182" w:line="440" w:lineRule="exact"/>
        <w:ind w:right="115" w:firstLine="612" w:firstLineChars="200"/>
        <w:textAlignment w:val="auto"/>
        <w:rPr>
          <w:rFonts w:hint="eastAsia" w:ascii="仿宋" w:hAnsi="仿宋" w:eastAsia="仿宋" w:cs="仿宋"/>
          <w:spacing w:val="13"/>
          <w:sz w:val="28"/>
          <w:szCs w:val="28"/>
          <w:lang w:val="en-US" w:eastAsia="zh-CN"/>
        </w:rPr>
      </w:pPr>
      <w:r>
        <w:rPr>
          <w:rFonts w:hint="eastAsia" w:ascii="仿宋" w:hAnsi="仿宋" w:eastAsia="仿宋" w:cs="仿宋"/>
          <w:spacing w:val="13"/>
          <w:sz w:val="28"/>
          <w:szCs w:val="28"/>
          <w:lang w:val="en-US" w:eastAsia="zh-CN"/>
        </w:rPr>
        <w:t>上下年对比情况</w:t>
      </w:r>
    </w:p>
    <w:p>
      <w:pPr>
        <w:keepNext w:val="0"/>
        <w:keepLines w:val="0"/>
        <w:pageBreakBefore w:val="0"/>
        <w:numPr>
          <w:ilvl w:val="0"/>
          <w:numId w:val="0"/>
        </w:numPr>
        <w:kinsoku/>
        <w:wordWrap/>
        <w:overflowPunct/>
        <w:topLinePunct w:val="0"/>
        <w:autoSpaceDE/>
        <w:autoSpaceDN/>
        <w:bidi w:val="0"/>
        <w:spacing w:before="182" w:line="440" w:lineRule="exact"/>
        <w:ind w:right="115" w:rightChars="0" w:firstLine="612" w:firstLineChars="200"/>
        <w:textAlignment w:val="auto"/>
        <w:rPr>
          <w:rFonts w:hint="eastAsia" w:ascii="仿宋" w:hAnsi="仿宋" w:eastAsia="仿宋" w:cs="仿宋"/>
          <w:spacing w:val="13"/>
          <w:sz w:val="28"/>
          <w:szCs w:val="28"/>
          <w:lang w:val="en-US" w:eastAsia="zh-CN"/>
        </w:rPr>
      </w:pPr>
      <w:r>
        <w:rPr>
          <w:rFonts w:hint="eastAsia" w:ascii="仿宋" w:hAnsi="仿宋" w:eastAsia="仿宋" w:cs="仿宋"/>
          <w:spacing w:val="13"/>
          <w:sz w:val="28"/>
          <w:szCs w:val="28"/>
          <w:lang w:val="en-US" w:eastAsia="zh-CN"/>
        </w:rPr>
        <w:t>2025年度“三公”经费财政拨款支出决算数为23.34万元。与2024年度相比，减少0.81万元，其中：2025年度公务用车购置及运行维护费支出增加0.45万元；2025年度公务接待费支出减少1.26万元。</w:t>
      </w:r>
    </w:p>
    <w:p>
      <w:pPr>
        <w:keepNext w:val="0"/>
        <w:keepLines w:val="0"/>
        <w:pageBreakBefore w:val="0"/>
        <w:kinsoku/>
        <w:wordWrap/>
        <w:overflowPunct/>
        <w:topLinePunct w:val="0"/>
        <w:autoSpaceDE/>
        <w:autoSpaceDN/>
        <w:bidi w:val="0"/>
        <w:spacing w:before="182" w:line="440" w:lineRule="exact"/>
        <w:ind w:right="115" w:firstLine="612" w:firstLineChars="200"/>
        <w:textAlignment w:val="auto"/>
        <w:rPr>
          <w:rFonts w:hint="eastAsia" w:ascii="仿宋" w:hAnsi="仿宋" w:eastAsia="仿宋" w:cs="仿宋"/>
          <w:spacing w:val="13"/>
          <w:sz w:val="28"/>
          <w:szCs w:val="28"/>
          <w:lang w:val="en-US" w:eastAsia="zh-CN"/>
        </w:rPr>
      </w:pPr>
      <w:r>
        <w:rPr>
          <w:rFonts w:hint="eastAsia" w:ascii="仿宋" w:hAnsi="仿宋" w:eastAsia="仿宋" w:cs="仿宋"/>
          <w:spacing w:val="13"/>
          <w:sz w:val="28"/>
          <w:szCs w:val="28"/>
          <w:lang w:val="en-US" w:eastAsia="zh-CN"/>
        </w:rPr>
        <w:t>①公务用车购置及运行维护费财政拨款支出决算数23.34万元，其中：公务用车购置费0.00万元，公务用车购置数辆。公务用车运行维护费23.34万元，对应的年末公车保有量10辆，车均运行维护费支出2.33万元。2025年度公务用车运行维护费与2024年度相比，增加0.45万元，公务用车运行维护费主要变动原因：2025年外出监管、执法较多加油油量增多、车辆老旧维修费增加，但均在预算范围内。</w:t>
      </w:r>
    </w:p>
    <w:p>
      <w:pPr>
        <w:keepNext w:val="0"/>
        <w:keepLines w:val="0"/>
        <w:pageBreakBefore w:val="0"/>
        <w:kinsoku/>
        <w:wordWrap/>
        <w:overflowPunct/>
        <w:topLinePunct w:val="0"/>
        <w:autoSpaceDE/>
        <w:autoSpaceDN/>
        <w:bidi w:val="0"/>
        <w:spacing w:before="182" w:line="440" w:lineRule="exact"/>
        <w:ind w:right="115" w:firstLine="612" w:firstLineChars="200"/>
        <w:textAlignment w:val="auto"/>
        <w:rPr>
          <w:rFonts w:hint="eastAsia" w:ascii="仿宋" w:hAnsi="仿宋" w:eastAsia="仿宋" w:cs="仿宋"/>
          <w:spacing w:val="13"/>
          <w:sz w:val="28"/>
          <w:szCs w:val="28"/>
        </w:rPr>
      </w:pPr>
      <w:r>
        <w:rPr>
          <w:rFonts w:hint="eastAsia" w:ascii="仿宋" w:hAnsi="仿宋" w:eastAsia="仿宋" w:cs="仿宋"/>
          <w:spacing w:val="13"/>
          <w:sz w:val="28"/>
          <w:szCs w:val="28"/>
          <w:lang w:val="en-US" w:eastAsia="zh-CN"/>
        </w:rPr>
        <w:t>③2025年度公务接待费财政拨款支出为0万元。与2024年度相比，减少1.26万元。主要原因是严格贯彻落实厉行节约反对浪费精神，加强公务接待管理，根据上级文件及相关要求，未产生接待费。</w:t>
      </w:r>
    </w:p>
    <w:p>
      <w:pPr>
        <w:pStyle w:val="18"/>
        <w:keepNext w:val="0"/>
        <w:keepLines w:val="0"/>
        <w:pageBreakBefore w:val="0"/>
        <w:kinsoku/>
        <w:wordWrap/>
        <w:overflowPunct/>
        <w:topLinePunct w:val="0"/>
        <w:autoSpaceDE/>
        <w:autoSpaceDN/>
        <w:bidi w:val="0"/>
        <w:spacing w:line="440" w:lineRule="exact"/>
        <w:ind w:firstLine="640"/>
        <w:textAlignment w:val="auto"/>
        <w:rPr>
          <w:rFonts w:hint="eastAsia" w:ascii="黑体" w:hAnsi="黑体" w:eastAsia="黑体" w:cs="黑体"/>
          <w:b/>
          <w:bCs/>
          <w:sz w:val="32"/>
          <w:szCs w:val="32"/>
        </w:rPr>
      </w:pPr>
      <w:r>
        <w:rPr>
          <w:rFonts w:hint="eastAsia" w:ascii="黑体" w:hAnsi="黑体" w:eastAsia="黑体" w:cs="黑体"/>
          <w:b/>
          <w:bCs/>
          <w:sz w:val="32"/>
          <w:szCs w:val="32"/>
        </w:rPr>
        <w:t>二、一般公共预算支出情况</w:t>
      </w:r>
    </w:p>
    <w:p>
      <w:pPr>
        <w:pStyle w:val="18"/>
        <w:keepNext w:val="0"/>
        <w:keepLines w:val="0"/>
        <w:pageBreakBefore w:val="0"/>
        <w:kinsoku/>
        <w:wordWrap/>
        <w:overflowPunct/>
        <w:topLinePunct w:val="0"/>
        <w:autoSpaceDE/>
        <w:autoSpaceDN/>
        <w:bidi w:val="0"/>
        <w:spacing w:line="440" w:lineRule="exact"/>
        <w:ind w:firstLine="640"/>
        <w:textAlignment w:val="auto"/>
        <w:rPr>
          <w:rFonts w:hint="eastAsia" w:ascii="仿宋" w:hAnsi="仿宋" w:eastAsia="仿宋" w:cs="仿宋"/>
          <w:sz w:val="28"/>
          <w:szCs w:val="28"/>
        </w:rPr>
      </w:pPr>
      <w:r>
        <w:rPr>
          <w:rFonts w:hint="eastAsia" w:ascii="仿宋" w:hAnsi="仿宋" w:eastAsia="仿宋" w:cs="仿宋"/>
          <w:sz w:val="28"/>
          <w:szCs w:val="28"/>
        </w:rPr>
        <w:t>（一）基本支出情况</w:t>
      </w:r>
    </w:p>
    <w:p>
      <w:pPr>
        <w:keepNext w:val="0"/>
        <w:keepLines w:val="0"/>
        <w:pageBreakBefore w:val="0"/>
        <w:kinsoku/>
        <w:wordWrap/>
        <w:overflowPunct/>
        <w:topLinePunct w:val="0"/>
        <w:autoSpaceDE/>
        <w:autoSpaceDN/>
        <w:bidi w:val="0"/>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2025年度我单位基本支出</w:t>
      </w:r>
      <w:r>
        <w:rPr>
          <w:rFonts w:hint="eastAsia" w:ascii="仿宋" w:hAnsi="仿宋" w:eastAsia="仿宋" w:cs="仿宋"/>
          <w:sz w:val="28"/>
          <w:szCs w:val="28"/>
          <w:u w:val="none"/>
          <w:lang w:val="en-US" w:eastAsia="zh-CN"/>
        </w:rPr>
        <w:t>1737.33</w:t>
      </w:r>
      <w:r>
        <w:rPr>
          <w:rFonts w:hint="eastAsia" w:ascii="仿宋" w:hAnsi="仿宋" w:eastAsia="仿宋" w:cs="仿宋"/>
          <w:sz w:val="28"/>
          <w:szCs w:val="28"/>
          <w:lang w:val="en-US" w:eastAsia="zh-CN"/>
        </w:rPr>
        <w:t>万元。其中人员经费支出</w:t>
      </w:r>
      <w:r>
        <w:rPr>
          <w:rFonts w:hint="eastAsia" w:ascii="仿宋" w:hAnsi="仿宋" w:eastAsia="仿宋" w:cs="仿宋"/>
          <w:b w:val="0"/>
          <w:bCs w:val="0"/>
          <w:sz w:val="28"/>
          <w:szCs w:val="28"/>
          <w:u w:val="none"/>
          <w:lang w:val="en-US" w:eastAsia="zh-CN"/>
        </w:rPr>
        <w:t>1486.94</w:t>
      </w:r>
      <w:r>
        <w:rPr>
          <w:rFonts w:hint="eastAsia" w:ascii="仿宋" w:hAnsi="仿宋" w:eastAsia="仿宋" w:cs="仿宋"/>
          <w:sz w:val="28"/>
          <w:szCs w:val="28"/>
          <w:lang w:val="en-US" w:eastAsia="zh-CN"/>
        </w:rPr>
        <w:t>万元，主要用于支付人员的工资、津补贴等；公用经费支出</w:t>
      </w:r>
      <w:r>
        <w:rPr>
          <w:rFonts w:hint="eastAsia" w:ascii="仿宋" w:hAnsi="仿宋" w:eastAsia="仿宋" w:cs="仿宋"/>
          <w:sz w:val="28"/>
          <w:szCs w:val="28"/>
          <w:u w:val="none"/>
          <w:lang w:val="en-US" w:eastAsia="zh-CN"/>
        </w:rPr>
        <w:t>250.4</w:t>
      </w:r>
      <w:r>
        <w:rPr>
          <w:rFonts w:hint="eastAsia" w:ascii="仿宋" w:hAnsi="仿宋" w:eastAsia="仿宋" w:cs="仿宋"/>
          <w:sz w:val="28"/>
          <w:szCs w:val="28"/>
          <w:lang w:val="en-US" w:eastAsia="zh-CN"/>
        </w:rPr>
        <w:t>万元。其中办公费、印刷费、水费、电费、差旅费等支出。</w:t>
      </w:r>
    </w:p>
    <w:p>
      <w:pPr>
        <w:pStyle w:val="18"/>
        <w:keepNext w:val="0"/>
        <w:keepLines w:val="0"/>
        <w:pageBreakBefore w:val="0"/>
        <w:numPr>
          <w:ilvl w:val="0"/>
          <w:numId w:val="8"/>
        </w:numPr>
        <w:kinsoku/>
        <w:wordWrap/>
        <w:overflowPunct/>
        <w:topLinePunct w:val="0"/>
        <w:autoSpaceDE/>
        <w:autoSpaceDN/>
        <w:bidi w:val="0"/>
        <w:spacing w:line="440" w:lineRule="exact"/>
        <w:ind w:firstLine="640"/>
        <w:textAlignment w:val="auto"/>
        <w:rPr>
          <w:rFonts w:hint="eastAsia" w:ascii="仿宋" w:hAnsi="仿宋" w:eastAsia="仿宋" w:cs="仿宋"/>
          <w:sz w:val="28"/>
          <w:szCs w:val="28"/>
        </w:rPr>
      </w:pPr>
      <w:r>
        <w:rPr>
          <w:rFonts w:hint="eastAsia" w:ascii="仿宋" w:hAnsi="仿宋" w:eastAsia="仿宋" w:cs="仿宋"/>
          <w:sz w:val="28"/>
          <w:szCs w:val="28"/>
        </w:rPr>
        <w:t>项目支出情况</w:t>
      </w:r>
    </w:p>
    <w:p>
      <w:pPr>
        <w:pStyle w:val="18"/>
        <w:keepNext w:val="0"/>
        <w:keepLines w:val="0"/>
        <w:pageBreakBefore w:val="0"/>
        <w:numPr>
          <w:ilvl w:val="0"/>
          <w:numId w:val="0"/>
        </w:numPr>
        <w:kinsoku/>
        <w:wordWrap/>
        <w:overflowPunct/>
        <w:topLinePunct w:val="0"/>
        <w:autoSpaceDE/>
        <w:autoSpaceDN/>
        <w:bidi w:val="0"/>
        <w:spacing w:line="44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2025年度我单位项目支出</w:t>
      </w:r>
      <w:r>
        <w:rPr>
          <w:rFonts w:hint="eastAsia" w:ascii="仿宋" w:hAnsi="仿宋" w:eastAsia="仿宋" w:cs="仿宋"/>
          <w:kern w:val="2"/>
          <w:sz w:val="28"/>
          <w:szCs w:val="28"/>
          <w:lang w:val="en-US" w:eastAsia="zh-CN" w:bidi="ar-SA"/>
        </w:rPr>
        <w:t>105.19</w:t>
      </w:r>
      <w:r>
        <w:rPr>
          <w:rFonts w:hint="eastAsia" w:ascii="仿宋" w:hAnsi="仿宋" w:eastAsia="仿宋" w:cs="仿宋"/>
          <w:sz w:val="28"/>
          <w:szCs w:val="28"/>
          <w:lang w:val="en-US" w:eastAsia="zh-CN"/>
        </w:rPr>
        <w:t>万元。其中：</w:t>
      </w:r>
    </w:p>
    <w:p>
      <w:pPr>
        <w:pStyle w:val="18"/>
        <w:keepNext w:val="0"/>
        <w:keepLines w:val="0"/>
        <w:pageBreakBefore w:val="0"/>
        <w:numPr>
          <w:ilvl w:val="0"/>
          <w:numId w:val="0"/>
        </w:numPr>
        <w:kinsoku/>
        <w:wordWrap/>
        <w:overflowPunct/>
        <w:topLinePunct w:val="0"/>
        <w:autoSpaceDE/>
        <w:autoSpaceDN/>
        <w:bidi w:val="0"/>
        <w:spacing w:line="44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1、2024年第二批省级市场监督管理专项资金23万元，用于星级所建设及食品安全宣传周相关开支。</w:t>
      </w:r>
    </w:p>
    <w:p>
      <w:pPr>
        <w:pStyle w:val="18"/>
        <w:keepNext w:val="0"/>
        <w:keepLines w:val="0"/>
        <w:pageBreakBefore w:val="0"/>
        <w:numPr>
          <w:ilvl w:val="0"/>
          <w:numId w:val="0"/>
        </w:numPr>
        <w:kinsoku/>
        <w:wordWrap/>
        <w:overflowPunct/>
        <w:topLinePunct w:val="0"/>
        <w:autoSpaceDE/>
        <w:autoSpaceDN/>
        <w:bidi w:val="0"/>
        <w:spacing w:line="440" w:lineRule="exact"/>
        <w:ind w:firstLine="560" w:firstLineChars="20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sz w:val="28"/>
          <w:szCs w:val="28"/>
          <w:lang w:val="en-US" w:eastAsia="zh-CN"/>
        </w:rPr>
        <w:t>2、2024年中央食品监管补助资金22万元，用于食品监管中所</w:t>
      </w:r>
      <w:r>
        <w:rPr>
          <w:rFonts w:hint="eastAsia" w:ascii="仿宋" w:hAnsi="仿宋" w:eastAsia="仿宋" w:cs="仿宋"/>
          <w:color w:val="auto"/>
          <w:kern w:val="2"/>
          <w:sz w:val="28"/>
          <w:szCs w:val="28"/>
          <w:highlight w:val="none"/>
          <w:lang w:val="en-US" w:eastAsia="zh-CN" w:bidi="ar-SA"/>
        </w:rPr>
        <w:t>需要分办公费、差旅费、印刷费等开支。</w:t>
      </w:r>
    </w:p>
    <w:p>
      <w:pPr>
        <w:pStyle w:val="18"/>
        <w:keepNext w:val="0"/>
        <w:keepLines w:val="0"/>
        <w:pageBreakBefore w:val="0"/>
        <w:numPr>
          <w:ilvl w:val="0"/>
          <w:numId w:val="9"/>
        </w:numPr>
        <w:kinsoku/>
        <w:wordWrap/>
        <w:overflowPunct/>
        <w:topLinePunct w:val="0"/>
        <w:autoSpaceDE/>
        <w:autoSpaceDN/>
        <w:bidi w:val="0"/>
        <w:spacing w:line="440" w:lineRule="exact"/>
        <w:ind w:firstLine="560" w:firstLineChars="20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零陵区市场监督管理局非税收入安排的支出6.72万元，用于局机关物业管理费开支。</w:t>
      </w:r>
    </w:p>
    <w:p>
      <w:pPr>
        <w:pStyle w:val="18"/>
        <w:keepNext w:val="0"/>
        <w:keepLines w:val="0"/>
        <w:pageBreakBefore w:val="0"/>
        <w:numPr>
          <w:ilvl w:val="0"/>
          <w:numId w:val="0"/>
        </w:numPr>
        <w:kinsoku/>
        <w:wordWrap/>
        <w:overflowPunct/>
        <w:topLinePunct w:val="0"/>
        <w:autoSpaceDE/>
        <w:autoSpaceDN/>
        <w:bidi w:val="0"/>
        <w:spacing w:line="440" w:lineRule="exact"/>
        <w:ind w:firstLine="560" w:firstLineChars="20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4、零陵区市场监督管理局执法办案经费42万元，主要用于办公费、印刷费、差旅费和委托业务费等开支。</w:t>
      </w:r>
    </w:p>
    <w:p>
      <w:pPr>
        <w:pStyle w:val="18"/>
        <w:keepNext w:val="0"/>
        <w:keepLines w:val="0"/>
        <w:pageBreakBefore w:val="0"/>
        <w:numPr>
          <w:ilvl w:val="0"/>
          <w:numId w:val="0"/>
        </w:numPr>
        <w:kinsoku/>
        <w:wordWrap/>
        <w:overflowPunct/>
        <w:topLinePunct w:val="0"/>
        <w:autoSpaceDE/>
        <w:autoSpaceDN/>
        <w:bidi w:val="0"/>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5、公务员医疗补助11.47万元，主要用于公务员医疗补助开支。</w:t>
      </w:r>
    </w:p>
    <w:p>
      <w:pPr>
        <w:pStyle w:val="18"/>
        <w:keepNext w:val="0"/>
        <w:keepLines w:val="0"/>
        <w:pageBreakBefore w:val="0"/>
        <w:numPr>
          <w:ilvl w:val="0"/>
          <w:numId w:val="10"/>
        </w:numPr>
        <w:kinsoku/>
        <w:wordWrap/>
        <w:overflowPunct/>
        <w:topLinePunct w:val="0"/>
        <w:autoSpaceDE/>
        <w:autoSpaceDN/>
        <w:bidi w:val="0"/>
        <w:spacing w:line="440" w:lineRule="exact"/>
        <w:ind w:firstLine="640"/>
        <w:textAlignment w:val="auto"/>
        <w:rPr>
          <w:rFonts w:hint="eastAsia" w:ascii="黑体" w:hAnsi="黑体" w:eastAsia="黑体" w:cs="黑体"/>
          <w:b/>
          <w:bCs/>
          <w:sz w:val="32"/>
          <w:szCs w:val="32"/>
        </w:rPr>
      </w:pPr>
      <w:r>
        <w:rPr>
          <w:rFonts w:hint="eastAsia" w:ascii="黑体" w:hAnsi="黑体" w:eastAsia="黑体" w:cs="黑体"/>
          <w:b/>
          <w:bCs/>
          <w:sz w:val="32"/>
          <w:szCs w:val="32"/>
        </w:rPr>
        <w:t>政府性基金预算支出情况。</w:t>
      </w:r>
    </w:p>
    <w:p>
      <w:pPr>
        <w:pStyle w:val="18"/>
        <w:keepNext w:val="0"/>
        <w:keepLines w:val="0"/>
        <w:pageBreakBefore w:val="0"/>
        <w:numPr>
          <w:ilvl w:val="0"/>
          <w:numId w:val="0"/>
        </w:numPr>
        <w:kinsoku/>
        <w:wordWrap/>
        <w:overflowPunct/>
        <w:topLinePunct w:val="0"/>
        <w:autoSpaceDE/>
        <w:autoSpaceDN/>
        <w:bidi w:val="0"/>
        <w:spacing w:line="44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我单位无政府性基金预算支出情况</w:t>
      </w:r>
      <w:r>
        <w:rPr>
          <w:rFonts w:hint="eastAsia" w:ascii="仿宋" w:hAnsi="仿宋" w:eastAsia="仿宋" w:cs="仿宋"/>
          <w:color w:val="000000"/>
          <w:sz w:val="28"/>
          <w:szCs w:val="28"/>
          <w:lang w:eastAsia="zh-CN"/>
        </w:rPr>
        <w:t>。</w:t>
      </w:r>
    </w:p>
    <w:p>
      <w:pPr>
        <w:pStyle w:val="18"/>
        <w:keepNext w:val="0"/>
        <w:keepLines w:val="0"/>
        <w:pageBreakBefore w:val="0"/>
        <w:numPr>
          <w:ilvl w:val="0"/>
          <w:numId w:val="10"/>
        </w:numPr>
        <w:kinsoku/>
        <w:wordWrap/>
        <w:overflowPunct/>
        <w:topLinePunct w:val="0"/>
        <w:autoSpaceDE/>
        <w:autoSpaceDN/>
        <w:bidi w:val="0"/>
        <w:spacing w:line="440" w:lineRule="exact"/>
        <w:ind w:left="0" w:leftChars="0" w:firstLine="640"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国有资本经营预算支出情况。</w:t>
      </w:r>
    </w:p>
    <w:p>
      <w:pPr>
        <w:pStyle w:val="18"/>
        <w:keepNext w:val="0"/>
        <w:keepLines w:val="0"/>
        <w:pageBreakBefore w:val="0"/>
        <w:numPr>
          <w:ilvl w:val="0"/>
          <w:numId w:val="0"/>
        </w:numPr>
        <w:kinsoku/>
        <w:wordWrap/>
        <w:overflowPunct/>
        <w:topLinePunct w:val="0"/>
        <w:autoSpaceDE/>
        <w:autoSpaceDN/>
        <w:bidi w:val="0"/>
        <w:spacing w:line="440" w:lineRule="exact"/>
        <w:ind w:leftChars="200" w:firstLine="280" w:firstLineChars="100"/>
        <w:textAlignment w:val="auto"/>
        <w:rPr>
          <w:rFonts w:hint="eastAsia" w:ascii="仿宋" w:hAnsi="仿宋" w:eastAsia="仿宋" w:cs="仿宋"/>
          <w:sz w:val="28"/>
          <w:szCs w:val="28"/>
          <w:lang w:val="en-US" w:eastAsia="zh-CN"/>
        </w:rPr>
      </w:pPr>
      <w:r>
        <w:rPr>
          <w:rFonts w:hint="eastAsia" w:ascii="仿宋" w:hAnsi="仿宋" w:eastAsia="仿宋" w:cs="仿宋"/>
          <w:color w:val="000000"/>
          <w:sz w:val="28"/>
          <w:szCs w:val="28"/>
        </w:rPr>
        <w:t>我单位无国有资本经营预算支出情况</w:t>
      </w:r>
      <w:r>
        <w:rPr>
          <w:rFonts w:hint="eastAsia" w:ascii="仿宋" w:hAnsi="仿宋" w:eastAsia="仿宋" w:cs="仿宋"/>
          <w:color w:val="000000"/>
          <w:sz w:val="28"/>
          <w:szCs w:val="28"/>
          <w:lang w:eastAsia="zh-CN"/>
        </w:rPr>
        <w:t>。</w:t>
      </w:r>
    </w:p>
    <w:p>
      <w:pPr>
        <w:pStyle w:val="18"/>
        <w:keepNext w:val="0"/>
        <w:keepLines w:val="0"/>
        <w:pageBreakBefore w:val="0"/>
        <w:numPr>
          <w:ilvl w:val="0"/>
          <w:numId w:val="10"/>
        </w:numPr>
        <w:kinsoku/>
        <w:wordWrap/>
        <w:overflowPunct/>
        <w:topLinePunct w:val="0"/>
        <w:autoSpaceDE/>
        <w:autoSpaceDN/>
        <w:bidi w:val="0"/>
        <w:spacing w:line="440" w:lineRule="exact"/>
        <w:ind w:left="0" w:leftChars="0" w:firstLine="640"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社会保险基金预算支出情况。</w:t>
      </w:r>
    </w:p>
    <w:p>
      <w:pPr>
        <w:pStyle w:val="18"/>
        <w:keepNext w:val="0"/>
        <w:keepLines w:val="0"/>
        <w:pageBreakBefore w:val="0"/>
        <w:numPr>
          <w:ilvl w:val="0"/>
          <w:numId w:val="0"/>
        </w:numPr>
        <w:kinsoku/>
        <w:wordWrap/>
        <w:overflowPunct/>
        <w:topLinePunct w:val="0"/>
        <w:autoSpaceDE/>
        <w:autoSpaceDN/>
        <w:bidi w:val="0"/>
        <w:spacing w:line="440" w:lineRule="exact"/>
        <w:ind w:leftChars="200" w:firstLine="280" w:firstLineChars="1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我单位无社会保险基金预算支出情况</w:t>
      </w:r>
      <w:r>
        <w:rPr>
          <w:rFonts w:hint="eastAsia" w:ascii="仿宋" w:hAnsi="仿宋" w:eastAsia="仿宋" w:cs="仿宋"/>
          <w:color w:val="000000"/>
          <w:sz w:val="28"/>
          <w:szCs w:val="28"/>
          <w:lang w:eastAsia="zh-CN"/>
        </w:rPr>
        <w:t>。</w:t>
      </w:r>
    </w:p>
    <w:p>
      <w:pPr>
        <w:keepNext w:val="0"/>
        <w:keepLines w:val="0"/>
        <w:pageBreakBefore w:val="0"/>
        <w:numPr>
          <w:ilvl w:val="0"/>
          <w:numId w:val="10"/>
        </w:numPr>
        <w:kinsoku/>
        <w:wordWrap/>
        <w:overflowPunct/>
        <w:topLinePunct w:val="0"/>
        <w:autoSpaceDE/>
        <w:autoSpaceDN/>
        <w:bidi w:val="0"/>
        <w:spacing w:line="440" w:lineRule="exact"/>
        <w:ind w:left="0" w:leftChars="0" w:firstLine="640"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部门整体支出绩效情况</w:t>
      </w:r>
      <w:r>
        <w:rPr>
          <w:rFonts w:hint="eastAsia" w:ascii="黑体" w:hAnsi="黑体" w:eastAsia="黑体" w:cs="黑体"/>
          <w:b/>
          <w:bCs/>
          <w:sz w:val="32"/>
          <w:szCs w:val="32"/>
          <w:lang w:eastAsia="zh-CN"/>
        </w:rPr>
        <w:t>。</w:t>
      </w:r>
    </w:p>
    <w:p>
      <w:pPr>
        <w:keepNext w:val="0"/>
        <w:keepLines w:val="0"/>
        <w:pageBreakBefore w:val="0"/>
        <w:numPr>
          <w:ilvl w:val="0"/>
          <w:numId w:val="0"/>
        </w:numPr>
        <w:kinsoku/>
        <w:wordWrap/>
        <w:overflowPunct/>
        <w:topLinePunct w:val="0"/>
        <w:autoSpaceDE/>
        <w:autoSpaceDN/>
        <w:bidi w:val="0"/>
        <w:spacing w:line="440" w:lineRule="exact"/>
        <w:ind w:leftChars="200"/>
        <w:textAlignment w:val="auto"/>
        <w:rPr>
          <w:rFonts w:hint="eastAsia" w:ascii="仿宋" w:hAnsi="仿宋" w:eastAsia="仿宋" w:cs="仿宋"/>
          <w:spacing w:val="15"/>
          <w:sz w:val="28"/>
          <w:szCs w:val="28"/>
        </w:rPr>
      </w:pPr>
      <w:r>
        <w:rPr>
          <w:rFonts w:hint="eastAsia" w:ascii="仿宋" w:hAnsi="仿宋" w:eastAsia="仿宋" w:cs="仿宋"/>
          <w:spacing w:val="15"/>
          <w:sz w:val="28"/>
          <w:szCs w:val="28"/>
        </w:rPr>
        <w:t>(一)当年取得的主要事业成效。</w:t>
      </w:r>
    </w:p>
    <w:p>
      <w:pPr>
        <w:keepNext w:val="0"/>
        <w:keepLines w:val="0"/>
        <w:pageBreakBefore w:val="0"/>
        <w:widowControl w:val="0"/>
        <w:kinsoku/>
        <w:wordWrap/>
        <w:overflowPunct/>
        <w:topLinePunct w:val="0"/>
        <w:autoSpaceDE/>
        <w:autoSpaceDN/>
        <w:bidi w:val="0"/>
        <w:adjustRightInd w:val="0"/>
        <w:snapToGrid w:val="0"/>
        <w:spacing w:line="440" w:lineRule="exact"/>
        <w:ind w:firstLine="560" w:firstLineChars="200"/>
        <w:jc w:val="both"/>
        <w:textAlignment w:val="auto"/>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深化改革赋能，优化营商环境生态。一是规范行政执法行为。全年办理行政处罚案件202件，案件数量、罚款金额同比分别下降27.3%、26.7%，从轻、减轻及不予处罚占比达84.9%。全年行政复议案件同比下降58%，无行政诉讼案件，1起案件获评市级优秀案件。二是优化营商环境生态。完成10797家企业信用风险分类，依法移出异常名录企业133家，联合22个部门开展跨部门联合抽查87次，抽查企业391家，联合检查率78.2%，结果公示率100%。协助法院、公安等部门实施信用联合惩戒29家。三是激发市场主体活力。全区实有经营主体突破5万户，年度净增2881户，其中企业类经营主体10786户，完成“个转企”105户，整体培育成效位居全市前列。全年核发“一照通”营业执照1768户，登记大学生经营主体139户。办理特种设备使用登记332户、食品经营许可1091户、药品药械相关业务437户、标准计量器械备案347户。四是推进智慧监管效能。全年食品安全监督检查完成率99.41%，食品生产经营企业主体培训覆盖率100%，全区156家学校食堂全部接入“互联网+明厨亮灶”监管平台，公办学校食堂覆盖率达100%，部署700余个监控点位，实现非现场监管隐患排查1000余次，立案1件。推动62家公办学校、60家民办幼儿园、7家民办中小学同步接入“互联网+AI监管”平台。</w:t>
      </w:r>
    </w:p>
    <w:p>
      <w:pPr>
        <w:keepNext w:val="0"/>
        <w:keepLines w:val="0"/>
        <w:pageBreakBefore w:val="0"/>
        <w:widowControl w:val="0"/>
        <w:kinsoku/>
        <w:wordWrap/>
        <w:overflowPunct/>
        <w:topLinePunct w:val="0"/>
        <w:autoSpaceDE/>
        <w:autoSpaceDN/>
        <w:bidi w:val="0"/>
        <w:adjustRightInd w:val="0"/>
        <w:snapToGrid w:val="0"/>
        <w:spacing w:line="440" w:lineRule="exact"/>
        <w:ind w:firstLine="560" w:firstLineChars="200"/>
        <w:jc w:val="both"/>
        <w:textAlignment w:val="auto"/>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聚焦民生关切，规范市场消费秩序。一是强化综合监管力度。开展广告专项检查132家次，纠正轻微违法行为2起，移交线索10条、立案3起，为2家企业提供广告合规指导，推荐5部公益广告参展。监测网络经营主体98家次、交易信息625条。检查10家农贸市场及周边，检定电子计价秤600台，对46家加油站165台加油机开展专项核查，在用计量器具强制检定率保持100%。落实公平竞争审查制度，审查规范性文件37份，清理政策措施2件。二是民生实事攻坚推进。深入开展市场监管民生领域专项整治，全年检查市场经营主体819家次，约谈相关企业28家，排查发现问题隐患260个，现场督促整改175个，依法立案14起。</w:t>
      </w:r>
      <w:bookmarkStart w:id="0" w:name="_GoBack"/>
      <w:bookmarkEnd w:id="0"/>
      <w:r>
        <w:rPr>
          <w:rFonts w:hint="eastAsia" w:ascii="仿宋" w:hAnsi="仿宋" w:eastAsia="仿宋" w:cs="仿宋"/>
          <w:color w:val="auto"/>
          <w:sz w:val="28"/>
          <w:szCs w:val="28"/>
          <w:highlight w:val="none"/>
          <w:lang w:val="en-US" w:eastAsia="zh-CN"/>
        </w:rPr>
        <w:t>三是深化放心消费创建。累计创建放心消费承诺单位1383家、放心消费示范街区1个、ODR（在线消费纠纷解决）单位28家。全年受理投诉举报4275件，办结4275件，按时初查率、办结率始终保持100%，调解成功率59.18%，消费者投诉信息公示率98.88%，为群众挽回经济损失201.3万元。</w:t>
      </w:r>
    </w:p>
    <w:p>
      <w:pPr>
        <w:keepNext w:val="0"/>
        <w:keepLines w:val="0"/>
        <w:pageBreakBefore w:val="0"/>
        <w:widowControl w:val="0"/>
        <w:kinsoku/>
        <w:wordWrap/>
        <w:overflowPunct/>
        <w:topLinePunct w:val="0"/>
        <w:autoSpaceDE/>
        <w:autoSpaceDN/>
        <w:bidi w:val="0"/>
        <w:adjustRightInd w:val="0"/>
        <w:snapToGrid w:val="0"/>
        <w:spacing w:line="440" w:lineRule="exact"/>
        <w:ind w:firstLine="560" w:firstLineChars="200"/>
        <w:jc w:val="both"/>
        <w:textAlignment w:val="auto"/>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严守安全底线，筑牢全域防护屏障。一是筑牢食品安全防线。高位推动食品安全“两个责任”落实，实现B级、C级包保覆盖率、督导完成率、问题整改率“三个100%”。开展食品安全突出问题整治“八大行动”等专项执法，累计检查经营主体4328家次，有效遏制食品安全乱象。持续擦亮省级食安城市金字招牌，零陵文旅火爆出圈，柳宗元文化旅游周·零陵夜宴、“国风+科技”全域文旅新范式、“湘超”等特色文旅与食安零陵活动，吸引游客百万人次，带动“食”有消费增量约2亿元以上。二是筑牢药品安全防线。全年累计排查风险隐患39条。药械化监管任务完成率100%，移交违法线索15条，立案39起、结案38起，实现闭环管理。完成药品不良反应监测609例、医疗器械286例、化妆品85例、药物滥用42例。三是筑牢特种设备安全防线。开展电梯、燃气安全专项整治，出动监察人员450余人次，检查生产使用单位126家次，下发安全监察指令书85份，查封设备19台，立案14起。对全区172台在册锅炉开展全覆盖清查，依法注销83台高耗能锅炉，推动企业自主淘汰40台，助力绿色低碳发展。四是筑牢产品质量安全防线。聚焦与群众生产生活密切相关的重点品类，累计抽检90批次，抽检合格率98.88%。组织“瘦身钢筋”专项整治行动，累计抽检钢筋产品34批次，有效遏制不合格钢筋流入市场。</w:t>
      </w:r>
    </w:p>
    <w:p>
      <w:pPr>
        <w:keepNext w:val="0"/>
        <w:keepLines w:val="0"/>
        <w:pageBreakBefore w:val="0"/>
        <w:widowControl w:val="0"/>
        <w:kinsoku/>
        <w:wordWrap/>
        <w:overflowPunct/>
        <w:topLinePunct w:val="0"/>
        <w:autoSpaceDE/>
        <w:autoSpaceDN/>
        <w:bidi w:val="0"/>
        <w:adjustRightInd w:val="0"/>
        <w:snapToGrid w:val="0"/>
        <w:spacing w:line="440" w:lineRule="exact"/>
        <w:ind w:firstLine="560" w:firstLineChars="200"/>
        <w:jc w:val="both"/>
        <w:textAlignment w:val="auto"/>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4、深耕质量强区，激活知识产权动能。</w:t>
      </w:r>
    </w:p>
    <w:p>
      <w:pPr>
        <w:keepNext w:val="0"/>
        <w:keepLines w:val="0"/>
        <w:pageBreakBefore w:val="0"/>
        <w:kinsoku/>
        <w:wordWrap/>
        <w:overflowPunct/>
        <w:topLinePunct w:val="0"/>
        <w:autoSpaceDE/>
        <w:autoSpaceDN/>
        <w:bidi w:val="0"/>
        <w:snapToGrid w:val="0"/>
        <w:spacing w:line="44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一是知识产权保护成效突出。开展知识产权线上培训4期，协助鑫城锰业等企业完成2500万元知识产权质押融资，。立案查处商标侵权案2起，专利纠纷案件调解12起。截至2025年底，全区有效发明专利302件，每万人发明专利拥有量5.47件，专利转让许可140件。二是质量强区品牌走深走实。协助建华机械厂提交QC小组资料，推动湖南兵器建华精密仪器有限公司参与第八届省长质量奖现场评审；配合水口山镇政府开展水口山牛扣地理标志产品申报前期考察与资料调研；完成“永州异蛇”农产品地理标志向国家地理标志转化的审核申报；协助德诺贝莱申报湖南名品，组织时代阳光参与湖南省十佳品牌案例评选，助力企业打响品牌知名度。</w:t>
      </w:r>
    </w:p>
    <w:p>
      <w:pPr>
        <w:keepNext w:val="0"/>
        <w:keepLines w:val="0"/>
        <w:pageBreakBefore w:val="0"/>
        <w:kinsoku/>
        <w:wordWrap/>
        <w:overflowPunct/>
        <w:topLinePunct w:val="0"/>
        <w:autoSpaceDE/>
        <w:autoSpaceDN/>
        <w:bidi w:val="0"/>
        <w:snapToGrid w:val="0"/>
        <w:spacing w:line="44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(二)绩效情况。</w:t>
      </w:r>
    </w:p>
    <w:p>
      <w:pPr>
        <w:keepNext w:val="0"/>
        <w:keepLines w:val="0"/>
        <w:pageBreakBefore w:val="0"/>
        <w:kinsoku/>
        <w:wordWrap/>
        <w:overflowPunct/>
        <w:topLinePunct w:val="0"/>
        <w:autoSpaceDE/>
        <w:autoSpaceDN/>
        <w:bidi w:val="0"/>
        <w:snapToGrid w:val="0"/>
        <w:spacing w:line="44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1.产出指标完成情况分析。</w:t>
      </w:r>
    </w:p>
    <w:p>
      <w:pPr>
        <w:keepNext w:val="0"/>
        <w:keepLines w:val="0"/>
        <w:pageBreakBefore w:val="0"/>
        <w:kinsoku/>
        <w:wordWrap/>
        <w:overflowPunct/>
        <w:topLinePunct w:val="0"/>
        <w:autoSpaceDE/>
        <w:autoSpaceDN/>
        <w:bidi w:val="0"/>
        <w:snapToGrid w:val="0"/>
        <w:spacing w:line="44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(1)成本指标。2025年度年初预算收入总计1581.12万元，实际总收入1842.53万元。</w:t>
      </w:r>
    </w:p>
    <w:p>
      <w:pPr>
        <w:keepNext w:val="0"/>
        <w:keepLines w:val="0"/>
        <w:pageBreakBefore w:val="0"/>
        <w:kinsoku/>
        <w:wordWrap/>
        <w:overflowPunct/>
        <w:topLinePunct w:val="0"/>
        <w:autoSpaceDE/>
        <w:autoSpaceDN/>
        <w:bidi w:val="0"/>
        <w:snapToGrid w:val="0"/>
        <w:spacing w:line="44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重点工作任务完成。执法办案案件数202件，开展各类宣传活动次数12次，开展市场监管专项整治工作次数10次，开展315主题宣传系列活动1次，市场主体年报填报率96%,各类执法专项检查保质保量完成率100%,特种设备、食品药品安全宣传知晓率98%,履职工作任务完成时间2025年。</w:t>
      </w:r>
    </w:p>
    <w:p>
      <w:pPr>
        <w:keepNext w:val="0"/>
        <w:keepLines w:val="0"/>
        <w:pageBreakBefore w:val="0"/>
        <w:kinsoku/>
        <w:wordWrap/>
        <w:overflowPunct/>
        <w:topLinePunct w:val="0"/>
        <w:autoSpaceDE/>
        <w:autoSpaceDN/>
        <w:bidi w:val="0"/>
        <w:spacing w:before="1" w:line="440" w:lineRule="exact"/>
        <w:ind w:right="132" w:firstLine="632"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spacing w:val="18"/>
          <w:sz w:val="28"/>
          <w:szCs w:val="28"/>
        </w:rPr>
        <w:t>(3)履职目标实现。特种设备、食品药品安全宣传知</w:t>
      </w:r>
      <w:r>
        <w:rPr>
          <w:rFonts w:hint="eastAsia" w:ascii="仿宋" w:hAnsi="仿宋" w:eastAsia="仿宋" w:cs="仿宋"/>
          <w:spacing w:val="28"/>
          <w:sz w:val="28"/>
          <w:szCs w:val="28"/>
        </w:rPr>
        <w:t>晓率≥90%,市场主体年报率≥85%,消费投诉办结率≥</w:t>
      </w:r>
      <w:r>
        <w:rPr>
          <w:rFonts w:hint="eastAsia" w:ascii="仿宋" w:hAnsi="仿宋" w:eastAsia="仿宋" w:cs="仿宋"/>
          <w:spacing w:val="30"/>
          <w:sz w:val="28"/>
          <w:szCs w:val="28"/>
        </w:rPr>
        <w:t>95%,履职工作任务完成在202</w:t>
      </w:r>
      <w:r>
        <w:rPr>
          <w:rFonts w:hint="eastAsia" w:ascii="仿宋" w:hAnsi="仿宋" w:eastAsia="仿宋" w:cs="仿宋"/>
          <w:spacing w:val="30"/>
          <w:sz w:val="28"/>
          <w:szCs w:val="28"/>
          <w:lang w:val="en-US" w:eastAsia="zh-CN"/>
        </w:rPr>
        <w:t>5</w:t>
      </w:r>
      <w:r>
        <w:rPr>
          <w:rFonts w:hint="eastAsia" w:ascii="仿宋" w:hAnsi="仿宋" w:eastAsia="仿宋" w:cs="仿宋"/>
          <w:spacing w:val="30"/>
          <w:sz w:val="28"/>
          <w:szCs w:val="28"/>
        </w:rPr>
        <w:t>年12月31日前，消费</w:t>
      </w:r>
      <w:r>
        <w:rPr>
          <w:rFonts w:hint="eastAsia" w:ascii="仿宋" w:hAnsi="仿宋" w:eastAsia="仿宋" w:cs="仿宋"/>
          <w:color w:val="auto"/>
          <w:sz w:val="28"/>
          <w:szCs w:val="28"/>
          <w:highlight w:val="none"/>
          <w:lang w:val="en-US" w:eastAsia="zh-CN"/>
        </w:rPr>
        <w:t>者投诉举报受理时间≤7天，成本费用使用控制在批复预算内。</w:t>
      </w:r>
    </w:p>
    <w:p>
      <w:pPr>
        <w:keepNext w:val="0"/>
        <w:keepLines w:val="0"/>
        <w:pageBreakBefore w:val="0"/>
        <w:kinsoku/>
        <w:wordWrap/>
        <w:overflowPunct/>
        <w:topLinePunct w:val="0"/>
        <w:autoSpaceDE/>
        <w:autoSpaceDN/>
        <w:bidi w:val="0"/>
        <w:snapToGrid w:val="0"/>
        <w:spacing w:line="44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2.效益指标完成情况分析。</w:t>
      </w:r>
    </w:p>
    <w:p>
      <w:pPr>
        <w:keepNext w:val="0"/>
        <w:keepLines w:val="0"/>
        <w:pageBreakBefore w:val="0"/>
        <w:kinsoku/>
        <w:wordWrap/>
        <w:overflowPunct/>
        <w:topLinePunct w:val="0"/>
        <w:autoSpaceDE/>
        <w:autoSpaceDN/>
        <w:bidi w:val="0"/>
        <w:snapToGrid w:val="0"/>
        <w:spacing w:line="44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(1)履职效益。推进“放管服”改革，加强事中事后监督，维护群众食品、产品安全，加强市场监管综合执法，优化市场营商环境，提升个体、企业注册、变更、注销便利化程度。</w:t>
      </w:r>
    </w:p>
    <w:p>
      <w:pPr>
        <w:keepNext w:val="0"/>
        <w:keepLines w:val="0"/>
        <w:pageBreakBefore w:val="0"/>
        <w:kinsoku/>
        <w:wordWrap/>
        <w:overflowPunct/>
        <w:topLinePunct w:val="0"/>
        <w:autoSpaceDE/>
        <w:autoSpaceDN/>
        <w:bidi w:val="0"/>
        <w:snapToGrid w:val="0"/>
        <w:spacing w:line="44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(2)满意度。社会公众满意度95%。</w:t>
      </w:r>
    </w:p>
    <w:p>
      <w:pPr>
        <w:pStyle w:val="18"/>
        <w:spacing w:line="570" w:lineRule="exact"/>
        <w:ind w:firstLine="640"/>
        <w:rPr>
          <w:rFonts w:ascii="Times New Roman" w:hAnsi="Times New Roman" w:eastAsia="黑体"/>
          <w:sz w:val="32"/>
          <w:szCs w:val="32"/>
        </w:rPr>
      </w:pPr>
      <w:r>
        <w:rPr>
          <w:rFonts w:ascii="Times New Roman" w:hAnsi="Times New Roman" w:eastAsia="黑体"/>
          <w:sz w:val="32"/>
          <w:szCs w:val="32"/>
        </w:rPr>
        <w:t>七、存在的问题及原因分析</w:t>
      </w:r>
    </w:p>
    <w:p>
      <w:pPr>
        <w:keepNext w:val="0"/>
        <w:keepLines w:val="0"/>
        <w:pageBreakBefore w:val="0"/>
        <w:kinsoku/>
        <w:wordWrap/>
        <w:overflowPunct/>
        <w:topLinePunct w:val="0"/>
        <w:autoSpaceDE/>
        <w:autoSpaceDN/>
        <w:bidi w:val="0"/>
        <w:snapToGrid w:val="0"/>
        <w:spacing w:line="44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(一)预算编制精准度还不够。部分项目的预算编制不够精确，导致执行中存在预算调整，预算控制率不理想，影 响了单位评分及评价等次。</w:t>
      </w:r>
    </w:p>
    <w:p>
      <w:pPr>
        <w:keepNext w:val="0"/>
        <w:keepLines w:val="0"/>
        <w:pageBreakBefore w:val="0"/>
        <w:kinsoku/>
        <w:wordWrap/>
        <w:overflowPunct/>
        <w:topLinePunct w:val="0"/>
        <w:autoSpaceDE/>
        <w:autoSpaceDN/>
        <w:bidi w:val="0"/>
        <w:snapToGrid w:val="0"/>
        <w:spacing w:line="44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(二)基本支出执行占比较大，预算执行基本围绕保人 员经费、保正常运转进行。</w:t>
      </w:r>
    </w:p>
    <w:p>
      <w:pPr>
        <w:keepNext w:val="0"/>
        <w:keepLines w:val="0"/>
        <w:pageBreakBefore w:val="0"/>
        <w:kinsoku/>
        <w:wordWrap/>
        <w:overflowPunct/>
        <w:topLinePunct w:val="0"/>
        <w:autoSpaceDE/>
        <w:autoSpaceDN/>
        <w:bidi w:val="0"/>
        <w:snapToGrid w:val="0"/>
        <w:spacing w:line="44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(三)资产管理不够规范，资产账面使用人与实际使用 人不符，为资产清理及实地盘点带来诸多不便。</w:t>
      </w:r>
    </w:p>
    <w:p>
      <w:pPr>
        <w:pStyle w:val="2"/>
        <w:rPr>
          <w:rFonts w:hint="eastAsia"/>
          <w:lang w:val="en-US" w:eastAsia="zh-CN"/>
        </w:rPr>
      </w:pPr>
    </w:p>
    <w:p>
      <w:pPr>
        <w:numPr>
          <w:ilvl w:val="0"/>
          <w:numId w:val="11"/>
        </w:numPr>
        <w:spacing w:line="570" w:lineRule="exact"/>
        <w:ind w:firstLine="640" w:firstLineChars="200"/>
        <w:rPr>
          <w:rFonts w:eastAsia="黑体"/>
          <w:sz w:val="32"/>
          <w:szCs w:val="32"/>
        </w:rPr>
      </w:pPr>
      <w:r>
        <w:rPr>
          <w:rFonts w:eastAsia="黑体"/>
          <w:sz w:val="32"/>
          <w:szCs w:val="32"/>
        </w:rPr>
        <w:t>下一步改进措施</w:t>
      </w:r>
    </w:p>
    <w:p>
      <w:pPr>
        <w:keepNext w:val="0"/>
        <w:keepLines w:val="0"/>
        <w:pageBreakBefore w:val="0"/>
        <w:kinsoku/>
        <w:wordWrap/>
        <w:overflowPunct/>
        <w:topLinePunct w:val="0"/>
        <w:autoSpaceDE/>
        <w:autoSpaceDN/>
        <w:bidi w:val="0"/>
        <w:snapToGrid w:val="0"/>
        <w:spacing w:line="44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一)科学合理编制预算，严格执行预算。按政策规定及本部门的发展规划，结合上一年度预算执行情况和本年度预算收支变化因素，科学、合理地编制本年预算草案，避免项目支出与基本支出划分不准或预算支出与实际执行出现较大偏差的情况。</w:t>
      </w:r>
    </w:p>
    <w:p>
      <w:pPr>
        <w:keepNext w:val="0"/>
        <w:keepLines w:val="0"/>
        <w:pageBreakBefore w:val="0"/>
        <w:kinsoku/>
        <w:wordWrap/>
        <w:overflowPunct/>
        <w:topLinePunct w:val="0"/>
        <w:autoSpaceDE/>
        <w:autoSpaceDN/>
        <w:bidi w:val="0"/>
        <w:snapToGrid w:val="0"/>
        <w:spacing w:line="44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(二)规范账务处理，提高财务信息质量。严格按照《会计法》、《政府会计制度》等规定执行财务核算，并结合实际情况，完整、准确地披露相关信息，尽可能地做到决算与预算相衔接。</w:t>
      </w:r>
    </w:p>
    <w:p>
      <w:pPr>
        <w:keepNext w:val="0"/>
        <w:keepLines w:val="0"/>
        <w:pageBreakBefore w:val="0"/>
        <w:kinsoku/>
        <w:wordWrap/>
        <w:overflowPunct/>
        <w:topLinePunct w:val="0"/>
        <w:autoSpaceDE/>
        <w:autoSpaceDN/>
        <w:bidi w:val="0"/>
        <w:snapToGrid w:val="0"/>
        <w:spacing w:line="44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三)完善管理制度，进一步加强资产管理。进一步贯彻落实中央“八项规定”建立本部门“三公经费”等公务支出管理制度及厉行节约制度，加强经费审批和控制，规范支出标准与范围，并严格执行。严格按照《固定资产管理办法》的规定加强固定资产管理，及时登记、更新台账，加强资产卡片管理，年终前对各类实物资产进行全面盘点，确保账实相符。</w:t>
      </w:r>
    </w:p>
    <w:p>
      <w:pPr>
        <w:keepNext w:val="0"/>
        <w:keepLines w:val="0"/>
        <w:pageBreakBefore w:val="0"/>
        <w:kinsoku/>
        <w:wordWrap/>
        <w:overflowPunct/>
        <w:topLinePunct w:val="0"/>
        <w:autoSpaceDE/>
        <w:autoSpaceDN/>
        <w:bidi w:val="0"/>
        <w:snapToGrid w:val="0"/>
        <w:spacing w:line="44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四)加强政府会计制度和预算法学习培训。加强新《预算法》、《政府会计制度》等学习培训，规范部门预算收支核算，一是制定和完善基本支出、项目支出等各项支出标准，严格按项目和进度执行预算，增强预算的约束力和严肃性。二是落实预算执行分析，及时了解预算执行差异，合理调整、纠正预算执行偏差，切实提高部门预算收支管理水平。</w:t>
      </w:r>
    </w:p>
    <w:p>
      <w:pPr>
        <w:keepNext w:val="0"/>
        <w:keepLines w:val="0"/>
        <w:pageBreakBefore w:val="0"/>
        <w:kinsoku/>
        <w:wordWrap/>
        <w:overflowPunct/>
        <w:topLinePunct w:val="0"/>
        <w:autoSpaceDE/>
        <w:autoSpaceDN/>
        <w:bidi w:val="0"/>
        <w:snapToGrid w:val="0"/>
        <w:spacing w:line="440" w:lineRule="exact"/>
        <w:ind w:firstLine="640" w:firstLineChars="200"/>
        <w:textAlignment w:val="auto"/>
        <w:rPr>
          <w:rFonts w:eastAsia="黑体"/>
          <w:sz w:val="32"/>
          <w:szCs w:val="32"/>
        </w:rPr>
      </w:pPr>
      <w:r>
        <w:rPr>
          <w:rFonts w:eastAsia="黑体"/>
          <w:sz w:val="32"/>
          <w:szCs w:val="32"/>
        </w:rPr>
        <w:t>九、部门整体支出绩效自评结果拟应用和公开情况</w:t>
      </w:r>
    </w:p>
    <w:p>
      <w:pPr>
        <w:pStyle w:val="2"/>
      </w:pPr>
      <w:r>
        <w:rPr>
          <w:rFonts w:hint="eastAsia" w:ascii="仿宋" w:hAnsi="仿宋" w:eastAsia="仿宋" w:cs="仿宋"/>
          <w:color w:val="auto"/>
          <w:kern w:val="2"/>
          <w:sz w:val="28"/>
          <w:szCs w:val="28"/>
          <w:highlight w:val="none"/>
          <w:lang w:val="en-US" w:eastAsia="zh-CN" w:bidi="ar-SA"/>
        </w:rPr>
        <w:t>绩效自评结果在预算绩效管理系统进行公开。</w:t>
      </w:r>
    </w:p>
    <w:p>
      <w:pPr>
        <w:spacing w:line="570" w:lineRule="exact"/>
        <w:ind w:firstLine="640" w:firstLineChars="200"/>
        <w:rPr>
          <w:rFonts w:eastAsia="黑体"/>
          <w:sz w:val="32"/>
          <w:szCs w:val="32"/>
        </w:rPr>
      </w:pPr>
      <w:r>
        <w:rPr>
          <w:rFonts w:hint="eastAsia" w:eastAsia="黑体"/>
          <w:sz w:val="32"/>
          <w:szCs w:val="32"/>
        </w:rPr>
        <w:t>十、</w:t>
      </w:r>
      <w:r>
        <w:rPr>
          <w:rFonts w:eastAsia="黑体"/>
          <w:sz w:val="32"/>
          <w:szCs w:val="32"/>
        </w:rPr>
        <w:t>其他需要说明的情况</w:t>
      </w:r>
    </w:p>
    <w:p>
      <w:pPr>
        <w:spacing w:after="120" w:afterLines="50" w:line="600" w:lineRule="exact"/>
      </w:pPr>
      <w:r>
        <w:rPr>
          <w:rFonts w:hint="eastAsia" w:eastAsia="黑体"/>
          <w:sz w:val="32"/>
          <w:szCs w:val="32"/>
          <w:lang w:val="en-US" w:eastAsia="zh-CN"/>
        </w:rPr>
        <w:t xml:space="preserve">   </w:t>
      </w:r>
      <w:r>
        <w:rPr>
          <w:rFonts w:hint="eastAsia" w:ascii="楷体_GB2312" w:hAnsi="楷体_GB2312" w:eastAsia="楷体_GB2312" w:cs="楷体_GB2312"/>
          <w:sz w:val="32"/>
          <w:szCs w:val="32"/>
          <w:lang w:val="en-US" w:eastAsia="zh-CN"/>
        </w:rPr>
        <w:t xml:space="preserve"> </w:t>
      </w:r>
      <w:r>
        <w:rPr>
          <w:rFonts w:hint="eastAsia" w:ascii="仿宋" w:hAnsi="仿宋" w:eastAsia="仿宋" w:cs="仿宋"/>
          <w:color w:val="auto"/>
          <w:kern w:val="2"/>
          <w:sz w:val="28"/>
          <w:szCs w:val="28"/>
          <w:highlight w:val="none"/>
          <w:lang w:val="en-US" w:eastAsia="zh-CN" w:bidi="ar-SA"/>
        </w:rPr>
        <w:t xml:space="preserve"> 无。</w:t>
      </w:r>
    </w:p>
    <w:p>
      <w:pPr>
        <w:rPr>
          <w:rFonts w:hint="default" w:ascii="Times New Roman" w:hAnsi="Times New Roman" w:eastAsia="仿宋_GB2312" w:cs="Times New Roman"/>
          <w:b/>
          <w:bCs/>
          <w:color w:val="FF0000"/>
          <w:sz w:val="40"/>
          <w:szCs w:val="40"/>
          <w:lang w:val="en-US" w:eastAsia="zh-CN"/>
        </w:rPr>
      </w:pPr>
    </w:p>
    <w:sectPr>
      <w:footerReference r:id="rId7" w:type="default"/>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C685AF"/>
    <w:multiLevelType w:val="singleLevel"/>
    <w:tmpl w:val="88C685AF"/>
    <w:lvl w:ilvl="0" w:tentative="0">
      <w:start w:val="1"/>
      <w:numFmt w:val="chineseCounting"/>
      <w:suff w:val="nothing"/>
      <w:lvlText w:val="%1、"/>
      <w:lvlJc w:val="left"/>
      <w:rPr>
        <w:rFonts w:hint="eastAsia"/>
      </w:rPr>
    </w:lvl>
  </w:abstractNum>
  <w:abstractNum w:abstractNumId="1">
    <w:nsid w:val="A4CD1938"/>
    <w:multiLevelType w:val="singleLevel"/>
    <w:tmpl w:val="A4CD1938"/>
    <w:lvl w:ilvl="0" w:tentative="0">
      <w:start w:val="3"/>
      <w:numFmt w:val="decimal"/>
      <w:suff w:val="nothing"/>
      <w:lvlText w:val="%1、"/>
      <w:lvlJc w:val="left"/>
    </w:lvl>
  </w:abstractNum>
  <w:abstractNum w:abstractNumId="2">
    <w:nsid w:val="C34E49EE"/>
    <w:multiLevelType w:val="singleLevel"/>
    <w:tmpl w:val="C34E49EE"/>
    <w:lvl w:ilvl="0" w:tentative="0">
      <w:start w:val="2"/>
      <w:numFmt w:val="chineseCounting"/>
      <w:suff w:val="nothing"/>
      <w:lvlText w:val="（%1）"/>
      <w:lvlJc w:val="left"/>
      <w:rPr>
        <w:rFonts w:hint="eastAsia"/>
      </w:rPr>
    </w:lvl>
  </w:abstractNum>
  <w:abstractNum w:abstractNumId="3">
    <w:nsid w:val="CFDE4CF6"/>
    <w:multiLevelType w:val="singleLevel"/>
    <w:tmpl w:val="CFDE4CF6"/>
    <w:lvl w:ilvl="0" w:tentative="0">
      <w:start w:val="2"/>
      <w:numFmt w:val="chineseCounting"/>
      <w:suff w:val="space"/>
      <w:lvlText w:val="第%1部分"/>
      <w:lvlJc w:val="left"/>
      <w:rPr>
        <w:rFonts w:hint="eastAsia"/>
      </w:rPr>
    </w:lvl>
  </w:abstractNum>
  <w:abstractNum w:abstractNumId="4">
    <w:nsid w:val="D0AD40AF"/>
    <w:multiLevelType w:val="singleLevel"/>
    <w:tmpl w:val="D0AD40AF"/>
    <w:lvl w:ilvl="0" w:tentative="0">
      <w:start w:val="3"/>
      <w:numFmt w:val="chineseCounting"/>
      <w:suff w:val="nothing"/>
      <w:lvlText w:val="%1、"/>
      <w:lvlJc w:val="left"/>
      <w:rPr>
        <w:rFonts w:hint="eastAsia"/>
      </w:rPr>
    </w:lvl>
  </w:abstractNum>
  <w:abstractNum w:abstractNumId="5">
    <w:nsid w:val="EC840081"/>
    <w:multiLevelType w:val="singleLevel"/>
    <w:tmpl w:val="EC840081"/>
    <w:lvl w:ilvl="0" w:tentative="0">
      <w:start w:val="3"/>
      <w:numFmt w:val="decimal"/>
      <w:suff w:val="nothing"/>
      <w:lvlText w:val="%1）"/>
      <w:lvlJc w:val="left"/>
    </w:lvl>
  </w:abstractNum>
  <w:abstractNum w:abstractNumId="6">
    <w:nsid w:val="F93E3BF4"/>
    <w:multiLevelType w:val="singleLevel"/>
    <w:tmpl w:val="F93E3BF4"/>
    <w:lvl w:ilvl="0" w:tentative="0">
      <w:start w:val="5"/>
      <w:numFmt w:val="chineseCounting"/>
      <w:suff w:val="nothing"/>
      <w:lvlText w:val="%1、"/>
      <w:lvlJc w:val="left"/>
      <w:rPr>
        <w:rFonts w:hint="eastAsia"/>
      </w:rPr>
    </w:lvl>
  </w:abstractNum>
  <w:abstractNum w:abstractNumId="7">
    <w:nsid w:val="1786BC2B"/>
    <w:multiLevelType w:val="singleLevel"/>
    <w:tmpl w:val="1786BC2B"/>
    <w:lvl w:ilvl="0" w:tentative="0">
      <w:start w:val="8"/>
      <w:numFmt w:val="chineseCounting"/>
      <w:suff w:val="nothing"/>
      <w:lvlText w:val="%1、"/>
      <w:lvlJc w:val="left"/>
      <w:rPr>
        <w:rFonts w:hint="eastAsia"/>
      </w:rPr>
    </w:lvl>
  </w:abstractNum>
  <w:abstractNum w:abstractNumId="8">
    <w:nsid w:val="1B18F584"/>
    <w:multiLevelType w:val="singleLevel"/>
    <w:tmpl w:val="1B18F584"/>
    <w:lvl w:ilvl="0" w:tentative="0">
      <w:start w:val="2"/>
      <w:numFmt w:val="chineseCounting"/>
      <w:suff w:val="nothing"/>
      <w:lvlText w:val="（%1）"/>
      <w:lvlJc w:val="left"/>
      <w:rPr>
        <w:rFonts w:hint="eastAsia"/>
      </w:rPr>
    </w:lvl>
  </w:abstractNum>
  <w:abstractNum w:abstractNumId="9">
    <w:nsid w:val="2D7A697E"/>
    <w:multiLevelType w:val="singleLevel"/>
    <w:tmpl w:val="2D7A697E"/>
    <w:lvl w:ilvl="0" w:tentative="0">
      <w:start w:val="3"/>
      <w:numFmt w:val="decimal"/>
      <w:suff w:val="nothing"/>
      <w:lvlText w:val="%1、"/>
      <w:lvlJc w:val="left"/>
    </w:lvl>
  </w:abstractNum>
  <w:abstractNum w:abstractNumId="10">
    <w:nsid w:val="5F3D3A64"/>
    <w:multiLevelType w:val="singleLevel"/>
    <w:tmpl w:val="5F3D3A64"/>
    <w:lvl w:ilvl="0" w:tentative="0">
      <w:start w:val="1"/>
      <w:numFmt w:val="chineseCounting"/>
      <w:suff w:val="nothing"/>
      <w:lvlText w:val="%1、"/>
      <w:lvlJc w:val="left"/>
      <w:rPr>
        <w:rFonts w:hint="eastAsia"/>
      </w:rPr>
    </w:lvl>
  </w:abstractNum>
  <w:num w:numId="1">
    <w:abstractNumId w:val="2"/>
  </w:num>
  <w:num w:numId="2">
    <w:abstractNumId w:val="3"/>
  </w:num>
  <w:num w:numId="3">
    <w:abstractNumId w:val="6"/>
  </w:num>
  <w:num w:numId="4">
    <w:abstractNumId w:val="9"/>
  </w:num>
  <w:num w:numId="5">
    <w:abstractNumId w:val="0"/>
  </w:num>
  <w:num w:numId="6">
    <w:abstractNumId w:val="10"/>
  </w:num>
  <w:num w:numId="7">
    <w:abstractNumId w:val="5"/>
  </w:num>
  <w:num w:numId="8">
    <w:abstractNumId w:val="8"/>
  </w:num>
  <w:num w:numId="9">
    <w:abstractNumId w:val="1"/>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IzNDdlY2Y1MGVkMWIxM2EzNjAxOWE4MzEwODc4Mzg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FE60171"/>
    <w:rsid w:val="179B3F36"/>
    <w:rsid w:val="1D97DEFF"/>
    <w:rsid w:val="1DFF72E5"/>
    <w:rsid w:val="1EFC6F07"/>
    <w:rsid w:val="1FDF0B72"/>
    <w:rsid w:val="2FDF85B8"/>
    <w:rsid w:val="2FFFEE04"/>
    <w:rsid w:val="33B3D739"/>
    <w:rsid w:val="34DF85B0"/>
    <w:rsid w:val="35860215"/>
    <w:rsid w:val="3B8F36BC"/>
    <w:rsid w:val="491FF225"/>
    <w:rsid w:val="4FFD214C"/>
    <w:rsid w:val="5777D4F5"/>
    <w:rsid w:val="59DD8326"/>
    <w:rsid w:val="5DEF592A"/>
    <w:rsid w:val="5FC6BB1E"/>
    <w:rsid w:val="5FF720F1"/>
    <w:rsid w:val="67B87118"/>
    <w:rsid w:val="67FF5C0B"/>
    <w:rsid w:val="6BCF3EE5"/>
    <w:rsid w:val="6EFC0924"/>
    <w:rsid w:val="6FB74722"/>
    <w:rsid w:val="6FEF8B7E"/>
    <w:rsid w:val="71A6591B"/>
    <w:rsid w:val="737D59BA"/>
    <w:rsid w:val="77C37683"/>
    <w:rsid w:val="77FB47DB"/>
    <w:rsid w:val="79D19834"/>
    <w:rsid w:val="79FF515B"/>
    <w:rsid w:val="7E9E1962"/>
    <w:rsid w:val="7E9F11B4"/>
    <w:rsid w:val="7EB3024D"/>
    <w:rsid w:val="7F37EC1E"/>
    <w:rsid w:val="7F7DCD9D"/>
    <w:rsid w:val="7F970A6F"/>
    <w:rsid w:val="7FC1FFF3"/>
    <w:rsid w:val="7FC69637"/>
    <w:rsid w:val="7FDF8620"/>
    <w:rsid w:val="7FE8C8F7"/>
    <w:rsid w:val="7FFB242F"/>
    <w:rsid w:val="7FFDB408"/>
    <w:rsid w:val="7FFE4EEB"/>
    <w:rsid w:val="95FB2B98"/>
    <w:rsid w:val="9A639BC2"/>
    <w:rsid w:val="9FF7D786"/>
    <w:rsid w:val="ABBFB23D"/>
    <w:rsid w:val="BF6D9A0A"/>
    <w:rsid w:val="C3B4DA5A"/>
    <w:rsid w:val="CBFF70E0"/>
    <w:rsid w:val="CFF50B82"/>
    <w:rsid w:val="CFFFAD89"/>
    <w:rsid w:val="DB7BD518"/>
    <w:rsid w:val="DFFE359E"/>
    <w:rsid w:val="DFFE4FFD"/>
    <w:rsid w:val="EEABED75"/>
    <w:rsid w:val="EFDE7D2C"/>
    <w:rsid w:val="F56FDF51"/>
    <w:rsid w:val="F6B69F17"/>
    <w:rsid w:val="F77F1D61"/>
    <w:rsid w:val="F7FED3A9"/>
    <w:rsid w:val="F8C9DB26"/>
    <w:rsid w:val="F97E8EAE"/>
    <w:rsid w:val="FB36E1A6"/>
    <w:rsid w:val="FB3BE134"/>
    <w:rsid w:val="FC278370"/>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iPriority="99"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jc w:val="both"/>
    </w:pPr>
    <w:rPr>
      <w:lang w:val="en-US" w:eastAsia="zh-CN"/>
    </w:r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index 5"/>
    <w:basedOn w:val="1"/>
    <w:next w:val="1"/>
    <w:unhideWhenUsed/>
    <w:qFormat/>
    <w:uiPriority w:val="99"/>
    <w:pPr>
      <w:suppressAutoHyphens/>
      <w:ind w:left="1680"/>
    </w:pPr>
    <w:rPr>
      <w:szCs w:val="20"/>
    </w:rPr>
  </w:style>
  <w:style w:type="paragraph" w:styleId="5">
    <w:name w:val="Body Text"/>
    <w:basedOn w:val="1"/>
    <w:next w:val="4"/>
    <w:qFormat/>
    <w:uiPriority w:val="0"/>
    <w:pPr>
      <w:widowControl/>
      <w:spacing w:before="100" w:beforeAutospacing="1" w:after="100" w:afterAutospacing="1"/>
      <w:jc w:val="left"/>
    </w:pPr>
    <w:rPr>
      <w:rFonts w:ascii="宋体" w:hAnsi="宋体" w:eastAsia="宋体" w:cs="宋体"/>
      <w:kern w:val="0"/>
      <w:sz w:val="24"/>
      <w:szCs w:val="24"/>
    </w:rPr>
  </w:style>
  <w:style w:type="paragraph" w:styleId="6">
    <w:name w:val="Body Text Indent"/>
    <w:basedOn w:val="1"/>
    <w:next w:val="7"/>
    <w:unhideWhenUsed/>
    <w:qFormat/>
    <w:uiPriority w:val="99"/>
    <w:pPr>
      <w:widowControl/>
      <w:spacing w:after="120"/>
      <w:ind w:left="420" w:leftChars="200"/>
      <w:jc w:val="left"/>
    </w:pPr>
    <w:rPr>
      <w:rFonts w:ascii="宋体" w:hAnsi="宋体" w:eastAsia="宋体" w:cs="宋体"/>
      <w:kern w:val="0"/>
      <w:sz w:val="24"/>
    </w:rPr>
  </w:style>
  <w:style w:type="paragraph" w:styleId="7">
    <w:name w:val="Body Text First Indent 2"/>
    <w:basedOn w:val="6"/>
    <w:next w:val="1"/>
    <w:unhideWhenUsed/>
    <w:qFormat/>
    <w:uiPriority w:val="99"/>
    <w:pPr>
      <w:ind w:firstLine="420" w:firstLineChars="200"/>
    </w:pPr>
  </w:style>
  <w:style w:type="paragraph" w:styleId="8">
    <w:name w:val="Balloon Text"/>
    <w:basedOn w:val="1"/>
    <w:link w:val="19"/>
    <w:semiHidden/>
    <w:unhideWhenUsed/>
    <w:qFormat/>
    <w:uiPriority w:val="99"/>
    <w:rPr>
      <w:sz w:val="18"/>
      <w:szCs w:val="18"/>
    </w:rPr>
  </w:style>
  <w:style w:type="paragraph" w:styleId="9">
    <w:name w:val="footer"/>
    <w:basedOn w:val="1"/>
    <w:link w:val="16"/>
    <w:unhideWhenUsed/>
    <w:qFormat/>
    <w:uiPriority w:val="99"/>
    <w:pPr>
      <w:tabs>
        <w:tab w:val="center" w:pos="4153"/>
        <w:tab w:val="right" w:pos="8306"/>
      </w:tabs>
      <w:snapToGrid w:val="0"/>
      <w:jc w:val="left"/>
    </w:pPr>
    <w:rPr>
      <w:sz w:val="18"/>
      <w:szCs w:val="18"/>
    </w:rPr>
  </w:style>
  <w:style w:type="paragraph" w:styleId="10">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footnote text"/>
    <w:basedOn w:val="1"/>
    <w:next w:val="7"/>
    <w:semiHidden/>
    <w:qFormat/>
    <w:uiPriority w:val="0"/>
    <w:pPr>
      <w:snapToGrid w:val="0"/>
      <w:jc w:val="left"/>
    </w:pPr>
    <w:rPr>
      <w:sz w:val="18"/>
      <w:szCs w:val="18"/>
    </w:rPr>
  </w:style>
  <w:style w:type="character" w:styleId="14">
    <w:name w:val="page number"/>
    <w:qFormat/>
    <w:uiPriority w:val="0"/>
  </w:style>
  <w:style w:type="character" w:customStyle="1" w:styleId="15">
    <w:name w:val="页眉 Char"/>
    <w:basedOn w:val="13"/>
    <w:link w:val="10"/>
    <w:qFormat/>
    <w:uiPriority w:val="99"/>
    <w:rPr>
      <w:sz w:val="18"/>
      <w:szCs w:val="18"/>
    </w:rPr>
  </w:style>
  <w:style w:type="character" w:customStyle="1" w:styleId="16">
    <w:name w:val="页脚 Char"/>
    <w:basedOn w:val="13"/>
    <w:link w:val="9"/>
    <w:qFormat/>
    <w:uiPriority w:val="99"/>
    <w:rPr>
      <w:sz w:val="18"/>
      <w:szCs w:val="18"/>
    </w:rPr>
  </w:style>
  <w:style w:type="paragraph" w:customStyle="1" w:styleId="17">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8">
    <w:name w:val="List Paragraph"/>
    <w:basedOn w:val="1"/>
    <w:qFormat/>
    <w:uiPriority w:val="34"/>
    <w:pPr>
      <w:ind w:firstLine="420" w:firstLineChars="200"/>
    </w:pPr>
  </w:style>
  <w:style w:type="character" w:customStyle="1" w:styleId="19">
    <w:name w:val="批注框文本 Char"/>
    <w:basedOn w:val="13"/>
    <w:link w:val="8"/>
    <w:semiHidden/>
    <w:qFormat/>
    <w:uiPriority w:val="99"/>
    <w:rPr>
      <w:sz w:val="18"/>
      <w:szCs w:val="18"/>
    </w:rPr>
  </w:style>
  <w:style w:type="character" w:customStyle="1" w:styleId="20">
    <w:name w:val="font01"/>
    <w:basedOn w:val="13"/>
    <w:qFormat/>
    <w:uiPriority w:val="0"/>
    <w:rPr>
      <w:rFonts w:hint="eastAsia" w:ascii="宋体" w:hAnsi="宋体" w:eastAsia="宋体" w:cs="宋体"/>
      <w:color w:val="000000"/>
      <w:sz w:val="22"/>
      <w:szCs w:val="22"/>
      <w:u w:val="none"/>
    </w:rPr>
  </w:style>
  <w:style w:type="character" w:customStyle="1" w:styleId="21">
    <w:name w:val="font21"/>
    <w:basedOn w:val="13"/>
    <w:qFormat/>
    <w:uiPriority w:val="0"/>
    <w:rPr>
      <w:rFonts w:hint="eastAsia" w:ascii="宋体" w:hAnsi="宋体" w:eastAsia="宋体" w:cs="宋体"/>
      <w:color w:val="000000"/>
      <w:sz w:val="24"/>
      <w:szCs w:val="24"/>
      <w:u w:val="none"/>
    </w:rPr>
  </w:style>
  <w:style w:type="character" w:customStyle="1" w:styleId="22">
    <w:name w:val="font11"/>
    <w:basedOn w:val="1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15219</Words>
  <Characters>16454</Characters>
  <Lines>69</Lines>
  <Paragraphs>19</Paragraphs>
  <TotalTime>12953</TotalTime>
  <ScaleCrop>false</ScaleCrop>
  <LinksUpToDate>false</LinksUpToDate>
  <CharactersWithSpaces>16488</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荼靡过后-再无花开-</cp:lastModifiedBy>
  <cp:lastPrinted>2026-09-29T03:02:00Z</cp:lastPrinted>
  <dcterms:modified xsi:type="dcterms:W3CDTF">2026-10-09T03:35:40Z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E2588182C86541DE879B04B6D69664ED</vt:lpwstr>
  </property>
</Properties>
</file>