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5737D">
      <w:pPr>
        <w:pStyle w:val="16"/>
        <w:jc w:val="center"/>
        <w:rPr>
          <w:sz w:val="56"/>
          <w:szCs w:val="56"/>
        </w:rPr>
      </w:pPr>
    </w:p>
    <w:p w14:paraId="5CA02E96">
      <w:pPr>
        <w:pStyle w:val="16"/>
        <w:jc w:val="center"/>
        <w:rPr>
          <w:sz w:val="56"/>
          <w:szCs w:val="56"/>
        </w:rPr>
      </w:pPr>
    </w:p>
    <w:p w14:paraId="5F058F57">
      <w:pPr>
        <w:pStyle w:val="16"/>
        <w:jc w:val="center"/>
        <w:rPr>
          <w:sz w:val="84"/>
          <w:szCs w:val="84"/>
        </w:rPr>
      </w:pPr>
    </w:p>
    <w:p w14:paraId="476746A4">
      <w:pPr>
        <w:pStyle w:val="16"/>
        <w:jc w:val="center"/>
        <w:rPr>
          <w:sz w:val="84"/>
          <w:szCs w:val="84"/>
        </w:rPr>
      </w:pPr>
    </w:p>
    <w:p w14:paraId="7FFC0EFC">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lang w:eastAsia="zh-CN"/>
        </w:rPr>
        <w:t>年</w:t>
      </w:r>
      <w:r>
        <w:rPr>
          <w:rFonts w:hint="eastAsia" w:ascii="方正小标宋_GBK" w:hAnsi="方正小标宋_GBK" w:eastAsia="方正小标宋_GBK" w:cs="方正小标宋_GBK"/>
          <w:sz w:val="84"/>
          <w:szCs w:val="84"/>
        </w:rPr>
        <w:t>度</w:t>
      </w:r>
    </w:p>
    <w:p w14:paraId="3817966F">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永州市地震局</w:t>
      </w:r>
      <w:r>
        <w:rPr>
          <w:rFonts w:hint="eastAsia" w:ascii="方正小标宋_GBK" w:hAnsi="方正小标宋_GBK" w:eastAsia="方正小标宋_GBK" w:cs="方正小标宋_GBK"/>
          <w:sz w:val="84"/>
          <w:szCs w:val="84"/>
        </w:rPr>
        <w:t>部门决算</w:t>
      </w:r>
    </w:p>
    <w:p w14:paraId="1F101E1B">
      <w:pPr>
        <w:pStyle w:val="16"/>
        <w:jc w:val="center"/>
        <w:rPr>
          <w:rFonts w:hint="eastAsia" w:ascii="方正小标宋_GBK" w:hAnsi="方正小标宋_GBK" w:eastAsia="方正小标宋_GBK" w:cs="方正小标宋_GBK"/>
          <w:sz w:val="56"/>
          <w:szCs w:val="56"/>
        </w:rPr>
      </w:pPr>
    </w:p>
    <w:p w14:paraId="37571F4F">
      <w:pPr>
        <w:pStyle w:val="16"/>
        <w:jc w:val="center"/>
        <w:rPr>
          <w:sz w:val="56"/>
          <w:szCs w:val="56"/>
        </w:rPr>
      </w:pPr>
    </w:p>
    <w:p w14:paraId="590607B9">
      <w:pPr>
        <w:pStyle w:val="16"/>
        <w:spacing w:line="500" w:lineRule="exact"/>
        <w:jc w:val="both"/>
        <w:rPr>
          <w:b/>
          <w:sz w:val="36"/>
          <w:szCs w:val="28"/>
        </w:rPr>
      </w:pPr>
    </w:p>
    <w:p w14:paraId="5882D653">
      <w:pPr>
        <w:pStyle w:val="16"/>
        <w:spacing w:line="500" w:lineRule="exact"/>
        <w:jc w:val="both"/>
        <w:rPr>
          <w:b/>
          <w:sz w:val="36"/>
          <w:szCs w:val="28"/>
        </w:rPr>
      </w:pPr>
    </w:p>
    <w:p w14:paraId="03C4EFD6">
      <w:pPr>
        <w:pStyle w:val="16"/>
        <w:spacing w:line="500" w:lineRule="exact"/>
        <w:jc w:val="center"/>
        <w:rPr>
          <w:rFonts w:hint="eastAsia"/>
          <w:b/>
          <w:sz w:val="36"/>
          <w:szCs w:val="28"/>
        </w:rPr>
      </w:pPr>
    </w:p>
    <w:p w14:paraId="11CE2A28">
      <w:pPr>
        <w:pStyle w:val="16"/>
        <w:spacing w:line="500" w:lineRule="exact"/>
        <w:jc w:val="center"/>
        <w:rPr>
          <w:rFonts w:hint="eastAsia"/>
          <w:b/>
          <w:sz w:val="36"/>
          <w:szCs w:val="28"/>
        </w:rPr>
      </w:pPr>
    </w:p>
    <w:p w14:paraId="0E6FAABE">
      <w:pPr>
        <w:pStyle w:val="16"/>
        <w:spacing w:line="500" w:lineRule="exact"/>
        <w:jc w:val="center"/>
        <w:rPr>
          <w:rFonts w:hint="eastAsia"/>
          <w:b/>
          <w:sz w:val="36"/>
          <w:szCs w:val="28"/>
        </w:rPr>
      </w:pPr>
    </w:p>
    <w:p w14:paraId="20BE2682">
      <w:pPr>
        <w:pStyle w:val="16"/>
        <w:spacing w:line="500" w:lineRule="exact"/>
        <w:jc w:val="center"/>
        <w:rPr>
          <w:rFonts w:hint="eastAsia"/>
          <w:b/>
          <w:sz w:val="36"/>
          <w:szCs w:val="28"/>
        </w:rPr>
      </w:pPr>
    </w:p>
    <w:p w14:paraId="610386BD">
      <w:pPr>
        <w:pStyle w:val="16"/>
        <w:spacing w:line="500" w:lineRule="exact"/>
        <w:jc w:val="center"/>
        <w:rPr>
          <w:rFonts w:hint="eastAsia"/>
          <w:b/>
          <w:sz w:val="36"/>
          <w:szCs w:val="28"/>
        </w:rPr>
      </w:pPr>
    </w:p>
    <w:p w14:paraId="0DDF7683">
      <w:pPr>
        <w:pStyle w:val="16"/>
        <w:spacing w:line="500" w:lineRule="exact"/>
        <w:jc w:val="center"/>
        <w:rPr>
          <w:rFonts w:hint="eastAsia"/>
          <w:b/>
          <w:sz w:val="36"/>
          <w:szCs w:val="28"/>
        </w:rPr>
      </w:pPr>
    </w:p>
    <w:p w14:paraId="6D5AD737">
      <w:pPr>
        <w:pStyle w:val="16"/>
        <w:spacing w:line="500" w:lineRule="exact"/>
        <w:jc w:val="center"/>
        <w:rPr>
          <w:rFonts w:hint="eastAsia"/>
          <w:b/>
          <w:sz w:val="36"/>
          <w:szCs w:val="28"/>
        </w:rPr>
      </w:pPr>
    </w:p>
    <w:p w14:paraId="46DCA404">
      <w:pPr>
        <w:pStyle w:val="16"/>
        <w:spacing w:line="500" w:lineRule="exact"/>
        <w:jc w:val="center"/>
        <w:rPr>
          <w:rFonts w:hint="eastAsia"/>
          <w:b/>
          <w:sz w:val="36"/>
          <w:szCs w:val="28"/>
        </w:rPr>
      </w:pPr>
    </w:p>
    <w:p w14:paraId="4F1A63F4">
      <w:pPr>
        <w:pStyle w:val="16"/>
        <w:spacing w:line="500" w:lineRule="exact"/>
        <w:jc w:val="center"/>
        <w:rPr>
          <w:rFonts w:hint="eastAsia"/>
          <w:b/>
          <w:sz w:val="36"/>
          <w:szCs w:val="28"/>
        </w:rPr>
      </w:pPr>
    </w:p>
    <w:p w14:paraId="53C1181D">
      <w:pPr>
        <w:pStyle w:val="16"/>
        <w:spacing w:line="500" w:lineRule="exact"/>
        <w:jc w:val="center"/>
        <w:rPr>
          <w:b/>
          <w:sz w:val="36"/>
          <w:szCs w:val="28"/>
        </w:rPr>
      </w:pPr>
      <w:r>
        <w:rPr>
          <w:rFonts w:hint="eastAsia"/>
          <w:b/>
          <w:sz w:val="36"/>
          <w:szCs w:val="28"/>
        </w:rPr>
        <w:t>目录</w:t>
      </w:r>
    </w:p>
    <w:p w14:paraId="16F465CF">
      <w:pPr>
        <w:pStyle w:val="16"/>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lang w:eastAsia="zh-CN"/>
        </w:rPr>
        <w:t>永州市地震局</w:t>
      </w:r>
      <w:r>
        <w:rPr>
          <w:rFonts w:hint="eastAsia" w:ascii="黑体" w:hAnsi="黑体" w:eastAsia="黑体" w:cs="黑体"/>
          <w:b w:val="0"/>
          <w:bCs/>
          <w:sz w:val="28"/>
          <w:szCs w:val="28"/>
        </w:rPr>
        <w:t>概况</w:t>
      </w:r>
    </w:p>
    <w:p w14:paraId="3D6A1614">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6D987149">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r>
        <w:rPr>
          <w:rFonts w:ascii="Times New Roman" w:hAnsi="Times New Roman" w:eastAsia="仿宋_GB2312" w:cs="Times New Roman"/>
          <w:sz w:val="32"/>
          <w:szCs w:val="32"/>
        </w:rPr>
        <w:t>及决算单位构成</w:t>
      </w:r>
    </w:p>
    <w:p w14:paraId="44BAF118">
      <w:pPr>
        <w:pStyle w:val="16"/>
        <w:keepNext w:val="0"/>
        <w:keepLines w:val="0"/>
        <w:pageBreakBefore w:val="0"/>
        <w:widowControl w:val="0"/>
        <w:kinsoku/>
        <w:wordWrap/>
        <w:overflowPunct/>
        <w:topLinePunct w:val="0"/>
        <w:autoSpaceDE w:val="0"/>
        <w:autoSpaceDN w:val="0"/>
        <w:bidi w:val="0"/>
        <w:adjustRightInd w:val="0"/>
        <w:snapToGrid/>
        <w:spacing w:before="156" w:beforeLines="50" w:after="156" w:afterLines="50" w:line="60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r>
        <w:rPr>
          <w:rFonts w:hint="eastAsia" w:ascii="仿宋_GB2312" w:hAnsi="仿宋_GB2312" w:eastAsia="仿宋_GB2312" w:cs="仿宋_GB2312"/>
          <w:sz w:val="28"/>
          <w:szCs w:val="28"/>
          <w:lang w:eastAsia="zh-CN"/>
        </w:rPr>
        <w:t>（说明：本套报表金额单位转换时可能存在尾数误差。）</w:t>
      </w:r>
    </w:p>
    <w:p w14:paraId="2B0BF96E">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EB0E20D">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C9DBC40">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ED91A64">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01C604CA">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933BE42">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186E8AC9">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43A84037">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D9B8771">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1FF2959">
      <w:pPr>
        <w:pStyle w:val="16"/>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36552D3">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8EF76AD">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5343B80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44FF0A1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0B9CFB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419145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18F93DD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七、一般公共预算财政拨款</w:t>
      </w:r>
      <w:r>
        <w:rPr>
          <w:rFonts w:hint="eastAsia" w:ascii="仿宋_GB2312" w:hAnsi="仿宋_GB2312" w:eastAsia="仿宋_GB2312" w:cs="仿宋_GB2312"/>
          <w:color w:val="000000"/>
          <w:kern w:val="0"/>
          <w:sz w:val="28"/>
          <w:szCs w:val="28"/>
          <w:lang w:eastAsia="zh-CN"/>
        </w:rPr>
        <w:t>“三公”经费</w:t>
      </w:r>
      <w:r>
        <w:rPr>
          <w:rFonts w:hint="eastAsia" w:ascii="仿宋_GB2312" w:hAnsi="仿宋_GB2312" w:eastAsia="仿宋_GB2312" w:cs="仿宋_GB2312"/>
          <w:color w:val="000000"/>
          <w:kern w:val="0"/>
          <w:sz w:val="28"/>
          <w:szCs w:val="28"/>
        </w:rPr>
        <w:t>支出决算情况说明</w:t>
      </w:r>
    </w:p>
    <w:p w14:paraId="56B151D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01228A1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266C54E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6EF5D08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3A12E787">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33DFC252">
      <w:pPr>
        <w:pStyle w:val="16"/>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十三、关于202</w:t>
      </w:r>
      <w:r>
        <w:rPr>
          <w:rFonts w:hint="default" w:ascii="仿宋_GB2312" w:hAnsi="仿宋_GB2312" w:eastAsia="仿宋_GB2312" w:cs="仿宋_GB2312"/>
          <w:sz w:val="28"/>
          <w:szCs w:val="28"/>
          <w:lang w:val="en-US"/>
        </w:rPr>
        <w:t>5</w:t>
      </w:r>
      <w:r>
        <w:rPr>
          <w:rFonts w:hint="eastAsia" w:ascii="仿宋_GB2312" w:hAnsi="仿宋_GB2312" w:eastAsia="仿宋_GB2312" w:cs="仿宋_GB2312"/>
          <w:sz w:val="28"/>
          <w:szCs w:val="28"/>
        </w:rPr>
        <w:t>年度预算绩效管理情况的说明</w:t>
      </w:r>
    </w:p>
    <w:p w14:paraId="16DE1B32">
      <w:pPr>
        <w:pStyle w:val="16"/>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7583A7F4">
      <w:pPr>
        <w:pStyle w:val="16"/>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附件</w:t>
      </w:r>
    </w:p>
    <w:p w14:paraId="117199A1">
      <w:pPr>
        <w:pStyle w:val="16"/>
        <w:spacing w:line="500" w:lineRule="exact"/>
        <w:rPr>
          <w:rFonts w:hint="eastAsia" w:ascii="黑体" w:hAnsi="黑体" w:eastAsia="黑体" w:cs="黑体"/>
          <w:b w:val="0"/>
          <w:bCs/>
          <w:sz w:val="28"/>
          <w:szCs w:val="28"/>
        </w:rPr>
      </w:pPr>
    </w:p>
    <w:p w14:paraId="7F0D0351">
      <w:pPr>
        <w:pStyle w:val="16"/>
        <w:jc w:val="both"/>
        <w:rPr>
          <w:rFonts w:hint="eastAsia" w:ascii="方正小标宋_GBK" w:hAnsi="方正小标宋_GBK" w:eastAsia="方正小标宋_GBK" w:cs="方正小标宋_GBK"/>
          <w:sz w:val="84"/>
          <w:szCs w:val="84"/>
        </w:rPr>
      </w:pPr>
    </w:p>
    <w:p w14:paraId="1824CFFB">
      <w:pPr>
        <w:pStyle w:val="16"/>
        <w:jc w:val="center"/>
        <w:rPr>
          <w:rFonts w:hint="eastAsia" w:ascii="方正小标宋_GBK" w:hAnsi="方正小标宋_GBK" w:eastAsia="方正小标宋_GBK" w:cs="方正小标宋_GBK"/>
          <w:sz w:val="84"/>
          <w:szCs w:val="84"/>
        </w:rPr>
      </w:pPr>
    </w:p>
    <w:p w14:paraId="2422BB06">
      <w:pPr>
        <w:pStyle w:val="16"/>
        <w:jc w:val="center"/>
        <w:rPr>
          <w:rFonts w:hint="eastAsia" w:ascii="方正小标宋_GBK" w:hAnsi="方正小标宋_GBK" w:eastAsia="方正小标宋_GBK" w:cs="方正小标宋_GBK"/>
          <w:sz w:val="84"/>
          <w:szCs w:val="84"/>
        </w:rPr>
      </w:pPr>
    </w:p>
    <w:p w14:paraId="377E9309">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868E415">
      <w:pPr>
        <w:pStyle w:val="16"/>
        <w:jc w:val="center"/>
        <w:rPr>
          <w:rFonts w:hint="eastAsia" w:ascii="方正小标宋_GBK" w:hAnsi="方正小标宋_GBK" w:eastAsia="方正小标宋_GBK" w:cs="方正小标宋_GBK"/>
          <w:sz w:val="84"/>
          <w:szCs w:val="84"/>
        </w:rPr>
      </w:pPr>
    </w:p>
    <w:p w14:paraId="0ED14DF0">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永州市地震局概</w:t>
      </w:r>
      <w:r>
        <w:rPr>
          <w:rFonts w:hint="eastAsia" w:ascii="方正小标宋_GBK" w:hAnsi="方正小标宋_GBK" w:eastAsia="方正小标宋_GBK" w:cs="方正小标宋_GBK"/>
          <w:sz w:val="84"/>
          <w:szCs w:val="84"/>
        </w:rPr>
        <w:t>况</w:t>
      </w:r>
    </w:p>
    <w:p w14:paraId="6D8C3941">
      <w:pPr>
        <w:pStyle w:val="4"/>
        <w:ind w:left="0" w:leftChars="0" w:firstLine="0" w:firstLineChars="0"/>
      </w:pPr>
    </w:p>
    <w:p w14:paraId="5A6E8686">
      <w:pPr>
        <w:pStyle w:val="4"/>
      </w:pPr>
    </w:p>
    <w:p w14:paraId="209E878F">
      <w:pPr>
        <w:pStyle w:val="4"/>
      </w:pPr>
    </w:p>
    <w:p w14:paraId="3CD203DE">
      <w:pPr>
        <w:pStyle w:val="4"/>
      </w:pPr>
    </w:p>
    <w:p w14:paraId="1403D0C8">
      <w:pPr>
        <w:pStyle w:val="4"/>
      </w:pPr>
    </w:p>
    <w:p w14:paraId="784C86DD">
      <w:pPr>
        <w:pStyle w:val="4"/>
      </w:pPr>
    </w:p>
    <w:p w14:paraId="2BE0BE0E">
      <w:pPr>
        <w:pStyle w:val="4"/>
      </w:pPr>
    </w:p>
    <w:p w14:paraId="0D63B428">
      <w:pPr>
        <w:pStyle w:val="4"/>
      </w:pPr>
    </w:p>
    <w:p w14:paraId="223B3E3F">
      <w:pPr>
        <w:pStyle w:val="4"/>
      </w:pPr>
    </w:p>
    <w:p w14:paraId="4E1131B1">
      <w:pPr>
        <w:pStyle w:val="4"/>
      </w:pPr>
    </w:p>
    <w:p w14:paraId="53A91FD5">
      <w:pPr>
        <w:pStyle w:val="4"/>
      </w:pPr>
    </w:p>
    <w:p w14:paraId="0F8B0A0A">
      <w:pPr>
        <w:pStyle w:val="4"/>
      </w:pPr>
    </w:p>
    <w:p w14:paraId="2F6E8D12">
      <w:pPr>
        <w:pStyle w:val="4"/>
      </w:pPr>
    </w:p>
    <w:p w14:paraId="0207B1C6">
      <w:pPr>
        <w:pStyle w:val="17"/>
        <w:numPr>
          <w:ilvl w:val="0"/>
          <w:numId w:val="0"/>
        </w:numPr>
        <w:ind w:leftChars="0"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14:paraId="01A0BCF2">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（一）组织编制全市防震减灾规划和年度计划；</w:t>
      </w:r>
    </w:p>
    <w:p w14:paraId="2004CC78">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（二）起草全市防震减灾规范性文件并组织实施，监督管理全市的防震减灾工作；</w:t>
      </w:r>
    </w:p>
    <w:p w14:paraId="70DFC08F">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（三）建立健全地震监测预报、地震灾害预防、地震应急三大工作体系；</w:t>
      </w:r>
    </w:p>
    <w:p w14:paraId="0A62C9FE">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（四）维护和保障地震台站、台网安全运行；</w:t>
      </w:r>
    </w:p>
    <w:p w14:paraId="377572A2">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（五）开展地震宣传；</w:t>
      </w:r>
    </w:p>
    <w:p w14:paraId="262B9696">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（六）负责建设工程抗震设防要求和工程场地地震安全性评价管理工作；</w:t>
      </w:r>
    </w:p>
    <w:p w14:paraId="18F8A705">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（七）组织编制地震应急预案；</w:t>
      </w:r>
    </w:p>
    <w:p w14:paraId="2F09399A">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（八）负责地震震情、灾情上报；</w:t>
      </w:r>
    </w:p>
    <w:p w14:paraId="6420D9EC">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（九）负责防震减灾法制工作，承担地震行政复议、行政应诉工作；</w:t>
      </w:r>
    </w:p>
    <w:p w14:paraId="626257E2">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（十）推进地震科技现代化，组织开展地震科技研究、交流和推广。</w:t>
      </w:r>
    </w:p>
    <w:p w14:paraId="2288697E">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lang w:eastAsia="zh-CN"/>
        </w:rPr>
        <w:t>二、</w:t>
      </w:r>
      <w:r>
        <w:rPr>
          <w:rFonts w:hint="eastAsia" w:ascii="黑体" w:hAnsi="黑体" w:eastAsia="黑体" w:cs="黑体"/>
          <w:b w:val="0"/>
          <w:bCs/>
          <w:kern w:val="0"/>
          <w:sz w:val="32"/>
          <w:szCs w:val="32"/>
        </w:rPr>
        <w:t>机构设置及决算单位构成</w:t>
      </w:r>
    </w:p>
    <w:p w14:paraId="4E8FC024">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（一）内设机构设置。永州市地震局单位内设机构包括：办公室（应急科）和地震监测防御科。</w:t>
      </w:r>
      <w:r>
        <w:rPr>
          <w:rFonts w:hint="eastAsia" w:ascii="仿宋_GB2312" w:hAnsi="仿宋_GB2312" w:eastAsia="仿宋_GB2312" w:cs="仿宋_GB2312"/>
          <w:bCs/>
          <w:kern w:val="0"/>
          <w:sz w:val="32"/>
          <w:szCs w:val="32"/>
          <w:lang w:eastAsia="zh-CN"/>
        </w:rPr>
        <w:t>实有在职人数</w:t>
      </w:r>
      <w:r>
        <w:rPr>
          <w:rFonts w:hint="eastAsia" w:ascii="仿宋_GB2312" w:hAnsi="仿宋_GB2312" w:eastAsia="仿宋_GB2312" w:cs="仿宋_GB2312"/>
          <w:bCs/>
          <w:kern w:val="0"/>
          <w:sz w:val="32"/>
          <w:szCs w:val="32"/>
          <w:lang w:val="en-US" w:eastAsia="zh-CN"/>
        </w:rPr>
        <w:t>8人，</w:t>
      </w:r>
      <w:r>
        <w:rPr>
          <w:rFonts w:ascii="仿宋_GB2312" w:hAnsi="仿宋_GB2312" w:eastAsia="仿宋_GB2312" w:cs="仿宋_GB2312"/>
          <w:color w:val="000000"/>
          <w:kern w:val="0"/>
          <w:sz w:val="31"/>
          <w:szCs w:val="31"/>
          <w:lang w:val="en-US" w:eastAsia="zh-CN" w:bidi="ar"/>
        </w:rPr>
        <w:t>由养老保险基金发放养老金的退休人员</w:t>
      </w:r>
      <w:r>
        <w:rPr>
          <w:rFonts w:hint="eastAsia" w:ascii="仿宋_GB2312" w:hAnsi="仿宋_GB2312" w:eastAsia="仿宋_GB2312" w:cs="仿宋_GB2312"/>
          <w:color w:val="000000"/>
          <w:kern w:val="0"/>
          <w:sz w:val="31"/>
          <w:szCs w:val="31"/>
          <w:lang w:val="en-US" w:eastAsia="zh-CN" w:bidi="ar"/>
        </w:rPr>
        <w:t>0</w:t>
      </w:r>
      <w:r>
        <w:rPr>
          <w:rFonts w:ascii="仿宋_GB2312" w:hAnsi="仿宋_GB2312" w:eastAsia="仿宋_GB2312" w:cs="仿宋_GB2312"/>
          <w:color w:val="000000"/>
          <w:kern w:val="0"/>
          <w:sz w:val="31"/>
          <w:szCs w:val="31"/>
          <w:lang w:val="en-US" w:eastAsia="zh-CN" w:bidi="ar"/>
        </w:rPr>
        <w:t>人。</w:t>
      </w:r>
    </w:p>
    <w:p w14:paraId="3F57986B">
      <w:pPr>
        <w:widowControl/>
        <w:spacing w:line="600" w:lineRule="exact"/>
        <w:ind w:firstLine="627" w:firstLineChars="196"/>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（二）决算单位构成。永州市地震局2025年部门决算汇总公开单位构成包括：永州市地震局本级。</w:t>
      </w:r>
    </w:p>
    <w:p w14:paraId="4C937060">
      <w:pPr>
        <w:jc w:val="both"/>
        <w:rPr>
          <w:rFonts w:ascii="黑体" w:hAnsi="黑体" w:eastAsia="黑体"/>
          <w:sz w:val="28"/>
          <w:szCs w:val="28"/>
        </w:rPr>
      </w:pPr>
    </w:p>
    <w:p w14:paraId="4BA21632">
      <w:pPr>
        <w:jc w:val="center"/>
        <w:rPr>
          <w:rFonts w:ascii="黑体" w:hAnsi="黑体" w:eastAsia="黑体"/>
          <w:sz w:val="28"/>
          <w:szCs w:val="28"/>
        </w:rPr>
      </w:pPr>
    </w:p>
    <w:p w14:paraId="72304405">
      <w:pPr>
        <w:jc w:val="center"/>
        <w:rPr>
          <w:rFonts w:ascii="黑体" w:hAnsi="黑体" w:eastAsia="黑体"/>
          <w:sz w:val="28"/>
          <w:szCs w:val="28"/>
        </w:rPr>
      </w:pPr>
    </w:p>
    <w:p w14:paraId="2073137E">
      <w:pPr>
        <w:jc w:val="center"/>
        <w:rPr>
          <w:rFonts w:ascii="黑体" w:hAnsi="黑体" w:eastAsia="黑体"/>
          <w:sz w:val="28"/>
          <w:szCs w:val="28"/>
        </w:rPr>
      </w:pPr>
    </w:p>
    <w:p w14:paraId="5EEF24DA">
      <w:pPr>
        <w:jc w:val="center"/>
        <w:rPr>
          <w:rFonts w:ascii="黑体" w:hAnsi="黑体" w:eastAsia="黑体"/>
          <w:sz w:val="28"/>
          <w:szCs w:val="28"/>
        </w:rPr>
      </w:pPr>
    </w:p>
    <w:p w14:paraId="1DC842A6">
      <w:pPr>
        <w:pStyle w:val="16"/>
        <w:jc w:val="center"/>
        <w:rPr>
          <w:rFonts w:hint="eastAsia" w:ascii="方正小标宋_GBK" w:hAnsi="方正小标宋_GBK" w:eastAsia="方正小标宋_GBK" w:cs="方正小标宋_GBK"/>
          <w:sz w:val="84"/>
          <w:szCs w:val="84"/>
        </w:rPr>
      </w:pPr>
    </w:p>
    <w:p w14:paraId="0608C014">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202579DA">
      <w:pPr>
        <w:pStyle w:val="16"/>
        <w:jc w:val="center"/>
        <w:rPr>
          <w:rFonts w:hint="eastAsia" w:ascii="方正小标宋_GBK" w:hAnsi="方正小标宋_GBK" w:eastAsia="方正小标宋_GBK" w:cs="方正小标宋_GBK"/>
          <w:sz w:val="84"/>
          <w:szCs w:val="84"/>
        </w:rPr>
      </w:pPr>
    </w:p>
    <w:p w14:paraId="6AACDC10">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201815A7">
      <w:pPr>
        <w:widowControl/>
        <w:spacing w:line="600" w:lineRule="exact"/>
        <w:jc w:val="center"/>
        <w:rPr>
          <w:rFonts w:hint="default" w:ascii="Times New Roman" w:hAnsi="Times New Roman" w:eastAsia="黑体" w:cs="Times New Roman"/>
          <w:bCs/>
          <w:kern w:val="0"/>
          <w:sz w:val="44"/>
          <w:szCs w:val="44"/>
          <w:lang w:val="en-US" w:eastAsia="zh-CN"/>
        </w:rPr>
      </w:pPr>
      <w:r>
        <w:rPr>
          <w:rFonts w:hint="eastAsia" w:ascii="Times New Roman" w:hAnsi="Times New Roman" w:eastAsia="黑体" w:cs="Times New Roman"/>
          <w:bCs/>
          <w:kern w:val="0"/>
          <w:sz w:val="44"/>
          <w:szCs w:val="44"/>
          <w:lang w:val="en-US" w:eastAsia="zh-CN"/>
        </w:rPr>
        <w:t>详见《附件1：2025年度部门决算公开表》</w:t>
      </w:r>
    </w:p>
    <w:p w14:paraId="0D81C0C6">
      <w:pPr>
        <w:jc w:val="center"/>
        <w:rPr>
          <w:sz w:val="72"/>
          <w:szCs w:val="72"/>
        </w:rPr>
      </w:pPr>
    </w:p>
    <w:p w14:paraId="72BC3E41">
      <w:pPr>
        <w:jc w:val="center"/>
        <w:rPr>
          <w:sz w:val="72"/>
          <w:szCs w:val="72"/>
        </w:rPr>
      </w:pPr>
    </w:p>
    <w:p w14:paraId="4951BE3F">
      <w:pPr>
        <w:jc w:val="left"/>
        <w:rPr>
          <w:rFonts w:asciiTheme="minorEastAsia" w:hAnsiTheme="minorEastAsia"/>
          <w:sz w:val="32"/>
          <w:szCs w:val="32"/>
        </w:rPr>
        <w:sectPr>
          <w:footerReference r:id="rId3" w:type="default"/>
          <w:pgSz w:w="11906" w:h="16838"/>
          <w:pgMar w:top="720" w:right="720" w:bottom="720" w:left="720" w:header="851" w:footer="992" w:gutter="0"/>
          <w:cols w:space="425" w:num="1"/>
          <w:docGrid w:type="lines" w:linePitch="312" w:charSpace="0"/>
        </w:sectPr>
      </w:pPr>
    </w:p>
    <w:p w14:paraId="6BFA3BFF">
      <w:pPr>
        <w:widowControl/>
        <w:rPr>
          <w:rFonts w:ascii="Times New Roman" w:hAnsi="Times New Roman" w:eastAsia="方正小标宋_GBK" w:cs="Times New Roman"/>
          <w:color w:val="000000"/>
          <w:kern w:val="0"/>
          <w:sz w:val="36"/>
          <w:szCs w:val="36"/>
        </w:rPr>
      </w:pPr>
    </w:p>
    <w:p w14:paraId="64953F4E">
      <w:pPr>
        <w:pStyle w:val="16"/>
        <w:rPr>
          <w:sz w:val="72"/>
          <w:szCs w:val="72"/>
        </w:rPr>
      </w:pPr>
    </w:p>
    <w:p w14:paraId="3F0A5D86">
      <w:pPr>
        <w:pStyle w:val="16"/>
        <w:rPr>
          <w:sz w:val="72"/>
          <w:szCs w:val="72"/>
        </w:rPr>
      </w:pPr>
    </w:p>
    <w:p w14:paraId="6F3EF4D2">
      <w:pPr>
        <w:pStyle w:val="16"/>
        <w:rPr>
          <w:sz w:val="72"/>
          <w:szCs w:val="72"/>
        </w:rPr>
      </w:pPr>
    </w:p>
    <w:p w14:paraId="0B6214D3">
      <w:pPr>
        <w:pStyle w:val="16"/>
        <w:rPr>
          <w:sz w:val="72"/>
          <w:szCs w:val="72"/>
        </w:rPr>
      </w:pPr>
    </w:p>
    <w:p w14:paraId="3DC9E188">
      <w:pPr>
        <w:pStyle w:val="16"/>
        <w:jc w:val="center"/>
        <w:rPr>
          <w:sz w:val="72"/>
          <w:szCs w:val="72"/>
        </w:rPr>
      </w:pPr>
    </w:p>
    <w:p w14:paraId="5000131B">
      <w:pPr>
        <w:pStyle w:val="16"/>
        <w:jc w:val="center"/>
        <w:rPr>
          <w:rFonts w:hint="eastAsia" w:ascii="方正小标宋_GBK" w:hAnsi="方正小标宋_GBK" w:eastAsia="方正小标宋_GBK" w:cs="方正小标宋_GBK"/>
          <w:sz w:val="72"/>
          <w:szCs w:val="72"/>
        </w:rPr>
      </w:pPr>
    </w:p>
    <w:p w14:paraId="77C749AF">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6B3DD7DD">
      <w:pPr>
        <w:pStyle w:val="16"/>
        <w:jc w:val="center"/>
        <w:rPr>
          <w:rFonts w:hint="eastAsia" w:ascii="方正小标宋_GBK" w:hAnsi="方正小标宋_GBK" w:eastAsia="方正小标宋_GBK" w:cs="方正小标宋_GBK"/>
          <w:sz w:val="70"/>
          <w:szCs w:val="70"/>
        </w:rPr>
      </w:pPr>
    </w:p>
    <w:p w14:paraId="0F69351B">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lang w:eastAsia="zh-CN"/>
        </w:rPr>
        <w:t>年</w:t>
      </w:r>
      <w:r>
        <w:rPr>
          <w:rFonts w:hint="eastAsia" w:ascii="方正小标宋_GBK" w:hAnsi="方正小标宋_GBK" w:eastAsia="方正小标宋_GBK" w:cs="方正小标宋_GBK"/>
          <w:sz w:val="70"/>
          <w:szCs w:val="70"/>
        </w:rPr>
        <w:t>度部门决算情况说明</w:t>
      </w:r>
    </w:p>
    <w:p w14:paraId="42921F07">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1A5E05D4">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4C47672C">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182.70</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增加36.85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增长25.27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政策性增人增资</w:t>
      </w:r>
      <w:r>
        <w:rPr>
          <w:rFonts w:hint="eastAsia" w:ascii="Times New Roman" w:hAnsi="Times New Roman" w:eastAsia="仿宋_GB2312"/>
          <w:sz w:val="32"/>
          <w:szCs w:val="32"/>
          <w:lang w:eastAsia="zh-CN"/>
        </w:rPr>
        <w:t>。</w:t>
      </w:r>
    </w:p>
    <w:p w14:paraId="69CBCB5B">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支</w:t>
      </w:r>
      <w:r>
        <w:rPr>
          <w:rFonts w:hint="eastAsia" w:ascii="Times New Roman" w:hAnsi="Times New Roman" w:eastAsia="仿宋_GB2312"/>
          <w:sz w:val="32"/>
          <w:szCs w:val="32"/>
          <w:lang w:eastAsia="zh-CN"/>
        </w:rPr>
        <w:t>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182.70</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增加36.85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增长25.27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政策性增人增资</w:t>
      </w:r>
      <w:r>
        <w:rPr>
          <w:rFonts w:hint="eastAsia" w:ascii="Times New Roman" w:hAnsi="Times New Roman" w:eastAsia="仿宋_GB2312"/>
          <w:sz w:val="32"/>
          <w:szCs w:val="32"/>
          <w:lang w:eastAsia="zh-CN"/>
        </w:rPr>
        <w:t>。</w:t>
      </w:r>
    </w:p>
    <w:p w14:paraId="4FB685F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ADE140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收入合计</w:t>
      </w:r>
      <w:r>
        <w:rPr>
          <w:rFonts w:hint="eastAsia" w:ascii="Times New Roman" w:hAnsi="Times New Roman" w:eastAsia="仿宋_GB2312"/>
          <w:sz w:val="32"/>
          <w:szCs w:val="32"/>
          <w:lang w:val="en-US" w:eastAsia="zh-CN"/>
        </w:rPr>
        <w:t>182.70</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182.70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5ADD84F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2916C7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支出合计</w:t>
      </w:r>
      <w:r>
        <w:rPr>
          <w:rFonts w:hint="eastAsia" w:ascii="Times New Roman" w:hAnsi="Times New Roman" w:eastAsia="仿宋_GB2312"/>
          <w:sz w:val="32"/>
          <w:szCs w:val="32"/>
          <w:lang w:val="en-US" w:eastAsia="zh-CN"/>
        </w:rPr>
        <w:t>182.70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166.76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91.28</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15.94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8.72</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57D4E31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B1DE494">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财政拨款收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182.70</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增加36.85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增长25.27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政策性增人增资</w:t>
      </w:r>
      <w:r>
        <w:rPr>
          <w:rFonts w:hint="eastAsia" w:ascii="Times New Roman" w:hAnsi="Times New Roman" w:eastAsia="仿宋_GB2312"/>
          <w:sz w:val="32"/>
          <w:szCs w:val="32"/>
          <w:lang w:eastAsia="zh-CN"/>
        </w:rPr>
        <w:t>。</w:t>
      </w:r>
    </w:p>
    <w:p w14:paraId="4F15CC76">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财政拨款支</w:t>
      </w:r>
      <w:r>
        <w:rPr>
          <w:rFonts w:hint="eastAsia" w:ascii="Times New Roman" w:hAnsi="Times New Roman" w:eastAsia="仿宋_GB2312"/>
          <w:sz w:val="32"/>
          <w:szCs w:val="32"/>
          <w:lang w:eastAsia="zh-CN"/>
        </w:rPr>
        <w:t>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182.70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增加36.85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增长25.27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政策性增人增资</w:t>
      </w:r>
      <w:r>
        <w:rPr>
          <w:rFonts w:hint="eastAsia" w:ascii="Times New Roman" w:hAnsi="Times New Roman" w:eastAsia="仿宋_GB2312"/>
          <w:sz w:val="32"/>
          <w:szCs w:val="32"/>
          <w:lang w:eastAsia="zh-CN"/>
        </w:rPr>
        <w:t>。</w:t>
      </w:r>
    </w:p>
    <w:p w14:paraId="6F82962A">
      <w:pPr>
        <w:pStyle w:val="16"/>
        <w:keepNext w:val="0"/>
        <w:keepLines w:val="0"/>
        <w:pageBreakBefore w:val="0"/>
        <w:widowControl w:val="0"/>
        <w:tabs>
          <w:tab w:val="left" w:pos="8038"/>
        </w:tabs>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rPr>
        <w:t>五、一般公共预算财政拨款支出决算情况说明</w:t>
      </w:r>
      <w:r>
        <w:rPr>
          <w:rFonts w:hint="eastAsia" w:hAnsi="黑体" w:cs="黑体"/>
          <w:b w:val="0"/>
          <w:bCs/>
          <w:sz w:val="32"/>
          <w:szCs w:val="32"/>
          <w:lang w:eastAsia="zh-CN"/>
        </w:rPr>
        <w:tab/>
      </w:r>
    </w:p>
    <w:p w14:paraId="6C5CBD1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（一）一般公共预算财政拨款支出决算总体情况</w:t>
      </w:r>
    </w:p>
    <w:p w14:paraId="5DD72E06">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财政拨款支出</w:t>
      </w:r>
      <w:r>
        <w:rPr>
          <w:rFonts w:hint="eastAsia" w:ascii="Times New Roman" w:hAnsi="Times New Roman" w:eastAsia="仿宋_GB2312"/>
          <w:sz w:val="32"/>
          <w:szCs w:val="32"/>
          <w:lang w:eastAsia="zh-CN"/>
        </w:rPr>
        <w:t>182.70</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增加36.85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增长25.27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政策性增人增资</w:t>
      </w:r>
      <w:r>
        <w:rPr>
          <w:rFonts w:hint="eastAsia" w:ascii="Times New Roman" w:hAnsi="Times New Roman" w:eastAsia="仿宋_GB2312"/>
          <w:sz w:val="32"/>
          <w:szCs w:val="32"/>
          <w:lang w:eastAsia="zh-CN"/>
        </w:rPr>
        <w:t>。</w:t>
      </w:r>
    </w:p>
    <w:p w14:paraId="2770E3D5">
      <w:pPr>
        <w:pStyle w:val="16"/>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（二）一般公共预算财政拨款支出决算结构情况</w:t>
      </w:r>
    </w:p>
    <w:p w14:paraId="54F31C1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财政拨款支出</w:t>
      </w:r>
      <w:r>
        <w:rPr>
          <w:rFonts w:hint="eastAsia" w:ascii="Times New Roman" w:hAnsi="Times New Roman" w:eastAsia="仿宋_GB2312"/>
          <w:sz w:val="32"/>
          <w:szCs w:val="32"/>
          <w:lang w:eastAsia="zh-CN"/>
        </w:rPr>
        <w:t>182.70</w:t>
      </w:r>
      <w:r>
        <w:rPr>
          <w:rFonts w:hint="eastAsia" w:ascii="Times New Roman" w:hAnsi="Times New Roman" w:eastAsia="仿宋_GB2312"/>
          <w:sz w:val="32"/>
          <w:szCs w:val="32"/>
        </w:rPr>
        <w:t>万元，主要用于以下方面：社会保障和就业支出</w:t>
      </w:r>
      <w:r>
        <w:rPr>
          <w:rFonts w:hint="eastAsia" w:ascii="Times New Roman" w:hAnsi="Times New Roman" w:eastAsia="仿宋_GB2312"/>
          <w:sz w:val="32"/>
          <w:szCs w:val="32"/>
          <w:lang w:val="en-US" w:eastAsia="zh-CN"/>
        </w:rPr>
        <w:t>12.72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6.96</w:t>
      </w:r>
      <w:r>
        <w:rPr>
          <w:rFonts w:hint="eastAsia" w:ascii="Times New Roman" w:hAnsi="Times New Roman" w:eastAsia="仿宋_GB2312"/>
          <w:sz w:val="32"/>
          <w:szCs w:val="32"/>
        </w:rPr>
        <w:t>%，卫生健康支出5.35万元，占</w:t>
      </w:r>
      <w:r>
        <w:rPr>
          <w:rFonts w:hint="eastAsia" w:ascii="Times New Roman" w:hAnsi="Times New Roman" w:eastAsia="仿宋_GB2312"/>
          <w:sz w:val="32"/>
          <w:szCs w:val="32"/>
          <w:lang w:val="en-US" w:eastAsia="zh-CN"/>
        </w:rPr>
        <w:t>2.93</w:t>
      </w:r>
      <w:r>
        <w:rPr>
          <w:rFonts w:hint="eastAsia" w:ascii="Times New Roman" w:hAnsi="Times New Roman" w:eastAsia="仿宋_GB2312"/>
          <w:sz w:val="32"/>
          <w:szCs w:val="32"/>
        </w:rPr>
        <w:t>%，住房保障支出</w:t>
      </w:r>
      <w:r>
        <w:rPr>
          <w:rFonts w:hint="eastAsia" w:ascii="Times New Roman" w:hAnsi="Times New Roman" w:eastAsia="仿宋_GB2312"/>
          <w:sz w:val="32"/>
          <w:szCs w:val="32"/>
          <w:lang w:val="en-US" w:eastAsia="zh-CN"/>
        </w:rPr>
        <w:t>10.65</w:t>
      </w:r>
      <w:r>
        <w:rPr>
          <w:rFonts w:hint="eastAsia" w:ascii="Times New Roman" w:hAnsi="Times New Roman" w:eastAsia="仿宋_GB2312"/>
          <w:sz w:val="32"/>
          <w:szCs w:val="32"/>
          <w:lang w:eastAsia="zh-CN"/>
        </w:rPr>
        <w:t>万元，占</w:t>
      </w:r>
      <w:r>
        <w:rPr>
          <w:rFonts w:hint="eastAsia" w:ascii="Times New Roman" w:hAnsi="Times New Roman" w:eastAsia="仿宋_GB2312"/>
          <w:sz w:val="32"/>
          <w:szCs w:val="32"/>
          <w:lang w:val="en-US" w:eastAsia="zh-CN"/>
        </w:rPr>
        <w:t>5.83%，</w:t>
      </w:r>
      <w:r>
        <w:rPr>
          <w:rFonts w:hint="eastAsia" w:ascii="Times New Roman" w:hAnsi="Times New Roman" w:eastAsia="仿宋_GB2312"/>
          <w:sz w:val="32"/>
          <w:szCs w:val="32"/>
        </w:rPr>
        <w:t>灾害防治及应急管理支出153.98万元，占8</w:t>
      </w:r>
      <w:r>
        <w:rPr>
          <w:rFonts w:hint="eastAsia" w:ascii="Times New Roman" w:hAnsi="Times New Roman" w:eastAsia="仿宋_GB2312"/>
          <w:sz w:val="32"/>
          <w:szCs w:val="32"/>
          <w:lang w:val="en-US" w:eastAsia="zh-CN"/>
        </w:rPr>
        <w:t>4.28</w:t>
      </w:r>
      <w:r>
        <w:rPr>
          <w:rFonts w:hint="eastAsia" w:ascii="Times New Roman" w:hAnsi="Times New Roman" w:eastAsia="仿宋_GB2312"/>
          <w:sz w:val="32"/>
          <w:szCs w:val="32"/>
        </w:rPr>
        <w:t>%。</w:t>
      </w:r>
    </w:p>
    <w:p w14:paraId="552B478F">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（三）一般公共预算财政拨款支出决算具体情况</w:t>
      </w:r>
    </w:p>
    <w:p w14:paraId="7A8613DB">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财政拨款支出年初预算数为</w:t>
      </w:r>
      <w:r>
        <w:rPr>
          <w:rFonts w:hint="eastAsia" w:ascii="Times New Roman" w:hAnsi="Times New Roman" w:eastAsia="仿宋_GB2312"/>
          <w:sz w:val="32"/>
          <w:szCs w:val="32"/>
          <w:lang w:val="en-US" w:eastAsia="zh-CN"/>
        </w:rPr>
        <w:t>132.53</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eastAsia="zh-CN"/>
        </w:rPr>
        <w:t>182.70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137.86</w:t>
      </w:r>
      <w:r>
        <w:rPr>
          <w:rFonts w:hint="eastAsia" w:ascii="Times New Roman" w:hAnsi="Times New Roman" w:eastAsia="仿宋_GB2312"/>
          <w:sz w:val="32"/>
          <w:szCs w:val="32"/>
        </w:rPr>
        <w:t>%，其中</w:t>
      </w:r>
      <w:r>
        <w:rPr>
          <w:rFonts w:hint="eastAsia" w:ascii="Times New Roman" w:hAnsi="Times New Roman" w:eastAsia="仿宋_GB2312"/>
          <w:sz w:val="32"/>
          <w:szCs w:val="32"/>
          <w:lang w:eastAsia="zh-CN"/>
        </w:rPr>
        <w:t>：</w:t>
      </w:r>
    </w:p>
    <w:p w14:paraId="4C40145C">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社会保障和就业支出（类）行政事业单位养老支出（款） 机关事业单位基本养老保险缴费支出（项）。</w:t>
      </w:r>
    </w:p>
    <w:p w14:paraId="2B8D901B">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11.65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12.72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完成年初预算的109.15%，决算数大于年初预算数的主要原因是：年中因人员异动，导致</w:t>
      </w:r>
      <w:r>
        <w:rPr>
          <w:rFonts w:hint="eastAsia" w:ascii="Times New Roman" w:hAnsi="Times New Roman" w:eastAsia="仿宋_GB2312"/>
          <w:sz w:val="32"/>
          <w:szCs w:val="32"/>
          <w:lang w:eastAsia="zh-CN"/>
        </w:rPr>
        <w:t>养老保险缴费支出增加</w:t>
      </w:r>
      <w:r>
        <w:rPr>
          <w:rFonts w:hint="eastAsia" w:ascii="Times New Roman" w:hAnsi="Times New Roman" w:eastAsia="仿宋_GB2312"/>
          <w:sz w:val="32"/>
          <w:szCs w:val="32"/>
        </w:rPr>
        <w:t>。</w:t>
      </w:r>
    </w:p>
    <w:p w14:paraId="12D08225">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w:t>
      </w:r>
      <w:r>
        <w:rPr>
          <w:rFonts w:hint="eastAsia" w:ascii="Times New Roman" w:hAnsi="Times New Roman" w:eastAsia="仿宋_GB2312"/>
          <w:sz w:val="32"/>
          <w:szCs w:val="32"/>
        </w:rPr>
        <w:t>卫生健康支出（类）行政事业单位医疗（款）行政单位医疗（项）。</w:t>
      </w:r>
    </w:p>
    <w:p w14:paraId="5DDD8FDE">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4.91</w:t>
      </w:r>
      <w:r>
        <w:rPr>
          <w:rFonts w:hint="eastAsia" w:ascii="Times New Roman" w:hAnsi="Times New Roman" w:eastAsia="仿宋_GB2312"/>
          <w:sz w:val="32"/>
          <w:szCs w:val="32"/>
        </w:rPr>
        <w:t>万元，支出决算为5.35万元，</w:t>
      </w:r>
      <w:r>
        <w:rPr>
          <w:rFonts w:hint="eastAsia" w:ascii="Times New Roman" w:hAnsi="Times New Roman" w:eastAsia="仿宋_GB2312"/>
          <w:sz w:val="32"/>
          <w:szCs w:val="32"/>
          <w:lang w:val="en-US" w:eastAsia="zh-CN"/>
        </w:rPr>
        <w:t>完成年初预算的108.95%，决算数大于年初预算数的主要原因是：年中因人员异动，导致</w:t>
      </w:r>
      <w:r>
        <w:rPr>
          <w:rFonts w:hint="eastAsia" w:ascii="Times New Roman" w:hAnsi="Times New Roman" w:eastAsia="仿宋_GB2312"/>
          <w:sz w:val="32"/>
          <w:szCs w:val="32"/>
        </w:rPr>
        <w:t>医疗</w:t>
      </w:r>
      <w:r>
        <w:rPr>
          <w:rFonts w:hint="eastAsia" w:ascii="Times New Roman" w:hAnsi="Times New Roman" w:eastAsia="仿宋_GB2312"/>
          <w:sz w:val="32"/>
          <w:szCs w:val="32"/>
          <w:lang w:eastAsia="zh-CN"/>
        </w:rPr>
        <w:t>保险缴费支出增加</w:t>
      </w:r>
      <w:r>
        <w:rPr>
          <w:rFonts w:hint="eastAsia" w:ascii="Times New Roman" w:hAnsi="Times New Roman" w:eastAsia="仿宋_GB2312"/>
          <w:sz w:val="32"/>
          <w:szCs w:val="32"/>
        </w:rPr>
        <w:t>。</w:t>
      </w:r>
    </w:p>
    <w:p w14:paraId="36487F46">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住房保障支出（类）住房改革支出（款）住房公积金（项）</w:t>
      </w:r>
      <w:r>
        <w:rPr>
          <w:rFonts w:hint="eastAsia" w:ascii="Times New Roman" w:hAnsi="Times New Roman" w:eastAsia="仿宋_GB2312"/>
          <w:sz w:val="32"/>
          <w:szCs w:val="32"/>
          <w:lang w:eastAsia="zh-CN"/>
        </w:rPr>
        <w:t>。</w:t>
      </w:r>
    </w:p>
    <w:p w14:paraId="49CED988">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9.75</w:t>
      </w:r>
      <w:r>
        <w:rPr>
          <w:rFonts w:hint="eastAsia" w:ascii="Times New Roman" w:hAnsi="Times New Roman" w:eastAsia="仿宋_GB2312"/>
          <w:sz w:val="32"/>
          <w:szCs w:val="32"/>
        </w:rPr>
        <w:t>万元，支出决算</w:t>
      </w:r>
      <w:r>
        <w:rPr>
          <w:rFonts w:hint="eastAsia" w:ascii="Times New Roman" w:hAnsi="Times New Roman" w:eastAsia="仿宋_GB2312"/>
          <w:sz w:val="32"/>
          <w:szCs w:val="32"/>
          <w:lang w:eastAsia="zh-CN"/>
        </w:rPr>
        <w:t>为</w:t>
      </w:r>
      <w:r>
        <w:rPr>
          <w:rFonts w:hint="eastAsia" w:ascii="Times New Roman" w:hAnsi="Times New Roman" w:eastAsia="仿宋_GB2312"/>
          <w:sz w:val="32"/>
          <w:szCs w:val="32"/>
          <w:lang w:val="en-US" w:eastAsia="zh-CN"/>
        </w:rPr>
        <w:t>10.65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完成年初预算的109.21%，决算数大于年初预算数的主要原因是：年中因人员异动，导致住房公积金支出增加</w:t>
      </w:r>
      <w:r>
        <w:rPr>
          <w:rFonts w:hint="eastAsia" w:ascii="Times New Roman" w:hAnsi="Times New Roman" w:eastAsia="仿宋_GB2312"/>
          <w:sz w:val="32"/>
          <w:szCs w:val="32"/>
        </w:rPr>
        <w:t>。</w:t>
      </w:r>
    </w:p>
    <w:p w14:paraId="31C87721">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灾害防治及应急管理支出（类）地震事务（款）行政运行（项）。</w:t>
      </w:r>
    </w:p>
    <w:p w14:paraId="2CD53203">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106.21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138.04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129.97</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决算数大于年初预算数的主要原因是：年中因人员异动，导致</w:t>
      </w:r>
      <w:r>
        <w:rPr>
          <w:rFonts w:hint="eastAsia" w:ascii="Times New Roman" w:hAnsi="Times New Roman" w:eastAsia="仿宋_GB2312"/>
          <w:sz w:val="32"/>
          <w:szCs w:val="32"/>
          <w:lang w:eastAsia="zh-CN"/>
        </w:rPr>
        <w:t>工资福利支出</w:t>
      </w:r>
      <w:r>
        <w:rPr>
          <w:rFonts w:hint="eastAsia" w:ascii="Times New Roman" w:hAnsi="Times New Roman" w:eastAsia="仿宋_GB2312"/>
          <w:sz w:val="32"/>
          <w:szCs w:val="32"/>
          <w:lang w:val="en-US" w:eastAsia="zh-CN"/>
        </w:rPr>
        <w:t>增加。</w:t>
      </w:r>
    </w:p>
    <w:p w14:paraId="16CC546E">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灾害防治及应急管理支出（类）地震事务（款）地震监测（项）。</w:t>
      </w:r>
    </w:p>
    <w:p w14:paraId="3D8B0CD8">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15.94</w:t>
      </w:r>
      <w:r>
        <w:rPr>
          <w:rFonts w:hint="eastAsia" w:ascii="Times New Roman" w:hAnsi="Times New Roman" w:eastAsia="仿宋_GB2312"/>
          <w:sz w:val="32"/>
          <w:szCs w:val="32"/>
        </w:rPr>
        <w:t>万元，决算数大于年初预算数的主要原因是：年初预算</w:t>
      </w:r>
      <w:r>
        <w:rPr>
          <w:rFonts w:hint="eastAsia" w:ascii="Times New Roman" w:hAnsi="Times New Roman" w:eastAsia="仿宋_GB2312"/>
          <w:sz w:val="32"/>
          <w:szCs w:val="32"/>
          <w:lang w:eastAsia="zh-CN"/>
        </w:rPr>
        <w:t>未安排</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为</w:t>
      </w:r>
      <w:r>
        <w:rPr>
          <w:rFonts w:hint="eastAsia" w:ascii="Times New Roman" w:hAnsi="Times New Roman" w:eastAsia="仿宋_GB2312"/>
          <w:sz w:val="32"/>
          <w:szCs w:val="32"/>
        </w:rPr>
        <w:t>年中追加</w:t>
      </w:r>
      <w:r>
        <w:rPr>
          <w:rFonts w:hint="eastAsia" w:ascii="Times New Roman" w:hAnsi="Times New Roman" w:eastAsia="仿宋_GB2312"/>
          <w:sz w:val="32"/>
          <w:szCs w:val="32"/>
          <w:lang w:eastAsia="zh-CN"/>
        </w:rPr>
        <w:t>安排</w:t>
      </w:r>
      <w:r>
        <w:rPr>
          <w:rFonts w:hint="eastAsia" w:ascii="Times New Roman" w:hAnsi="Times New Roman" w:eastAsia="仿宋_GB2312"/>
          <w:sz w:val="32"/>
          <w:szCs w:val="32"/>
        </w:rPr>
        <w:t>的</w:t>
      </w:r>
      <w:r>
        <w:rPr>
          <w:rFonts w:hint="eastAsia" w:ascii="Times New Roman" w:hAnsi="Times New Roman" w:eastAsia="仿宋_GB2312"/>
          <w:sz w:val="32"/>
          <w:szCs w:val="32"/>
          <w:lang w:eastAsia="zh-CN"/>
        </w:rPr>
        <w:t>省级</w:t>
      </w:r>
      <w:r>
        <w:rPr>
          <w:rFonts w:hint="eastAsia" w:ascii="Times New Roman" w:hAnsi="Times New Roman" w:eastAsia="仿宋_GB2312"/>
          <w:sz w:val="32"/>
          <w:szCs w:val="32"/>
        </w:rPr>
        <w:t>地震</w:t>
      </w:r>
      <w:r>
        <w:rPr>
          <w:rFonts w:hint="eastAsia" w:ascii="Times New Roman" w:hAnsi="Times New Roman" w:eastAsia="仿宋_GB2312"/>
          <w:sz w:val="32"/>
          <w:szCs w:val="32"/>
          <w:lang w:eastAsia="zh-CN"/>
        </w:rPr>
        <w:t>监测</w:t>
      </w:r>
      <w:r>
        <w:rPr>
          <w:rFonts w:hint="eastAsia" w:ascii="Times New Roman" w:hAnsi="Times New Roman" w:eastAsia="仿宋_GB2312"/>
          <w:sz w:val="32"/>
          <w:szCs w:val="32"/>
        </w:rPr>
        <w:t>专项经费。</w:t>
      </w:r>
    </w:p>
    <w:p w14:paraId="757578A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02B4525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一般公共预算财政拨款基本支出</w:t>
      </w:r>
      <w:r>
        <w:rPr>
          <w:rFonts w:hint="eastAsia" w:ascii="Times New Roman" w:hAnsi="Times New Roman" w:eastAsia="仿宋_GB2312"/>
          <w:sz w:val="32"/>
          <w:szCs w:val="32"/>
          <w:lang w:val="en-US" w:eastAsia="zh-CN"/>
        </w:rPr>
        <w:t>166.76</w:t>
      </w:r>
      <w:r>
        <w:rPr>
          <w:rFonts w:hint="eastAsia" w:ascii="Times New Roman" w:hAnsi="Times New Roman" w:eastAsia="仿宋_GB2312"/>
          <w:sz w:val="32"/>
          <w:szCs w:val="32"/>
        </w:rPr>
        <w:t>万元，其中：</w:t>
      </w:r>
    </w:p>
    <w:p w14:paraId="4058099A">
      <w:pPr>
        <w:pStyle w:val="16"/>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140.78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84.42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仿宋_GB2312" w:hAnsi="仿宋_GB2312" w:eastAsia="仿宋_GB2312" w:cs="仿宋_GB2312"/>
          <w:b w:val="0"/>
          <w:bCs w:val="0"/>
          <w:sz w:val="32"/>
          <w:szCs w:val="32"/>
        </w:rPr>
        <w:t>主要包括</w:t>
      </w:r>
      <w:r>
        <w:rPr>
          <w:rFonts w:hint="eastAsia" w:ascii="仿宋_GB2312" w:hAnsi="仿宋_GB2312" w:eastAsia="仿宋_GB2312" w:cs="仿宋_GB2312"/>
          <w:b w:val="0"/>
          <w:bCs w:val="0"/>
          <w:sz w:val="32"/>
          <w:szCs w:val="32"/>
          <w:lang w:val="en-US" w:eastAsia="zh-CN"/>
        </w:rPr>
        <w:t>基本工资、津贴补贴、奖金、机关事业单位基本养老保险缴费、职工基本医疗保险缴费、其他社会保障缴费、住房公积金</w:t>
      </w:r>
      <w:r>
        <w:rPr>
          <w:rFonts w:hint="eastAsia" w:ascii="仿宋_GB2312" w:hAnsi="仿宋_GB2312" w:eastAsia="仿宋_GB2312" w:cs="仿宋_GB2312"/>
          <w:b w:val="0"/>
          <w:bCs w:val="0"/>
          <w:sz w:val="32"/>
          <w:szCs w:val="32"/>
        </w:rPr>
        <w:t>；</w:t>
      </w:r>
    </w:p>
    <w:p w14:paraId="71DB89BA">
      <w:pPr>
        <w:keepNext w:val="0"/>
        <w:keepLines w:val="0"/>
        <w:pageBreakBefore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25.97万元，占基本支出的</w:t>
      </w:r>
      <w:r>
        <w:rPr>
          <w:rFonts w:hint="eastAsia" w:ascii="Times New Roman" w:hAnsi="Times New Roman" w:eastAsia="仿宋_GB2312"/>
          <w:sz w:val="32"/>
          <w:szCs w:val="32"/>
          <w:lang w:eastAsia="zh-CN"/>
        </w:rPr>
        <w:t>15.58%</w:t>
      </w:r>
      <w:r>
        <w:rPr>
          <w:rFonts w:hint="eastAsia" w:ascii="Times New Roman" w:hAnsi="Times New Roman" w:eastAsia="仿宋_GB2312"/>
          <w:sz w:val="32"/>
          <w:szCs w:val="32"/>
        </w:rPr>
        <w:t>，</w:t>
      </w:r>
      <w:r>
        <w:rPr>
          <w:rFonts w:hint="eastAsia" w:ascii="仿宋_GB2312" w:hAnsi="仿宋_GB2312" w:eastAsia="仿宋_GB2312" w:cs="仿宋_GB2312"/>
          <w:b w:val="0"/>
          <w:bCs w:val="0"/>
          <w:color w:val="000000"/>
          <w:kern w:val="0"/>
          <w:sz w:val="32"/>
          <w:szCs w:val="32"/>
          <w:lang w:val="en-US" w:eastAsia="zh-CN" w:bidi="ar-SA"/>
        </w:rPr>
        <w:t>主要包括办公费、印刷费、电费、邮电费、差旅费、会议费、公务接待费、劳务费、委托业务费、工会经费、福利费、其他交通费用、其他商品和服务支出、设备购置。</w:t>
      </w:r>
    </w:p>
    <w:p w14:paraId="4038A1B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七、财政拨款</w:t>
      </w:r>
      <w:r>
        <w:rPr>
          <w:rFonts w:hint="eastAsia" w:hAnsi="黑体" w:cs="黑体"/>
          <w:b w:val="0"/>
          <w:bCs/>
          <w:sz w:val="32"/>
          <w:szCs w:val="32"/>
          <w:lang w:eastAsia="zh-CN"/>
        </w:rPr>
        <w:t>“三公”经费</w:t>
      </w:r>
      <w:r>
        <w:rPr>
          <w:rFonts w:hint="eastAsia" w:ascii="黑体" w:hAnsi="黑体" w:eastAsia="黑体" w:cs="黑体"/>
          <w:b w:val="0"/>
          <w:bCs/>
          <w:sz w:val="32"/>
          <w:szCs w:val="32"/>
        </w:rPr>
        <w:t>支出决算情况说明</w:t>
      </w:r>
    </w:p>
    <w:p w14:paraId="6E1C186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630732E1">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0.31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0.12</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38.71</w:t>
      </w:r>
      <w:r>
        <w:rPr>
          <w:rFonts w:hint="eastAsia" w:ascii="Times New Roman" w:hAnsi="Times New Roman" w:eastAsia="仿宋_GB2312"/>
          <w:sz w:val="32"/>
          <w:szCs w:val="32"/>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74.47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黑体"/>
          <w:color w:val="000000"/>
          <w:kern w:val="0"/>
          <w:sz w:val="32"/>
          <w:szCs w:val="32"/>
          <w:lang w:val="en-US" w:eastAsia="zh-CN" w:bidi="ar-SA"/>
        </w:rPr>
        <w:t>严格执行中央八项规定及其实施细则精神，进一步压减了公务接待方面的开支，实现了公务接待费用的有效降低</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黑体"/>
          <w:color w:val="000000"/>
          <w:kern w:val="0"/>
          <w:sz w:val="32"/>
          <w:szCs w:val="32"/>
          <w:lang w:val="en-US" w:eastAsia="zh-CN" w:bidi="ar-SA"/>
        </w:rPr>
        <w:t>严格执行中央八项规定及其实施细则精神，进一步压减了公务接待方面的开支，实现了公务接待费用的有效降低</w:t>
      </w:r>
      <w:r>
        <w:rPr>
          <w:rFonts w:ascii="Times New Roman" w:hAnsi="Times New Roman" w:eastAsia="仿宋_GB2312" w:cs="Times New Roman"/>
          <w:sz w:val="32"/>
          <w:szCs w:val="32"/>
        </w:rPr>
        <w:t>。</w:t>
      </w:r>
    </w:p>
    <w:p w14:paraId="00CCA0B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6C8B90FB">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sz w:val="32"/>
          <w:szCs w:val="32"/>
        </w:rPr>
      </w:pPr>
      <w:r>
        <w:rPr>
          <w:rFonts w:hint="eastAsia" w:ascii="Times New Roman" w:hAnsi="Times New Roman" w:eastAsia="仿宋_GB2312"/>
          <w:sz w:val="32"/>
          <w:szCs w:val="32"/>
          <w:lang w:val="en-US" w:eastAsia="zh-CN"/>
        </w:rPr>
        <w:t>1.</w:t>
      </w:r>
      <w:r>
        <w:rPr>
          <w:rFonts w:ascii="Times New Roman" w:hAnsi="Times New Roman" w:eastAsia="仿宋_GB2312" w:cs="Times New Roman"/>
          <w:sz w:val="32"/>
          <w:szCs w:val="32"/>
        </w:rPr>
        <w:t>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支出</w:t>
      </w:r>
      <w:r>
        <w:rPr>
          <w:rFonts w:hint="eastAsia" w:ascii="Times New Roman" w:hAnsi="Times New Roman" w:eastAsia="仿宋_GB2312"/>
          <w:sz w:val="32"/>
          <w:szCs w:val="32"/>
        </w:rPr>
        <w:t>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hint="eastAsia" w:ascii="仿宋_GB2312" w:hAnsi="仿宋_GB2312" w:eastAsia="仿宋_GB2312" w:cs="仿宋_GB2312"/>
          <w:sz w:val="32"/>
          <w:szCs w:val="32"/>
        </w:rPr>
        <w:t>全年安排因公出国（境）团组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个，累计</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2025年度我单位未开展因公出国（境）活动</w:t>
      </w:r>
      <w:r>
        <w:rPr>
          <w:rFonts w:hint="eastAsia" w:ascii="仿宋_GB2312" w:hAnsi="仿宋_GB2312" w:eastAsia="仿宋_GB2312" w:cs="仿宋_GB2312"/>
          <w:sz w:val="32"/>
          <w:szCs w:val="32"/>
          <w:lang w:eastAsia="zh-CN"/>
        </w:rPr>
        <w:t>。</w:t>
      </w:r>
    </w:p>
    <w:p w14:paraId="222BB7C8">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0万元，</w:t>
      </w:r>
      <w:r>
        <w:rPr>
          <w:rFonts w:hint="eastAsia" w:ascii="Times New Roman" w:hAnsi="Times New Roman" w:eastAsia="仿宋_GB2312"/>
          <w:sz w:val="32"/>
          <w:szCs w:val="32"/>
        </w:rPr>
        <w:t>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其中：</w:t>
      </w:r>
    </w:p>
    <w:p w14:paraId="13152AA1">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0万元，支出决算为0万元，与上年持平，2025年度我</w:t>
      </w:r>
      <w:r>
        <w:rPr>
          <w:rFonts w:hint="eastAsia" w:ascii="仿宋_GB2312" w:hAnsi="仿宋_GB2312" w:eastAsia="仿宋_GB2312" w:cs="仿宋_GB2312"/>
          <w:b w:val="0"/>
          <w:bCs w:val="0"/>
          <w:color w:val="auto"/>
          <w:kern w:val="0"/>
          <w:sz w:val="32"/>
          <w:szCs w:val="32"/>
          <w:lang w:val="en-US" w:eastAsia="zh-CN" w:bidi="ar-SA"/>
        </w:rPr>
        <w:t>单位无更新公务用车</w:t>
      </w:r>
      <w:r>
        <w:rPr>
          <w:rFonts w:hint="eastAsia" w:ascii="Times New Roman" w:hAnsi="Times New Roman" w:eastAsia="仿宋_GB2312"/>
          <w:color w:val="000000" w:themeColor="text1"/>
          <w:sz w:val="32"/>
          <w:szCs w:val="32"/>
          <w14:textFill>
            <w14:solidFill>
              <w14:schemeClr w14:val="tx1"/>
            </w14:solidFill>
          </w14:textFill>
        </w:rPr>
        <w:t>。</w:t>
      </w:r>
    </w:p>
    <w:p w14:paraId="5052C342">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公务用车运行维护费</w:t>
      </w:r>
      <w:r>
        <w:rPr>
          <w:rFonts w:ascii="Times New Roman" w:hAnsi="Times New Roman" w:eastAsia="仿宋_GB2312" w:cs="Times New Roman"/>
          <w:sz w:val="32"/>
          <w:szCs w:val="32"/>
        </w:rPr>
        <w:t>支出预算为</w:t>
      </w:r>
      <w:r>
        <w:rPr>
          <w:rFonts w:hint="eastAsia" w:ascii="Times New Roman" w:hAnsi="Times New Roman" w:eastAsia="仿宋_GB2312" w:cs="Times New Roman"/>
          <w:sz w:val="32"/>
          <w:szCs w:val="32"/>
          <w:lang w:val="en-US" w:eastAsia="zh-CN"/>
        </w:rPr>
        <w:t>0万元，</w:t>
      </w:r>
      <w:r>
        <w:rPr>
          <w:rFonts w:hint="eastAsia" w:ascii="Times New Roman" w:hAnsi="Times New Roman" w:eastAsia="仿宋_GB2312"/>
          <w:sz w:val="32"/>
          <w:szCs w:val="32"/>
        </w:rPr>
        <w:t>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截至2025年</w:t>
      </w:r>
      <w:r>
        <w:rPr>
          <w:rFonts w:hint="eastAsia" w:ascii="Times New Roman" w:hAnsi="Times New Roman" w:eastAsia="仿宋_GB2312"/>
          <w:sz w:val="32"/>
          <w:szCs w:val="32"/>
        </w:rPr>
        <w:t>12月31日，</w:t>
      </w:r>
      <w:r>
        <w:rPr>
          <w:rFonts w:hint="eastAsia" w:ascii="Times New Roman" w:hAnsi="Times New Roman" w:eastAsia="仿宋_GB2312"/>
          <w:sz w:val="32"/>
          <w:szCs w:val="32"/>
          <w:lang w:eastAsia="zh-CN"/>
        </w:rPr>
        <w:t>我</w:t>
      </w:r>
      <w:r>
        <w:rPr>
          <w:rFonts w:hint="eastAsia" w:ascii="Times New Roman" w:hAnsi="Times New Roman" w:eastAsia="仿宋_GB2312"/>
          <w:sz w:val="32"/>
          <w:szCs w:val="32"/>
        </w:rPr>
        <w:t>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14:paraId="54F312B5">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0.31万元，</w:t>
      </w:r>
      <w:r>
        <w:rPr>
          <w:rFonts w:hint="eastAsia" w:ascii="Times New Roman" w:hAnsi="Times New Roman" w:eastAsia="仿宋_GB2312"/>
          <w:sz w:val="32"/>
          <w:szCs w:val="32"/>
        </w:rPr>
        <w:t>支出决算为</w:t>
      </w:r>
      <w:r>
        <w:rPr>
          <w:rFonts w:hint="eastAsia" w:ascii="Times New Roman" w:hAnsi="Times New Roman" w:eastAsia="仿宋_GB2312"/>
          <w:sz w:val="32"/>
          <w:szCs w:val="32"/>
          <w:lang w:val="en-US" w:eastAsia="zh-CN"/>
        </w:rPr>
        <w:t>0.12</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38.71</w:t>
      </w:r>
      <w:r>
        <w:rPr>
          <w:rFonts w:hint="eastAsia" w:ascii="Times New Roman" w:hAnsi="Times New Roman" w:eastAsia="仿宋_GB2312"/>
          <w:sz w:val="32"/>
          <w:szCs w:val="32"/>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74.47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黑体"/>
          <w:color w:val="000000"/>
          <w:kern w:val="0"/>
          <w:sz w:val="32"/>
          <w:szCs w:val="32"/>
          <w:lang w:val="en-US" w:eastAsia="zh-CN" w:bidi="ar-SA"/>
        </w:rPr>
        <w:t>严格执行中央八项规定及其实施细则精神，进一步压减了公务接待方面的开支，实现了公务接待费用的有效降低</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黑体"/>
          <w:color w:val="000000"/>
          <w:kern w:val="0"/>
          <w:sz w:val="32"/>
          <w:szCs w:val="32"/>
          <w:lang w:val="en-US" w:eastAsia="zh-CN" w:bidi="ar-SA"/>
        </w:rPr>
        <w:t>严格执行中央八项规定及其实施细则精神，进一步压减了公务接待方面的开支，实现了公务接待费用的有效降低</w:t>
      </w:r>
      <w:r>
        <w:rPr>
          <w:rFonts w:ascii="Times New Roman" w:hAnsi="Times New Roman" w:eastAsia="仿宋_GB2312" w:cs="Times New Roman"/>
          <w:sz w:val="32"/>
          <w:szCs w:val="32"/>
        </w:rPr>
        <w:t>。</w:t>
      </w:r>
      <w:r>
        <w:rPr>
          <w:rFonts w:hint="eastAsia" w:ascii="Times New Roman" w:hAnsi="Times New Roman" w:eastAsia="仿宋_GB2312"/>
          <w:sz w:val="32"/>
          <w:szCs w:val="32"/>
          <w:lang w:val="en-US" w:eastAsia="zh-CN"/>
        </w:rPr>
        <w:t>2025年度</w:t>
      </w:r>
      <w:r>
        <w:rPr>
          <w:rFonts w:hint="eastAsia" w:ascii="Times New Roman" w:hAnsi="Times New Roman" w:eastAsia="仿宋_GB2312"/>
          <w:sz w:val="32"/>
          <w:szCs w:val="32"/>
        </w:rPr>
        <w:t>共接待来访团组</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人次，主要是</w:t>
      </w:r>
      <w:r>
        <w:rPr>
          <w:rFonts w:hint="eastAsia" w:ascii="仿宋_GB2312" w:hAnsi="仿宋_GB2312" w:eastAsia="仿宋_GB2312" w:cs="仿宋_GB2312"/>
          <w:sz w:val="32"/>
          <w:szCs w:val="32"/>
          <w:lang w:val="en-US" w:eastAsia="zh-CN"/>
        </w:rPr>
        <w:t>上级部门领导来我单位检查、指导工作</w:t>
      </w:r>
      <w:r>
        <w:rPr>
          <w:rFonts w:hint="eastAsia" w:ascii="Times New Roman" w:hAnsi="Times New Roman" w:eastAsia="仿宋_GB2312"/>
          <w:sz w:val="32"/>
          <w:szCs w:val="32"/>
        </w:rPr>
        <w:t>发生的接待支出。</w:t>
      </w:r>
    </w:p>
    <w:p w14:paraId="7944CE2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600758B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2025年度本单位无政府性基金收支。</w:t>
      </w:r>
    </w:p>
    <w:p w14:paraId="47B1C09A">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九、关于机关运行经费支出说明</w:t>
      </w:r>
    </w:p>
    <w:p w14:paraId="512C38B7">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本部门2025年度机关运行经费支出25.97万元，比年初预算数增加1.31万元，增长5.3%。主要原因是：物价上涨，差旅费等行政运行成本增加。</w:t>
      </w:r>
    </w:p>
    <w:p w14:paraId="6566203A">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6546E43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2025年本部门开支会议费0.39万元，用于</w:t>
      </w:r>
      <w:r>
        <w:rPr>
          <w:rFonts w:hint="eastAsia" w:ascii="仿宋_GB2312" w:hAnsi="仿宋" w:eastAsia="仿宋_GB2312"/>
          <w:color w:val="auto"/>
          <w:sz w:val="32"/>
          <w:szCs w:val="32"/>
        </w:rPr>
        <w:t>组织全市地震</w:t>
      </w:r>
      <w:r>
        <w:rPr>
          <w:rFonts w:hint="eastAsia" w:ascii="仿宋_GB2312" w:hAnsi="仿宋" w:eastAsia="仿宋_GB2312"/>
          <w:color w:val="auto"/>
          <w:sz w:val="32"/>
          <w:szCs w:val="32"/>
          <w:lang w:val="en-US" w:eastAsia="zh-CN"/>
        </w:rPr>
        <w:t>系统</w:t>
      </w:r>
      <w:r>
        <w:rPr>
          <w:rFonts w:hint="eastAsia" w:ascii="仿宋_GB2312" w:hAnsi="仿宋" w:eastAsia="仿宋_GB2312"/>
          <w:color w:val="auto"/>
          <w:sz w:val="32"/>
          <w:szCs w:val="32"/>
        </w:rPr>
        <w:t>工作会议</w:t>
      </w:r>
      <w:r>
        <w:rPr>
          <w:rFonts w:hint="eastAsia" w:ascii="Times New Roman" w:hAnsi="Times New Roman" w:eastAsia="仿宋_GB2312" w:cstheme="minorBidi"/>
          <w:color w:val="auto"/>
          <w:kern w:val="2"/>
          <w:sz w:val="32"/>
          <w:szCs w:val="32"/>
          <w:lang w:val="en-US" w:eastAsia="zh-CN" w:bidi="ar-SA"/>
        </w:rPr>
        <w:t>，人数29人，内容为2025年度</w:t>
      </w:r>
      <w:r>
        <w:rPr>
          <w:rFonts w:hint="eastAsia" w:ascii="仿宋_GB2312" w:hAnsi="仿宋" w:eastAsia="仿宋_GB2312"/>
          <w:color w:val="auto"/>
          <w:sz w:val="32"/>
          <w:szCs w:val="32"/>
        </w:rPr>
        <w:t>全市地震</w:t>
      </w:r>
      <w:r>
        <w:rPr>
          <w:rFonts w:hint="eastAsia" w:ascii="仿宋_GB2312" w:hAnsi="仿宋" w:eastAsia="仿宋_GB2312"/>
          <w:color w:val="auto"/>
          <w:sz w:val="32"/>
          <w:szCs w:val="32"/>
          <w:lang w:val="en-US" w:eastAsia="zh-CN"/>
        </w:rPr>
        <w:t>系统</w:t>
      </w:r>
      <w:r>
        <w:rPr>
          <w:rFonts w:hint="eastAsia" w:ascii="仿宋_GB2312" w:hAnsi="仿宋" w:eastAsia="仿宋_GB2312"/>
          <w:color w:val="auto"/>
          <w:sz w:val="32"/>
          <w:szCs w:val="32"/>
        </w:rPr>
        <w:t>工作</w:t>
      </w:r>
      <w:r>
        <w:rPr>
          <w:rFonts w:hint="eastAsia" w:ascii="仿宋_GB2312" w:hAnsi="仿宋" w:eastAsia="仿宋_GB2312"/>
          <w:color w:val="auto"/>
          <w:sz w:val="32"/>
          <w:szCs w:val="32"/>
          <w:lang w:val="en-US" w:eastAsia="zh-CN"/>
        </w:rPr>
        <w:t>布置</w:t>
      </w:r>
      <w:r>
        <w:rPr>
          <w:rFonts w:hint="eastAsia" w:ascii="Times New Roman" w:hAnsi="Times New Roman" w:eastAsia="仿宋_GB2312" w:cstheme="minorBidi"/>
          <w:color w:val="auto"/>
          <w:kern w:val="2"/>
          <w:sz w:val="32"/>
          <w:szCs w:val="32"/>
          <w:lang w:val="en-US" w:eastAsia="zh-CN" w:bidi="ar-SA"/>
        </w:rPr>
        <w:t>。开支培训费3.98万元，用于2025年度防震减灾科普馆讲解员培训和农村工匠抗震设防技术培训，人数235人，内容为2025年度防震减灾科普馆讲解员培训和农村工匠抗震设防技术培训。未举办元旦、春节等节庆、晚会、论坛、赛事活动，开支0万元。</w:t>
      </w:r>
    </w:p>
    <w:p w14:paraId="6BF9937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十一、关于政府采购支出说明</w:t>
      </w:r>
    </w:p>
    <w:p w14:paraId="7B0B1865">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政府采购支出总额</w:t>
      </w:r>
      <w:r>
        <w:rPr>
          <w:rFonts w:hint="eastAsia" w:ascii="Times New Roman" w:hAnsi="Times New Roman" w:eastAsia="仿宋_GB2312"/>
          <w:sz w:val="32"/>
          <w:szCs w:val="32"/>
          <w:lang w:val="en-US" w:eastAsia="zh-CN"/>
        </w:rPr>
        <w:t>0.47</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0.47</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0.47</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0.47</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764F1A67">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14:paraId="23AF75F4">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截至</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12月31日，</w:t>
      </w:r>
      <w:r>
        <w:rPr>
          <w:rFonts w:hint="eastAsia" w:ascii="Times New Roman" w:hAnsi="Times New Roman" w:eastAsia="仿宋_GB2312"/>
          <w:sz w:val="32"/>
          <w:szCs w:val="32"/>
          <w:lang w:val="en-US" w:eastAsia="zh-CN"/>
        </w:rPr>
        <w:t>永州市地震局</w:t>
      </w:r>
      <w:r>
        <w:rPr>
          <w:rFonts w:hint="eastAsia" w:ascii="Times New Roman" w:hAnsi="Times New Roman" w:eastAsia="仿宋_GB2312"/>
          <w:sz w:val="32"/>
          <w:szCs w:val="32"/>
        </w:rPr>
        <w:t>共有车辆</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辆，其中，</w:t>
      </w:r>
      <w:r>
        <w:rPr>
          <w:rFonts w:hint="eastAsia" w:ascii="Times New Roman" w:hAnsi="Times New Roman" w:eastAsia="仿宋_GB2312"/>
          <w:sz w:val="32"/>
          <w:szCs w:val="32"/>
          <w:lang w:eastAsia="zh-CN"/>
        </w:rPr>
        <w:t>副部（省）级及以上领导用车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w:t>
      </w:r>
      <w:r>
        <w:rPr>
          <w:rFonts w:hint="eastAsia" w:ascii="Times New Roman" w:hAnsi="Times New Roman" w:eastAsia="仿宋_GB2312"/>
          <w:sz w:val="32"/>
          <w:szCs w:val="32"/>
          <w:lang w:eastAsia="zh-CN"/>
        </w:rPr>
        <w:t>负责人</w:t>
      </w:r>
      <w:r>
        <w:rPr>
          <w:rFonts w:hint="eastAsia" w:ascii="Times New Roman" w:hAnsi="Times New Roman" w:eastAsia="仿宋_GB2312"/>
          <w:sz w:val="32"/>
          <w:szCs w:val="32"/>
        </w:rPr>
        <w:t>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离退休干部服务用车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单位价值100万元以上设备</w:t>
      </w:r>
      <w:r>
        <w:rPr>
          <w:rFonts w:hint="eastAsia" w:ascii="Times New Roman" w:hAnsi="Times New Roman" w:eastAsia="仿宋_GB2312"/>
          <w:sz w:val="32"/>
          <w:szCs w:val="32"/>
          <w:lang w:eastAsia="zh-CN"/>
        </w:rPr>
        <w:t>（不含车辆）</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452193C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ascii="Times New Roman" w:hAnsi="Times New Roman" w:eastAsia="仿宋_GB2312"/>
          <w:sz w:val="32"/>
          <w:szCs w:val="32"/>
          <w:lang w:eastAsia="zh-CN"/>
        </w:rPr>
        <w:t>2025年度</w:t>
      </w:r>
      <w:r>
        <w:rPr>
          <w:rFonts w:hint="eastAsia" w:ascii="黑体" w:hAnsi="黑体" w:eastAsia="黑体" w:cs="黑体"/>
          <w:b w:val="0"/>
          <w:bCs/>
          <w:sz w:val="32"/>
          <w:szCs w:val="32"/>
        </w:rPr>
        <w:t>预算绩效情况的说明</w:t>
      </w:r>
    </w:p>
    <w:p w14:paraId="17086FF3">
      <w:pPr>
        <w:pStyle w:val="16"/>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color w:val="auto"/>
          <w:sz w:val="32"/>
          <w:szCs w:val="32"/>
          <w:highlight w:val="none"/>
        </w:rPr>
      </w:pPr>
      <w:r>
        <w:rPr>
          <w:rFonts w:hint="eastAsia" w:ascii="楷体" w:hAnsi="楷体" w:eastAsia="楷体" w:cs="楷体"/>
          <w:b/>
          <w:bCs/>
          <w:color w:val="auto"/>
          <w:sz w:val="32"/>
          <w:szCs w:val="32"/>
          <w:highlight w:val="none"/>
          <w:lang w:eastAsia="zh-CN"/>
        </w:rPr>
        <w:t>（一）</w:t>
      </w:r>
      <w:r>
        <w:rPr>
          <w:rFonts w:ascii="Times New Roman" w:hAnsi="Times New Roman" w:eastAsia="楷体_GB2312" w:cs="Times New Roman"/>
          <w:b/>
          <w:bCs/>
          <w:sz w:val="32"/>
          <w:szCs w:val="32"/>
        </w:rPr>
        <w:t>绩效评价工作开展情况。</w:t>
      </w:r>
    </w:p>
    <w:p w14:paraId="448D27FB">
      <w:pPr>
        <w:spacing w:line="560" w:lineRule="exact"/>
        <w:ind w:firstLine="640" w:firstLineChars="200"/>
        <w:rPr>
          <w:rFonts w:hint="eastAsia"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b/>
          <w:bCs/>
          <w:kern w:val="0"/>
          <w:sz w:val="32"/>
          <w:szCs w:val="32"/>
        </w:rPr>
        <w:t>绩效自评开展情况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182.7</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15.94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sz w:val="32"/>
          <w:szCs w:val="32"/>
          <w:lang w:val="en-US" w:eastAsia="zh-CN"/>
        </w:rPr>
        <w:t>8.72</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w:t>
      </w:r>
      <w:bookmarkStart w:id="3" w:name="_GoBack"/>
      <w:bookmarkEnd w:id="3"/>
      <w:r>
        <w:rPr>
          <w:rFonts w:ascii="Times New Roman" w:hAnsi="Times New Roman" w:eastAsia="仿宋_GB2312" w:cs="Times New Roman"/>
          <w:kern w:val="0"/>
          <w:sz w:val="32"/>
          <w:szCs w:val="32"/>
        </w:rPr>
        <w:t>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hint="eastAsia" w:ascii="Times New Roman" w:hAnsi="Times New Roman" w:eastAsia="仿宋_GB2312" w:cs="黑体"/>
          <w:color w:val="000000"/>
          <w:kern w:val="0"/>
          <w:sz w:val="32"/>
          <w:szCs w:val="32"/>
          <w:lang w:val="en-US" w:eastAsia="zh-CN" w:bidi="ar-SA"/>
        </w:rPr>
        <w:t xml:space="preserve">                                                                                                                                                   </w:t>
      </w:r>
    </w:p>
    <w:p w14:paraId="29DF3C97">
      <w:pPr>
        <w:pStyle w:val="16"/>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04A5B03E">
      <w:pPr>
        <w:pStyle w:val="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楷体" w:hAnsi="楷体" w:eastAsia="楷体" w:cs="楷体"/>
          <w:b/>
          <w:bCs/>
          <w:sz w:val="32"/>
          <w:szCs w:val="32"/>
          <w:lang w:eastAsia="zh-CN"/>
        </w:rPr>
      </w:pP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184.55</w:t>
      </w:r>
      <w:r>
        <w:rPr>
          <w:rFonts w:ascii="Times New Roman" w:hAnsi="Times New Roman" w:eastAsia="仿宋_GB2312" w:cs="Times New Roman"/>
          <w:sz w:val="32"/>
          <w:szCs w:val="32"/>
        </w:rPr>
        <w:t>万元，执行数</w:t>
      </w:r>
      <w:r>
        <w:rPr>
          <w:rFonts w:hint="eastAsia" w:ascii="Times New Roman" w:hAnsi="Times New Roman" w:eastAsia="仿宋_GB2312" w:cs="Times New Roman"/>
          <w:kern w:val="0"/>
          <w:sz w:val="32"/>
          <w:szCs w:val="32"/>
        </w:rPr>
        <w:t>182.7</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91.9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w:t>
      </w:r>
      <w:r>
        <w:rPr>
          <w:rFonts w:hint="eastAsia" w:ascii="仿宋" w:hAnsi="仿宋" w:eastAsia="仿宋" w:cs="仿宋"/>
          <w:sz w:val="30"/>
          <w:szCs w:val="30"/>
        </w:rPr>
        <w:t>监测预警能力得到提升。今年以来共对全市28个地震监测台站（网点）巡检了6次，共发现整改各类问题隐患15个，确保台站（网点）稳定运行</w:t>
      </w:r>
      <w:r>
        <w:rPr>
          <w:rFonts w:ascii="Times New Roman" w:hAnsi="Times New Roman" w:eastAsia="仿宋_GB2312" w:cs="Times New Roman"/>
          <w:sz w:val="32"/>
          <w:szCs w:val="32"/>
        </w:rPr>
        <w:t>；二是</w:t>
      </w:r>
      <w:r>
        <w:rPr>
          <w:rFonts w:hint="eastAsia" w:ascii="仿宋" w:hAnsi="仿宋" w:eastAsia="仿宋" w:cs="仿宋"/>
          <w:sz w:val="30"/>
          <w:szCs w:val="30"/>
        </w:rPr>
        <w:t>地震应急管理得到强化。今年以来市县两级地震部门共督促、指导相关单位和企业制定、修订地震应急预案56个</w:t>
      </w:r>
      <w:r>
        <w:rPr>
          <w:rFonts w:hint="eastAsia" w:ascii="仿宋" w:hAnsi="仿宋" w:eastAsia="仿宋" w:cs="仿宋"/>
          <w:sz w:val="30"/>
          <w:szCs w:val="30"/>
          <w:lang w:eastAsia="zh-CN"/>
        </w:rPr>
        <w:t>，</w:t>
      </w:r>
      <w:r>
        <w:rPr>
          <w:rFonts w:hint="eastAsia" w:ascii="仿宋" w:hAnsi="仿宋" w:eastAsia="仿宋" w:cs="仿宋"/>
          <w:sz w:val="30"/>
          <w:szCs w:val="30"/>
        </w:rPr>
        <w:t>地震应急管理得到</w:t>
      </w:r>
      <w:r>
        <w:rPr>
          <w:rFonts w:hint="eastAsia" w:ascii="仿宋" w:hAnsi="仿宋" w:eastAsia="仿宋" w:cs="仿宋"/>
          <w:sz w:val="30"/>
          <w:szCs w:val="30"/>
          <w:lang w:val="en-US" w:eastAsia="zh-CN"/>
        </w:rPr>
        <w:t>进一步</w:t>
      </w:r>
      <w:r>
        <w:rPr>
          <w:rFonts w:hint="eastAsia" w:ascii="仿宋" w:hAnsi="仿宋" w:eastAsia="仿宋" w:cs="仿宋"/>
          <w:sz w:val="30"/>
          <w:szCs w:val="30"/>
        </w:rPr>
        <w:t>强化</w:t>
      </w:r>
      <w:r>
        <w:rPr>
          <w:rFonts w:ascii="Times New Roman" w:hAnsi="Times New Roman" w:eastAsia="仿宋_GB2312" w:cs="Times New Roman"/>
          <w:sz w:val="32"/>
          <w:szCs w:val="32"/>
        </w:rPr>
        <w:t>。发现的主要问题及原</w:t>
      </w:r>
      <w:r>
        <w:rPr>
          <w:rFonts w:hint="eastAsia" w:ascii="仿宋" w:hAnsi="仿宋" w:eastAsia="仿宋" w:cs="仿宋"/>
          <w:sz w:val="30"/>
          <w:szCs w:val="30"/>
          <w:lang w:val="en-US" w:eastAsia="zh-CN"/>
        </w:rPr>
        <w:t>因：一是行政执法差距明显。县市区从事地震工作的人员大多为兼职人员且更换频繁，缺少专业人员，加上今年对执法工作新增了“扫码入企”等要求，导致行政执法工作滞后。二是体制机制不顺。自2018年机构改革后，对防震减灾的机构和职能进行了调整，但《中华人民共和国防震减灾法》还是2008年颁布的，至今还未修订，导致部分机构防震减灾工作职责不清、边界不明，没有真正实现上下贯通、左右协同、齐抓共管的局面。市级地震部门弱化、县级地震机构边缘化的趋势越来越明显，以至于一些人不愿意从事防震减灾工作。</w:t>
      </w:r>
      <w:r>
        <w:rPr>
          <w:rFonts w:ascii="Times New Roman" w:hAnsi="Times New Roman" w:eastAsia="仿宋_GB2312" w:cs="Times New Roman"/>
          <w:sz w:val="32"/>
          <w:szCs w:val="32"/>
        </w:rPr>
        <w:t>下一步改进措施</w:t>
      </w:r>
      <w:r>
        <w:rPr>
          <w:rFonts w:hint="eastAsia" w:ascii="仿宋" w:hAnsi="仿宋" w:eastAsia="仿宋" w:cs="仿宋"/>
          <w:sz w:val="30"/>
          <w:szCs w:val="30"/>
          <w:lang w:val="en-US" w:eastAsia="zh-CN"/>
        </w:rPr>
        <w:t>：</w:t>
      </w:r>
      <w:r>
        <w:rPr>
          <w:rFonts w:ascii="Times New Roman" w:hAnsi="Times New Roman" w:eastAsia="仿宋_GB2312" w:cs="Times New Roman"/>
          <w:sz w:val="32"/>
          <w:szCs w:val="32"/>
        </w:rPr>
        <w:t>一是</w:t>
      </w:r>
      <w:r>
        <w:rPr>
          <w:rFonts w:hint="eastAsia" w:ascii="仿宋_GB2312" w:hAnsi="仿宋_GB2312" w:eastAsia="仿宋_GB2312" w:cs="仿宋_GB2312"/>
          <w:color w:val="auto"/>
          <w:kern w:val="0"/>
          <w:sz w:val="32"/>
          <w:szCs w:val="32"/>
          <w:lang w:val="en-US" w:eastAsia="zh-CN" w:bidi="ar"/>
        </w:rPr>
        <w:t>坚持以习近平新时代中国特色社会主义思想为指导，认真贯彻落实习近平总书记关于应急管理重要论述和防震减灾救灾重要指示批示精神，坚持“防抗救”相结合，补短板、强弱项，抓基层、强基础，确保我市防震减灾各项工作得到有效加强</w:t>
      </w:r>
      <w:r>
        <w:rPr>
          <w:rFonts w:ascii="Times New Roman" w:hAnsi="Times New Roman" w:eastAsia="仿宋_GB2312" w:cs="Times New Roman"/>
          <w:sz w:val="32"/>
          <w:szCs w:val="32"/>
        </w:rPr>
        <w:t>；二</w:t>
      </w:r>
      <w:r>
        <w:rPr>
          <w:rFonts w:hint="eastAsia" w:ascii="仿宋_GB2312" w:hAnsi="仿宋_GB2312" w:eastAsia="仿宋_GB2312" w:cs="仿宋_GB2312"/>
          <w:color w:val="auto"/>
          <w:kern w:val="0"/>
          <w:sz w:val="32"/>
          <w:szCs w:val="32"/>
          <w:lang w:val="en-US" w:eastAsia="zh-CN" w:bidi="ar"/>
        </w:rPr>
        <w:t>是强化部门协同，提升综合合力。</w:t>
      </w:r>
      <w:r>
        <w:rPr>
          <w:rFonts w:hint="eastAsia" w:ascii="仿宋_GB2312" w:eastAsia="仿宋_GB2312" w:cs="仿宋_GB2312"/>
          <w:color w:val="auto"/>
          <w:kern w:val="0"/>
          <w:sz w:val="32"/>
          <w:szCs w:val="32"/>
          <w:lang w:val="en-US" w:eastAsia="zh-CN" w:bidi="ar"/>
        </w:rPr>
        <w:t>推动与应急、住建等部门数据共享，争取将地震风险灾害数据纳入全市政务数据平台。深化与消防、卫健等部门协作机制，推动开展跨部门联合地震应急演练，提升协同处置能力。</w:t>
      </w:r>
    </w:p>
    <w:p w14:paraId="0FEFB4EB">
      <w:pPr>
        <w:spacing w:line="600" w:lineRule="exact"/>
        <w:ind w:right="-105" w:rightChars="-50" w:firstLine="640" w:firstLineChars="200"/>
        <w:rPr>
          <w:rFonts w:ascii="仿宋" w:hAnsi="仿宋" w:eastAsia="仿宋" w:cs="仿宋"/>
          <w:sz w:val="30"/>
          <w:szCs w:val="30"/>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sz w:val="30"/>
          <w:szCs w:val="30"/>
        </w:rPr>
        <w:t>本单位运用科学、合理的评价方法、指标体系和评价标准，对整体支出产出和效果进行客观公正的评价，提升预算管理水平和政策实施效果。健全绩效评价结果反馈制度和绩效问题整改责任制，形成反馈、整改、提升绩效的良性循环；单位负责人对本单位预算绩效负责，切实做到花钱必问效，无效必问责。整体支出绩效自评报告按规定时间、内容、程序在永州市财政局门户网站公开。</w:t>
      </w:r>
    </w:p>
    <w:p w14:paraId="4A61C12A">
      <w:pPr>
        <w:spacing w:line="600" w:lineRule="exact"/>
        <w:ind w:right="-105" w:rightChars="-50" w:firstLine="640" w:firstLineChars="200"/>
        <w:rPr>
          <w:rFonts w:hint="eastAsia" w:ascii="Times New Roman" w:hAnsi="Times New Roman" w:eastAsia="仿宋_GB2312" w:cs="黑体"/>
          <w:color w:val="000000"/>
          <w:kern w:val="0"/>
          <w:sz w:val="32"/>
          <w:szCs w:val="32"/>
          <w:lang w:val="en-US" w:eastAsia="zh-CN" w:bidi="ar-SA"/>
        </w:rPr>
      </w:pPr>
    </w:p>
    <w:p w14:paraId="667F9229">
      <w:pPr>
        <w:pStyle w:val="16"/>
        <w:jc w:val="center"/>
        <w:rPr>
          <w:rFonts w:hint="eastAsia" w:ascii="方正小标宋_GBK" w:hAnsi="方正小标宋_GBK" w:eastAsia="方正小标宋_GBK" w:cs="方正小标宋_GBK"/>
          <w:sz w:val="72"/>
          <w:szCs w:val="72"/>
        </w:rPr>
      </w:pPr>
    </w:p>
    <w:p w14:paraId="3C498ED5">
      <w:pPr>
        <w:pStyle w:val="16"/>
        <w:jc w:val="center"/>
        <w:rPr>
          <w:rFonts w:hint="eastAsia" w:ascii="方正小标宋_GBK" w:hAnsi="方正小标宋_GBK" w:eastAsia="方正小标宋_GBK" w:cs="方正小标宋_GBK"/>
          <w:sz w:val="72"/>
          <w:szCs w:val="72"/>
        </w:rPr>
      </w:pPr>
    </w:p>
    <w:p w14:paraId="207CDEFD">
      <w:pPr>
        <w:pStyle w:val="16"/>
        <w:jc w:val="center"/>
        <w:rPr>
          <w:rFonts w:hint="eastAsia" w:ascii="方正小标宋_GBK" w:hAnsi="方正小标宋_GBK" w:eastAsia="方正小标宋_GBK" w:cs="方正小标宋_GBK"/>
          <w:sz w:val="72"/>
          <w:szCs w:val="72"/>
        </w:rPr>
      </w:pPr>
    </w:p>
    <w:p w14:paraId="7BD5529C">
      <w:pPr>
        <w:pStyle w:val="16"/>
        <w:jc w:val="center"/>
        <w:rPr>
          <w:rFonts w:hint="eastAsia" w:ascii="方正小标宋_GBK" w:hAnsi="方正小标宋_GBK" w:eastAsia="方正小标宋_GBK" w:cs="方正小标宋_GBK"/>
          <w:sz w:val="72"/>
          <w:szCs w:val="72"/>
        </w:rPr>
      </w:pPr>
    </w:p>
    <w:p w14:paraId="7725CB2C">
      <w:pPr>
        <w:pStyle w:val="16"/>
        <w:jc w:val="center"/>
        <w:rPr>
          <w:rFonts w:hint="eastAsia" w:ascii="方正小标宋_GBK" w:hAnsi="方正小标宋_GBK" w:eastAsia="方正小标宋_GBK" w:cs="方正小标宋_GBK"/>
          <w:sz w:val="72"/>
          <w:szCs w:val="72"/>
        </w:rPr>
      </w:pPr>
    </w:p>
    <w:p w14:paraId="44057403">
      <w:pPr>
        <w:pStyle w:val="16"/>
        <w:jc w:val="center"/>
        <w:rPr>
          <w:rFonts w:hint="eastAsia" w:ascii="方正小标宋_GBK" w:hAnsi="方正小标宋_GBK" w:eastAsia="方正小标宋_GBK" w:cs="方正小标宋_GBK"/>
          <w:sz w:val="72"/>
          <w:szCs w:val="72"/>
        </w:rPr>
      </w:pPr>
    </w:p>
    <w:p w14:paraId="5ECD6641">
      <w:pPr>
        <w:pStyle w:val="16"/>
        <w:jc w:val="center"/>
        <w:rPr>
          <w:rFonts w:hint="eastAsia" w:ascii="方正小标宋_GBK" w:hAnsi="方正小标宋_GBK" w:eastAsia="方正小标宋_GBK" w:cs="方正小标宋_GBK"/>
          <w:sz w:val="72"/>
          <w:szCs w:val="72"/>
        </w:rPr>
      </w:pPr>
    </w:p>
    <w:p w14:paraId="1F4ABC95">
      <w:pPr>
        <w:pStyle w:val="16"/>
        <w:jc w:val="center"/>
        <w:rPr>
          <w:rFonts w:hint="eastAsia" w:ascii="方正小标宋_GBK" w:hAnsi="方正小标宋_GBK" w:eastAsia="方正小标宋_GBK" w:cs="方正小标宋_GBK"/>
          <w:sz w:val="72"/>
          <w:szCs w:val="72"/>
        </w:rPr>
      </w:pPr>
    </w:p>
    <w:p w14:paraId="550DC6A0">
      <w:pPr>
        <w:pStyle w:val="16"/>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72"/>
          <w:szCs w:val="72"/>
        </w:rPr>
        <w:t>第四部分</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color w:val="000000"/>
          <w:kern w:val="0"/>
          <w:sz w:val="70"/>
          <w:szCs w:val="70"/>
        </w:rPr>
        <w:t>名词解释</w:t>
      </w:r>
    </w:p>
    <w:p w14:paraId="3785C34A">
      <w:pPr>
        <w:widowControl/>
        <w:jc w:val="left"/>
        <w:rPr>
          <w:rFonts w:ascii="黑体" w:eastAsia="黑体" w:cs="黑体"/>
          <w:color w:val="000000"/>
          <w:kern w:val="0"/>
          <w:sz w:val="70"/>
          <w:szCs w:val="70"/>
        </w:rPr>
      </w:pPr>
      <w:r>
        <w:rPr>
          <w:rFonts w:hint="eastAsia" w:ascii="方正小标宋_GBK" w:hAnsi="方正小标宋_GBK" w:eastAsia="方正小标宋_GBK" w:cs="方正小标宋_GBK"/>
          <w:color w:val="000000"/>
          <w:kern w:val="0"/>
          <w:sz w:val="70"/>
          <w:szCs w:val="70"/>
        </w:rPr>
        <w:br w:type="page"/>
      </w:r>
    </w:p>
    <w:p w14:paraId="5759771F">
      <w:pPr>
        <w:ind w:firstLine="640" w:firstLineChars="200"/>
        <w:jc w:val="left"/>
        <w:rPr>
          <w:rFonts w:ascii="宋体" w:hAnsi="宋体" w:cs="黑体"/>
          <w:color w:val="000000"/>
          <w:kern w:val="0"/>
          <w:sz w:val="32"/>
          <w:szCs w:val="32"/>
        </w:rPr>
      </w:pPr>
    </w:p>
    <w:p w14:paraId="750E1F2E">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一、财政拨款收入：指财政当年拨付的资金，主要包括一般公共预算财政拨款，政府性基金预算财政拨款，国有资本经营预算财政拨款。</w:t>
      </w:r>
    </w:p>
    <w:p w14:paraId="018C8F8D">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14:paraId="77868C20">
      <w:pPr>
        <w:keepNext w:val="0"/>
        <w:keepLines w:val="0"/>
        <w:pageBreakBefore w:val="0"/>
        <w:widowControl/>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14:paraId="2539BC14">
      <w:pPr>
        <w:keepNext w:val="0"/>
        <w:keepLines w:val="0"/>
        <w:pageBreakBefore w:val="0"/>
        <w:widowControl/>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14:paraId="4973E540">
      <w:pPr>
        <w:keepNext w:val="0"/>
        <w:keepLines w:val="0"/>
        <w:pageBreakBefore w:val="0"/>
        <w:widowControl/>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14:paraId="439A394C">
      <w:pPr>
        <w:keepNext w:val="0"/>
        <w:keepLines w:val="0"/>
        <w:pageBreakBefore w:val="0"/>
        <w:widowControl/>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14:paraId="205038F2">
      <w:pPr>
        <w:keepNext w:val="0"/>
        <w:keepLines w:val="0"/>
        <w:pageBreakBefore w:val="0"/>
        <w:widowControl/>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14:paraId="29130846">
      <w:pPr>
        <w:keepNext w:val="0"/>
        <w:keepLines w:val="0"/>
        <w:pageBreakBefore w:val="0"/>
        <w:widowControl/>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14:paraId="1C19C059">
      <w:pPr>
        <w:keepNext w:val="0"/>
        <w:keepLines w:val="0"/>
        <w:pageBreakBefore w:val="0"/>
        <w:widowControl/>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14:paraId="0542EAF1">
      <w:pPr>
        <w:keepNext w:val="0"/>
        <w:keepLines w:val="0"/>
        <w:pageBreakBefore w:val="0"/>
        <w:widowControl/>
        <w:kinsoku/>
        <w:wordWrap/>
        <w:overflowPunct/>
        <w:topLinePunct w:val="0"/>
        <w:autoSpaceDE/>
        <w:autoSpaceDN/>
        <w:bidi w:val="0"/>
        <w:adjustRightInd/>
        <w:snapToGrid/>
        <w:spacing w:beforeAutospacing="0" w:afterAutospacing="0"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3CDF118E">
      <w:pPr>
        <w:widowControl/>
        <w:ind w:firstLine="1440" w:firstLineChars="200"/>
        <w:jc w:val="left"/>
        <w:rPr>
          <w:sz w:val="72"/>
          <w:szCs w:val="72"/>
        </w:rPr>
      </w:pPr>
    </w:p>
    <w:p w14:paraId="2061A627">
      <w:pPr>
        <w:pStyle w:val="2"/>
        <w:rPr>
          <w:sz w:val="72"/>
          <w:szCs w:val="72"/>
        </w:rPr>
      </w:pPr>
    </w:p>
    <w:p w14:paraId="764AD360">
      <w:pPr>
        <w:rPr>
          <w:sz w:val="72"/>
          <w:szCs w:val="72"/>
        </w:rPr>
      </w:pPr>
    </w:p>
    <w:p w14:paraId="6637656C">
      <w:pPr>
        <w:pStyle w:val="16"/>
        <w:keepNext w:val="0"/>
        <w:keepLines w:val="0"/>
        <w:pageBreakBefore w:val="0"/>
        <w:widowControl w:val="0"/>
        <w:kinsoku/>
        <w:wordWrap/>
        <w:overflowPunct/>
        <w:topLinePunct w:val="0"/>
        <w:autoSpaceDE w:val="0"/>
        <w:autoSpaceDN w:val="0"/>
        <w:bidi w:val="0"/>
        <w:adjustRightInd w:val="0"/>
        <w:snapToGrid/>
        <w:spacing w:beforeAutospacing="0" w:afterAutospacing="0" w:line="800" w:lineRule="exact"/>
        <w:jc w:val="center"/>
        <w:textAlignment w:val="auto"/>
        <w:rPr>
          <w:rFonts w:hint="eastAsia" w:ascii="方正小标宋_GBK" w:hAnsi="方正小标宋_GBK" w:eastAsia="方正小标宋_GBK" w:cs="方正小标宋_GBK"/>
          <w:sz w:val="72"/>
          <w:szCs w:val="72"/>
        </w:rPr>
      </w:pPr>
    </w:p>
    <w:p w14:paraId="39292C1B">
      <w:pPr>
        <w:pStyle w:val="16"/>
        <w:keepNext w:val="0"/>
        <w:keepLines w:val="0"/>
        <w:pageBreakBefore w:val="0"/>
        <w:widowControl w:val="0"/>
        <w:kinsoku/>
        <w:wordWrap/>
        <w:overflowPunct/>
        <w:topLinePunct w:val="0"/>
        <w:autoSpaceDE w:val="0"/>
        <w:autoSpaceDN w:val="0"/>
        <w:bidi w:val="0"/>
        <w:adjustRightInd w:val="0"/>
        <w:snapToGrid/>
        <w:spacing w:beforeAutospacing="0" w:afterAutospacing="0" w:line="800" w:lineRule="exact"/>
        <w:jc w:val="center"/>
        <w:textAlignment w:val="auto"/>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lang w:eastAsia="zh-CN"/>
        </w:rPr>
        <w:t>附</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lang w:eastAsia="zh-CN"/>
        </w:rPr>
        <w:t>件</w:t>
      </w:r>
    </w:p>
    <w:p w14:paraId="6936260C">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42490298">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部门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整体支出绩效自评报告。</w:t>
      </w:r>
    </w:p>
    <w:p w14:paraId="2B41CCF2">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0ECB2E1F">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6FCD764A">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284B765B">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40B011DE">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560CE4E1">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40B448F6">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060C1C88">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6A216754">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3434381F">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03ACE66A">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52BAA50B">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178C5A3D">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486EE892">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560F716D">
      <w:pPr>
        <w:widowControl/>
        <w:jc w:val="center"/>
        <w:rPr>
          <w:rFonts w:hint="eastAsia" w:ascii="黑体" w:hAnsi="黑体" w:eastAsia="黑体" w:cs="黑体"/>
          <w:b/>
          <w:bCs/>
          <w:color w:val="000000" w:themeColor="text1"/>
          <w:kern w:val="0"/>
          <w:sz w:val="36"/>
          <w:szCs w:val="36"/>
          <w:lang w:eastAsia="zh-CN"/>
          <w14:textFill>
            <w14:solidFill>
              <w14:schemeClr w14:val="tx1"/>
            </w14:solidFill>
          </w14:textFill>
        </w:rPr>
      </w:pPr>
    </w:p>
    <w:p w14:paraId="12230E57">
      <w:pPr>
        <w:widowControl/>
        <w:jc w:val="center"/>
        <w:rPr>
          <w:rFonts w:hint="eastAsia" w:ascii="黑体" w:hAnsi="黑体" w:eastAsia="黑体" w:cs="黑体"/>
          <w:b/>
          <w:bCs/>
          <w:color w:val="000000" w:themeColor="text1"/>
          <w:sz w:val="36"/>
          <w:szCs w:val="36"/>
          <w14:textFill>
            <w14:solidFill>
              <w14:schemeClr w14:val="tx1"/>
            </w14:solidFill>
          </w14:textFill>
        </w:rPr>
      </w:pPr>
      <w:r>
        <w:rPr>
          <w:rFonts w:hint="eastAsia" w:ascii="黑体" w:hAnsi="黑体" w:eastAsia="黑体" w:cs="黑体"/>
          <w:b/>
          <w:bCs/>
          <w:color w:val="000000" w:themeColor="text1"/>
          <w:kern w:val="0"/>
          <w:sz w:val="36"/>
          <w:szCs w:val="36"/>
          <w:lang w:eastAsia="zh-CN"/>
          <w14:textFill>
            <w14:solidFill>
              <w14:schemeClr w14:val="tx1"/>
            </w14:solidFill>
          </w14:textFill>
        </w:rPr>
        <w:t>2025年度永州市地震局</w:t>
      </w:r>
      <w:r>
        <w:rPr>
          <w:rFonts w:hint="eastAsia" w:ascii="黑体" w:hAnsi="黑体" w:eastAsia="黑体" w:cs="黑体"/>
          <w:b/>
          <w:bCs/>
          <w:color w:val="000000" w:themeColor="text1"/>
          <w:sz w:val="36"/>
          <w:szCs w:val="36"/>
          <w14:textFill>
            <w14:solidFill>
              <w14:schemeClr w14:val="tx1"/>
            </w14:solidFill>
          </w14:textFill>
        </w:rPr>
        <w:t>部门整体支出</w:t>
      </w:r>
    </w:p>
    <w:p w14:paraId="4E2C4A66">
      <w:pPr>
        <w:pStyle w:val="2"/>
        <w:jc w:val="center"/>
        <w:rPr>
          <w:rFonts w:hint="eastAsia" w:ascii="黑体" w:hAnsi="黑体" w:eastAsia="黑体" w:cs="黑体"/>
          <w:b/>
          <w:bCs/>
          <w:color w:val="000000" w:themeColor="text1"/>
          <w:sz w:val="36"/>
          <w:szCs w:val="36"/>
          <w14:textFill>
            <w14:solidFill>
              <w14:schemeClr w14:val="tx1"/>
            </w14:solidFill>
          </w14:textFill>
        </w:rPr>
      </w:pPr>
      <w:r>
        <w:rPr>
          <w:rFonts w:hint="eastAsia" w:ascii="黑体" w:hAnsi="黑体" w:eastAsia="黑体" w:cs="黑体"/>
          <w:b/>
          <w:bCs/>
          <w:color w:val="000000" w:themeColor="text1"/>
          <w:sz w:val="36"/>
          <w:szCs w:val="36"/>
          <w14:textFill>
            <w14:solidFill>
              <w14:schemeClr w14:val="tx1"/>
            </w14:solidFill>
          </w14:textFill>
        </w:rPr>
        <w:t>绩效自评报告</w:t>
      </w:r>
    </w:p>
    <w:p w14:paraId="0D40E701">
      <w:pPr>
        <w:spacing w:line="560" w:lineRule="exact"/>
        <w:ind w:firstLine="600" w:firstLineChars="200"/>
        <w:rPr>
          <w:rFonts w:ascii="仿宋" w:hAnsi="仿宋" w:eastAsia="仿宋" w:cs="仿宋"/>
          <w:b/>
          <w:sz w:val="30"/>
          <w:szCs w:val="30"/>
        </w:rPr>
      </w:pPr>
      <w:bookmarkStart w:id="0" w:name="YS060101"/>
      <w:r>
        <w:rPr>
          <w:rFonts w:hint="eastAsia" w:ascii="仿宋" w:hAnsi="仿宋" w:eastAsia="仿宋" w:cs="仿宋"/>
          <w:b/>
          <w:sz w:val="30"/>
          <w:szCs w:val="30"/>
        </w:rPr>
        <w:t>一、部门（单位）基本情况</w:t>
      </w:r>
    </w:p>
    <w:bookmarkEnd w:id="0"/>
    <w:p w14:paraId="6358A6AC">
      <w:pPr>
        <w:widowControl/>
        <w:spacing w:line="600" w:lineRule="exact"/>
        <w:ind w:firstLine="588" w:firstLineChars="196"/>
        <w:rPr>
          <w:rFonts w:ascii="仿宋" w:hAnsi="仿宋" w:eastAsia="仿宋" w:cs="仿宋"/>
          <w:b/>
          <w:bCs/>
          <w:sz w:val="30"/>
          <w:szCs w:val="30"/>
        </w:rPr>
      </w:pPr>
      <w:r>
        <w:rPr>
          <w:rFonts w:hint="eastAsia" w:ascii="仿宋" w:hAnsi="仿宋" w:eastAsia="仿宋" w:cs="仿宋"/>
          <w:b/>
          <w:bCs/>
          <w:sz w:val="30"/>
          <w:szCs w:val="30"/>
          <w:lang w:eastAsia="zh-CN"/>
        </w:rPr>
        <w:t>（一）</w:t>
      </w:r>
      <w:r>
        <w:rPr>
          <w:rFonts w:hint="eastAsia" w:ascii="仿宋" w:hAnsi="仿宋" w:eastAsia="仿宋" w:cs="仿宋"/>
          <w:b/>
          <w:bCs/>
          <w:sz w:val="30"/>
          <w:szCs w:val="30"/>
        </w:rPr>
        <w:t>职能职责、机构编制、人员构成情况</w:t>
      </w:r>
    </w:p>
    <w:p w14:paraId="6FA338EA">
      <w:pPr>
        <w:widowControl/>
        <w:spacing w:line="600" w:lineRule="exact"/>
        <w:ind w:firstLine="588" w:firstLineChars="196"/>
        <w:rPr>
          <w:rFonts w:ascii="仿宋" w:hAnsi="仿宋" w:eastAsia="仿宋" w:cs="仿宋"/>
          <w:sz w:val="30"/>
          <w:szCs w:val="30"/>
        </w:rPr>
      </w:pPr>
      <w:r>
        <w:rPr>
          <w:rFonts w:hint="eastAsia" w:ascii="仿宋" w:hAnsi="仿宋" w:eastAsia="仿宋" w:cs="仿宋"/>
          <w:sz w:val="30"/>
          <w:szCs w:val="30"/>
          <w:lang w:eastAsia="zh-CN"/>
        </w:rPr>
        <w:t>1.</w:t>
      </w:r>
      <w:r>
        <w:rPr>
          <w:rFonts w:hint="eastAsia" w:ascii="仿宋" w:hAnsi="仿宋" w:eastAsia="仿宋" w:cs="仿宋"/>
          <w:sz w:val="30"/>
          <w:szCs w:val="30"/>
        </w:rPr>
        <w:t>职能职责情况。组织编制全市防震减灾规划和年度计划；起草全市防震减灾规范性文件并组织实施，监督管理全市的防震减灾工作；建立健全地震监测预报、地震灾害预防、地震应急三大工作体系；维护和保障地震台站、台网安全运行；开展防震减灾科普宣传；负责建设工程抗震设防要求和工程场地地震安全性评价管理工作；组织编制地震应急预案；负责地震震情、灾情上报；负责防震减灾法制工作，承担地震行政复议、行政应诉工作；推进地震科技现代化，组织开展地震科技研究、交流和推广。</w:t>
      </w:r>
    </w:p>
    <w:p w14:paraId="381DF0B0">
      <w:pPr>
        <w:widowControl/>
        <w:spacing w:line="600" w:lineRule="exact"/>
        <w:ind w:firstLine="588" w:firstLineChars="196"/>
        <w:rPr>
          <w:rFonts w:ascii="仿宋" w:hAnsi="仿宋" w:eastAsia="仿宋" w:cs="仿宋"/>
          <w:sz w:val="30"/>
          <w:szCs w:val="30"/>
        </w:rPr>
      </w:pPr>
      <w:r>
        <w:rPr>
          <w:rFonts w:hint="eastAsia" w:ascii="仿宋" w:hAnsi="仿宋" w:eastAsia="仿宋" w:cs="仿宋"/>
          <w:sz w:val="30"/>
          <w:szCs w:val="30"/>
          <w:lang w:eastAsia="zh-CN"/>
        </w:rPr>
        <w:t>2.</w:t>
      </w:r>
      <w:r>
        <w:rPr>
          <w:rFonts w:hint="eastAsia" w:ascii="仿宋" w:hAnsi="仿宋" w:eastAsia="仿宋" w:cs="仿宋"/>
          <w:sz w:val="30"/>
          <w:szCs w:val="30"/>
        </w:rPr>
        <w:t>机构编制、人员构成情况。根据编委核定，永州市地震局内设科室2个，所属事业单位 0 个，内设机构为办公室（应急科）和地震监测防御科。</w:t>
      </w:r>
    </w:p>
    <w:p w14:paraId="201370F3">
      <w:pPr>
        <w:spacing w:line="560" w:lineRule="exact"/>
        <w:ind w:firstLine="600" w:firstLineChars="200"/>
        <w:rPr>
          <w:rFonts w:ascii="仿宋" w:hAnsi="仿宋" w:eastAsia="仿宋" w:cs="仿宋"/>
          <w:b/>
          <w:bCs/>
          <w:sz w:val="30"/>
          <w:szCs w:val="30"/>
        </w:rPr>
      </w:pPr>
      <w:r>
        <w:rPr>
          <w:rFonts w:hint="eastAsia" w:ascii="仿宋" w:hAnsi="仿宋" w:eastAsia="仿宋" w:cs="仿宋"/>
          <w:b/>
          <w:bCs/>
          <w:sz w:val="30"/>
          <w:szCs w:val="30"/>
        </w:rPr>
        <w:t>（二）部门（单位）整体支出规模、使用方向和主要内容、涉及范围</w:t>
      </w:r>
    </w:p>
    <w:p w14:paraId="6C4A4495">
      <w:pPr>
        <w:spacing w:line="560" w:lineRule="exact"/>
        <w:ind w:firstLine="600" w:firstLineChars="200"/>
        <w:rPr>
          <w:rFonts w:ascii="仿宋" w:hAnsi="仿宋" w:eastAsia="仿宋" w:cs="仿宋"/>
          <w:b/>
          <w:bCs/>
          <w:sz w:val="30"/>
          <w:szCs w:val="30"/>
        </w:rPr>
      </w:pPr>
      <w:r>
        <w:rPr>
          <w:rFonts w:hint="eastAsia" w:ascii="仿宋" w:hAnsi="仿宋" w:eastAsia="仿宋" w:cs="仿宋"/>
          <w:sz w:val="30"/>
          <w:szCs w:val="30"/>
        </w:rPr>
        <w:t>2025年，本单位全年总收入为</w:t>
      </w:r>
      <w:r>
        <w:rPr>
          <w:rFonts w:hint="eastAsia" w:ascii="仿宋" w:hAnsi="仿宋" w:eastAsia="仿宋" w:cs="仿宋"/>
          <w:sz w:val="32"/>
          <w:szCs w:val="32"/>
        </w:rPr>
        <w:t>182.70</w:t>
      </w:r>
      <w:r>
        <w:rPr>
          <w:rFonts w:hint="eastAsia" w:ascii="仿宋" w:hAnsi="仿宋" w:eastAsia="仿宋" w:cs="仿宋"/>
          <w:sz w:val="30"/>
          <w:szCs w:val="30"/>
        </w:rPr>
        <w:t>万元，其中：财政拨款收入</w:t>
      </w:r>
      <w:r>
        <w:rPr>
          <w:rFonts w:hint="eastAsia" w:ascii="仿宋" w:hAnsi="仿宋" w:eastAsia="仿宋" w:cs="仿宋"/>
          <w:sz w:val="32"/>
          <w:szCs w:val="32"/>
        </w:rPr>
        <w:t>182.70</w:t>
      </w:r>
      <w:r>
        <w:rPr>
          <w:rFonts w:hint="eastAsia" w:ascii="仿宋" w:hAnsi="仿宋" w:eastAsia="仿宋" w:cs="仿宋"/>
          <w:sz w:val="30"/>
          <w:szCs w:val="30"/>
        </w:rPr>
        <w:t>万元；本年总支出</w:t>
      </w:r>
      <w:r>
        <w:rPr>
          <w:rFonts w:hint="eastAsia" w:ascii="仿宋" w:hAnsi="仿宋" w:eastAsia="仿宋" w:cs="仿宋"/>
          <w:sz w:val="32"/>
          <w:szCs w:val="32"/>
        </w:rPr>
        <w:t>182.70</w:t>
      </w:r>
      <w:r>
        <w:rPr>
          <w:rFonts w:hint="eastAsia" w:ascii="仿宋" w:hAnsi="仿宋" w:eastAsia="仿宋" w:cs="仿宋"/>
          <w:sz w:val="30"/>
          <w:szCs w:val="30"/>
        </w:rPr>
        <w:t>万元，其中：基本支出</w:t>
      </w:r>
      <w:r>
        <w:rPr>
          <w:rFonts w:hint="eastAsia" w:ascii="仿宋" w:hAnsi="仿宋" w:eastAsia="仿宋" w:cs="仿宋"/>
          <w:sz w:val="32"/>
          <w:szCs w:val="32"/>
        </w:rPr>
        <w:t>166.76</w:t>
      </w:r>
      <w:r>
        <w:rPr>
          <w:rFonts w:hint="eastAsia" w:ascii="仿宋" w:hAnsi="仿宋" w:eastAsia="仿宋" w:cs="仿宋"/>
          <w:sz w:val="30"/>
          <w:szCs w:val="30"/>
        </w:rPr>
        <w:t>万元，项目支出</w:t>
      </w:r>
      <w:r>
        <w:rPr>
          <w:rFonts w:hint="eastAsia" w:ascii="仿宋" w:hAnsi="仿宋" w:eastAsia="仿宋" w:cs="仿宋"/>
          <w:sz w:val="32"/>
          <w:szCs w:val="32"/>
        </w:rPr>
        <w:t>15.94</w:t>
      </w:r>
      <w:r>
        <w:rPr>
          <w:rFonts w:hint="eastAsia" w:ascii="仿宋" w:hAnsi="仿宋" w:eastAsia="仿宋" w:cs="仿宋"/>
          <w:sz w:val="30"/>
          <w:szCs w:val="30"/>
        </w:rPr>
        <w:t>万元，本年无结余。本单位部门预算整体支出的主要内容及方向：一是保障单位正常运转及人员工资正常发放等支出，全年人员经费支出</w:t>
      </w:r>
      <w:r>
        <w:rPr>
          <w:rFonts w:hint="eastAsia" w:ascii="仿宋" w:hAnsi="仿宋" w:eastAsia="仿宋" w:cs="仿宋"/>
          <w:sz w:val="32"/>
          <w:szCs w:val="32"/>
        </w:rPr>
        <w:t>140.78</w:t>
      </w:r>
      <w:r>
        <w:rPr>
          <w:rFonts w:hint="eastAsia" w:ascii="仿宋" w:hAnsi="仿宋" w:eastAsia="仿宋" w:cs="仿宋"/>
          <w:sz w:val="30"/>
          <w:szCs w:val="30"/>
        </w:rPr>
        <w:t>万元，公用经费支出</w:t>
      </w:r>
      <w:r>
        <w:rPr>
          <w:rFonts w:hint="eastAsia" w:ascii="仿宋" w:hAnsi="仿宋" w:eastAsia="仿宋" w:cs="仿宋"/>
          <w:sz w:val="32"/>
          <w:szCs w:val="32"/>
        </w:rPr>
        <w:t>25.97</w:t>
      </w:r>
      <w:r>
        <w:rPr>
          <w:rFonts w:hint="eastAsia" w:ascii="仿宋" w:hAnsi="仿宋" w:eastAsia="仿宋" w:cs="仿宋"/>
          <w:sz w:val="30"/>
          <w:szCs w:val="30"/>
        </w:rPr>
        <w:t>万元；二是严格按照规定使用的项目资金，包括湘财企指</w:t>
      </w:r>
      <w:r>
        <w:rPr>
          <w:rFonts w:hint="eastAsia" w:ascii="仿宋" w:hAnsi="仿宋" w:eastAsia="仿宋" w:cs="仿宋"/>
          <w:sz w:val="30"/>
          <w:szCs w:val="30"/>
          <w:lang w:eastAsia="zh-CN"/>
        </w:rPr>
        <w:t>〔2025〕44号</w:t>
      </w:r>
      <w:r>
        <w:rPr>
          <w:rFonts w:hint="eastAsia" w:ascii="仿宋" w:hAnsi="仿宋" w:eastAsia="仿宋" w:cs="仿宋"/>
          <w:sz w:val="30"/>
          <w:szCs w:val="30"/>
        </w:rPr>
        <w:t>文件安排的地震台运维专项经费，全年项目资金支出15.94万元，其中市本级安排的防震减灾基础管理专项经费0万元。</w:t>
      </w:r>
    </w:p>
    <w:p w14:paraId="3F82D92E">
      <w:pPr>
        <w:spacing w:line="560" w:lineRule="exact"/>
        <w:ind w:firstLine="600" w:firstLineChars="200"/>
        <w:rPr>
          <w:rFonts w:ascii="仿宋" w:hAnsi="仿宋" w:eastAsia="仿宋" w:cs="仿宋"/>
          <w:b/>
          <w:bCs/>
          <w:sz w:val="30"/>
          <w:szCs w:val="30"/>
        </w:rPr>
      </w:pPr>
      <w:r>
        <w:rPr>
          <w:rFonts w:hint="eastAsia" w:ascii="仿宋" w:hAnsi="仿宋" w:eastAsia="仿宋" w:cs="仿宋"/>
          <w:b/>
          <w:bCs/>
          <w:sz w:val="30"/>
          <w:szCs w:val="30"/>
        </w:rPr>
        <w:t>二、一般公共预算支出情况</w:t>
      </w:r>
    </w:p>
    <w:p w14:paraId="651A78DA">
      <w:pPr>
        <w:spacing w:line="560" w:lineRule="exact"/>
        <w:ind w:firstLine="600" w:firstLineChars="200"/>
        <w:rPr>
          <w:rFonts w:ascii="仿宋" w:hAnsi="仿宋" w:eastAsia="仿宋" w:cs="仿宋"/>
          <w:b/>
          <w:bCs/>
          <w:sz w:val="30"/>
          <w:szCs w:val="30"/>
        </w:rPr>
      </w:pPr>
      <w:r>
        <w:rPr>
          <w:rFonts w:hint="eastAsia" w:ascii="仿宋" w:hAnsi="仿宋" w:eastAsia="仿宋" w:cs="仿宋"/>
          <w:b/>
          <w:bCs/>
          <w:sz w:val="30"/>
          <w:szCs w:val="30"/>
        </w:rPr>
        <w:t>（一）基本支出情况</w:t>
      </w:r>
    </w:p>
    <w:p w14:paraId="033AA322">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2025年度财政拨款基本支出</w:t>
      </w:r>
      <w:r>
        <w:rPr>
          <w:rFonts w:hint="eastAsia" w:ascii="仿宋" w:hAnsi="仿宋" w:eastAsia="仿宋" w:cs="仿宋"/>
          <w:sz w:val="32"/>
          <w:szCs w:val="32"/>
        </w:rPr>
        <w:t>166.76</w:t>
      </w:r>
      <w:r>
        <w:rPr>
          <w:rFonts w:hint="eastAsia" w:ascii="仿宋" w:hAnsi="仿宋" w:eastAsia="仿宋" w:cs="仿宋"/>
          <w:sz w:val="30"/>
          <w:szCs w:val="30"/>
        </w:rPr>
        <w:t>万元，其中：人员经费</w:t>
      </w:r>
      <w:r>
        <w:rPr>
          <w:rFonts w:hint="eastAsia" w:ascii="仿宋" w:hAnsi="仿宋" w:eastAsia="仿宋" w:cs="仿宋"/>
          <w:sz w:val="32"/>
          <w:szCs w:val="32"/>
        </w:rPr>
        <w:t>140.78</w:t>
      </w:r>
      <w:r>
        <w:rPr>
          <w:rFonts w:hint="eastAsia" w:ascii="仿宋" w:hAnsi="仿宋" w:eastAsia="仿宋" w:cs="仿宋"/>
          <w:sz w:val="30"/>
          <w:szCs w:val="30"/>
        </w:rPr>
        <w:t>万元，占基本支出的84.42%</w:t>
      </w:r>
      <w:r>
        <w:rPr>
          <w:rFonts w:hint="eastAsia" w:ascii="仿宋" w:hAnsi="仿宋" w:eastAsia="仿宋" w:cs="仿宋"/>
          <w:sz w:val="30"/>
          <w:szCs w:val="30"/>
          <w:lang w:eastAsia="zh-CN"/>
        </w:rPr>
        <w:t>，</w:t>
      </w:r>
      <w:r>
        <w:rPr>
          <w:rFonts w:hint="eastAsia" w:ascii="仿宋" w:hAnsi="仿宋" w:eastAsia="仿宋" w:cs="仿宋"/>
          <w:sz w:val="30"/>
          <w:szCs w:val="30"/>
        </w:rPr>
        <w:t>主要包括基本工资、津贴补贴、奖金、绩效工资、机关事业单位基本养老保险缴费、职业年金缴费、职工基本医疗保险缴费、公务员医疗补助缴费、其他社会保障缴费、住房公积金、医疗费、其他工资福利支出；公用经费</w:t>
      </w:r>
      <w:r>
        <w:rPr>
          <w:rFonts w:hint="eastAsia" w:ascii="仿宋" w:hAnsi="仿宋" w:eastAsia="仿宋" w:cs="仿宋"/>
          <w:sz w:val="32"/>
          <w:szCs w:val="32"/>
        </w:rPr>
        <w:t>25.97</w:t>
      </w:r>
      <w:r>
        <w:rPr>
          <w:rFonts w:hint="eastAsia" w:ascii="仿宋" w:hAnsi="仿宋" w:eastAsia="仿宋" w:cs="仿宋"/>
          <w:sz w:val="30"/>
          <w:szCs w:val="30"/>
        </w:rPr>
        <w:t>万元，占基本支出的15.58%，主要包括办公费、印刷费、电费、邮电费、差旅费、维修（护）费、会议费、培训费、公务接待费、劳务费、委托业务费、工会经费、福利费、其他交通费用、其他商品和服务支出。</w:t>
      </w:r>
    </w:p>
    <w:p w14:paraId="550BBDA3">
      <w:pPr>
        <w:spacing w:line="500" w:lineRule="exact"/>
        <w:ind w:firstLine="600" w:firstLineChars="200"/>
        <w:rPr>
          <w:rFonts w:ascii="仿宋" w:hAnsi="仿宋" w:eastAsia="仿宋" w:cs="仿宋"/>
          <w:bCs/>
          <w:sz w:val="30"/>
          <w:szCs w:val="30"/>
        </w:rPr>
      </w:pPr>
      <w:r>
        <w:rPr>
          <w:rFonts w:hint="eastAsia" w:ascii="仿宋" w:hAnsi="仿宋" w:eastAsia="仿宋" w:cs="仿宋"/>
          <w:sz w:val="30"/>
          <w:szCs w:val="30"/>
        </w:rPr>
        <w:t>2025年度，基本支出较预算数132.53万元增加34.23万元，预算调增基本支出的主要原因是政策性增资，调减后预算执行率为100%。基本支出</w:t>
      </w:r>
      <w:bookmarkStart w:id="1" w:name="OLE_LINK4"/>
      <w:bookmarkStart w:id="2" w:name="OLE_LINK5"/>
      <w:r>
        <w:rPr>
          <w:rFonts w:hint="eastAsia" w:ascii="仿宋" w:hAnsi="仿宋" w:eastAsia="仿宋" w:cs="仿宋"/>
          <w:sz w:val="30"/>
          <w:szCs w:val="30"/>
        </w:rPr>
        <w:t>较好地控制在预算额度内。</w:t>
      </w:r>
      <w:bookmarkEnd w:id="1"/>
      <w:bookmarkEnd w:id="2"/>
    </w:p>
    <w:p w14:paraId="04BF2B06">
      <w:pPr>
        <w:spacing w:line="560" w:lineRule="exact"/>
        <w:ind w:firstLine="600" w:firstLineChars="200"/>
        <w:rPr>
          <w:rFonts w:ascii="仿宋" w:hAnsi="仿宋" w:eastAsia="仿宋" w:cs="仿宋"/>
          <w:b/>
          <w:bCs/>
          <w:sz w:val="30"/>
          <w:szCs w:val="30"/>
        </w:rPr>
      </w:pPr>
      <w:r>
        <w:rPr>
          <w:rFonts w:hint="eastAsia" w:ascii="仿宋" w:hAnsi="仿宋" w:eastAsia="仿宋" w:cs="仿宋"/>
          <w:b/>
          <w:bCs/>
          <w:sz w:val="30"/>
          <w:szCs w:val="30"/>
        </w:rPr>
        <w:t>（二）项目支出情况</w:t>
      </w:r>
    </w:p>
    <w:p w14:paraId="1B04E795">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1.</w:t>
      </w:r>
      <w:r>
        <w:rPr>
          <w:rFonts w:hint="eastAsia" w:ascii="仿宋" w:hAnsi="仿宋" w:eastAsia="仿宋" w:cs="仿宋"/>
          <w:sz w:val="30"/>
          <w:szCs w:val="30"/>
        </w:rPr>
        <w:t>专项资金安排落实、总投入等情况分析</w:t>
      </w:r>
    </w:p>
    <w:p w14:paraId="714217F2">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2025年市财政年初预算安排专项资金0万元，实际落实15.94万元，年中追加省级投入地震监测专项资金15.94万元，全年专项资金总投入15.94万元。</w:t>
      </w:r>
    </w:p>
    <w:p w14:paraId="05BBF79F">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2.</w:t>
      </w:r>
      <w:r>
        <w:rPr>
          <w:rFonts w:hint="eastAsia" w:ascii="仿宋" w:hAnsi="仿宋" w:eastAsia="仿宋" w:cs="仿宋"/>
          <w:sz w:val="30"/>
          <w:szCs w:val="30"/>
        </w:rPr>
        <w:t>专项资金实际使用情况分析</w:t>
      </w:r>
    </w:p>
    <w:p w14:paraId="1BACD707">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2025年实际使用专项资金15.94万元，</w:t>
      </w:r>
      <w:r>
        <w:rPr>
          <w:rFonts w:hint="eastAsia" w:ascii="仿宋" w:hAnsi="仿宋" w:eastAsia="仿宋" w:cs="仿宋"/>
          <w:sz w:val="30"/>
          <w:szCs w:val="30"/>
          <w:lang w:eastAsia="zh-CN"/>
        </w:rPr>
        <w:t>主要用于地震</w:t>
      </w:r>
      <w:r>
        <w:rPr>
          <w:rFonts w:hint="eastAsia" w:ascii="仿宋" w:hAnsi="仿宋" w:eastAsia="仿宋" w:cs="仿宋"/>
          <w:sz w:val="30"/>
          <w:szCs w:val="30"/>
        </w:rPr>
        <w:t>监测</w:t>
      </w:r>
      <w:r>
        <w:rPr>
          <w:rFonts w:hint="eastAsia" w:ascii="仿宋" w:hAnsi="仿宋" w:eastAsia="仿宋" w:cs="仿宋"/>
          <w:sz w:val="30"/>
          <w:szCs w:val="30"/>
          <w:lang w:eastAsia="zh-CN"/>
        </w:rPr>
        <w:t>，如</w:t>
      </w:r>
      <w:r>
        <w:rPr>
          <w:rFonts w:hint="eastAsia" w:ascii="仿宋" w:hAnsi="仿宋" w:eastAsia="仿宋" w:cs="仿宋"/>
          <w:sz w:val="30"/>
          <w:szCs w:val="30"/>
        </w:rPr>
        <w:t>地震台站、台网修缮、仪器维护、数据网络传输、软件建设维护、安保</w:t>
      </w:r>
      <w:r>
        <w:rPr>
          <w:rFonts w:hint="eastAsia" w:ascii="仿宋" w:hAnsi="仿宋" w:eastAsia="仿宋" w:cs="仿宋"/>
          <w:sz w:val="30"/>
          <w:szCs w:val="30"/>
          <w:lang w:eastAsia="zh-CN"/>
        </w:rPr>
        <w:t>等</w:t>
      </w:r>
      <w:r>
        <w:rPr>
          <w:rFonts w:hint="eastAsia" w:ascii="仿宋" w:hAnsi="仿宋" w:eastAsia="仿宋" w:cs="仿宋"/>
          <w:sz w:val="30"/>
          <w:szCs w:val="30"/>
        </w:rPr>
        <w:t>。</w:t>
      </w:r>
    </w:p>
    <w:p w14:paraId="3202EF74">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2025年专项资金实际使用经济分类情况（单位</w:t>
      </w:r>
      <w:r>
        <w:rPr>
          <w:rFonts w:hint="eastAsia" w:ascii="仿宋" w:hAnsi="仿宋" w:eastAsia="仿宋" w:cs="仿宋"/>
          <w:sz w:val="30"/>
          <w:szCs w:val="30"/>
          <w:lang w:eastAsia="zh-CN"/>
        </w:rPr>
        <w:t>：</w:t>
      </w:r>
      <w:r>
        <w:rPr>
          <w:rFonts w:hint="eastAsia" w:ascii="仿宋" w:hAnsi="仿宋" w:eastAsia="仿宋" w:cs="仿宋"/>
          <w:sz w:val="30"/>
          <w:szCs w:val="30"/>
        </w:rPr>
        <w:t>万元）</w:t>
      </w:r>
    </w:p>
    <w:tbl>
      <w:tblPr>
        <w:tblStyle w:val="11"/>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0"/>
        <w:gridCol w:w="2960"/>
        <w:gridCol w:w="2960"/>
      </w:tblGrid>
      <w:tr w14:paraId="1C3A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2960" w:type="dxa"/>
            <w:tcBorders>
              <w:top w:val="single" w:color="auto" w:sz="12" w:space="0"/>
              <w:left w:val="nil"/>
              <w:bottom w:val="dotted" w:color="auto" w:sz="4" w:space="0"/>
              <w:right w:val="dotted" w:color="auto" w:sz="4" w:space="0"/>
            </w:tcBorders>
          </w:tcPr>
          <w:p w14:paraId="6A298BFD">
            <w:pPr>
              <w:pStyle w:val="9"/>
              <w:spacing w:beforeAutospacing="0" w:line="360" w:lineRule="atLeast"/>
              <w:jc w:val="center"/>
              <w:rPr>
                <w:rFonts w:ascii="仿宋" w:hAnsi="仿宋" w:eastAsia="仿宋" w:cs="仿宋"/>
                <w:b/>
                <w:bCs/>
                <w:kern w:val="2"/>
                <w:sz w:val="21"/>
                <w:szCs w:val="21"/>
              </w:rPr>
            </w:pPr>
            <w:r>
              <w:rPr>
                <w:rFonts w:hint="eastAsia" w:ascii="仿宋" w:hAnsi="仿宋" w:eastAsia="仿宋" w:cs="仿宋"/>
                <w:b/>
                <w:bCs/>
                <w:kern w:val="2"/>
                <w:sz w:val="21"/>
                <w:szCs w:val="21"/>
              </w:rPr>
              <w:t>经济分类项目</w:t>
            </w:r>
          </w:p>
        </w:tc>
        <w:tc>
          <w:tcPr>
            <w:tcW w:w="2960" w:type="dxa"/>
            <w:tcBorders>
              <w:top w:val="single" w:color="auto" w:sz="12" w:space="0"/>
              <w:left w:val="dotted" w:color="auto" w:sz="4" w:space="0"/>
              <w:bottom w:val="dotted" w:color="auto" w:sz="4" w:space="0"/>
              <w:right w:val="dotted" w:color="auto" w:sz="4" w:space="0"/>
            </w:tcBorders>
          </w:tcPr>
          <w:p w14:paraId="111A8C5E">
            <w:pPr>
              <w:pStyle w:val="9"/>
              <w:spacing w:beforeAutospacing="0" w:line="360" w:lineRule="atLeast"/>
              <w:jc w:val="center"/>
              <w:rPr>
                <w:rFonts w:ascii="仿宋" w:hAnsi="仿宋" w:eastAsia="仿宋" w:cs="仿宋"/>
                <w:b/>
                <w:bCs/>
                <w:kern w:val="2"/>
                <w:sz w:val="21"/>
                <w:szCs w:val="21"/>
              </w:rPr>
            </w:pPr>
            <w:r>
              <w:rPr>
                <w:rFonts w:hint="eastAsia" w:ascii="仿宋" w:hAnsi="仿宋" w:eastAsia="仿宋" w:cs="仿宋"/>
                <w:b/>
                <w:bCs/>
                <w:kern w:val="2"/>
                <w:sz w:val="21"/>
                <w:szCs w:val="21"/>
              </w:rPr>
              <w:t>本年决算金额</w:t>
            </w:r>
          </w:p>
        </w:tc>
        <w:tc>
          <w:tcPr>
            <w:tcW w:w="2960" w:type="dxa"/>
            <w:tcBorders>
              <w:top w:val="single" w:color="auto" w:sz="12" w:space="0"/>
              <w:left w:val="dotted" w:color="auto" w:sz="4" w:space="0"/>
              <w:bottom w:val="dotted" w:color="auto" w:sz="4" w:space="0"/>
              <w:right w:val="nil"/>
            </w:tcBorders>
          </w:tcPr>
          <w:p w14:paraId="60B77932">
            <w:pPr>
              <w:pStyle w:val="9"/>
              <w:spacing w:beforeAutospacing="0" w:line="360" w:lineRule="atLeast"/>
              <w:jc w:val="center"/>
              <w:rPr>
                <w:rFonts w:ascii="仿宋" w:hAnsi="仿宋" w:eastAsia="仿宋" w:cs="仿宋"/>
                <w:b/>
                <w:bCs/>
                <w:kern w:val="2"/>
                <w:sz w:val="21"/>
                <w:szCs w:val="21"/>
              </w:rPr>
            </w:pPr>
            <w:r>
              <w:rPr>
                <w:rFonts w:hint="eastAsia" w:ascii="仿宋" w:hAnsi="仿宋" w:eastAsia="仿宋" w:cs="仿宋"/>
                <w:b/>
                <w:bCs/>
                <w:kern w:val="2"/>
                <w:sz w:val="21"/>
                <w:szCs w:val="21"/>
              </w:rPr>
              <w:t>备  注</w:t>
            </w:r>
          </w:p>
        </w:tc>
      </w:tr>
      <w:tr w14:paraId="4D5E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20F5AF01">
            <w:pPr>
              <w:spacing w:line="500" w:lineRule="exact"/>
              <w:jc w:val="center"/>
              <w:rPr>
                <w:rFonts w:ascii="仿宋" w:hAnsi="仿宋" w:eastAsia="仿宋" w:cs="仿宋"/>
              </w:rPr>
            </w:pPr>
            <w:r>
              <w:rPr>
                <w:rFonts w:hint="eastAsia" w:ascii="仿宋" w:hAnsi="仿宋" w:eastAsia="仿宋" w:cs="仿宋"/>
              </w:rPr>
              <w:t>印刷费</w:t>
            </w:r>
          </w:p>
        </w:tc>
        <w:tc>
          <w:tcPr>
            <w:tcW w:w="2960" w:type="dxa"/>
            <w:tcBorders>
              <w:top w:val="dotted" w:color="auto" w:sz="4" w:space="0"/>
              <w:left w:val="dotted" w:color="auto" w:sz="4" w:space="0"/>
              <w:bottom w:val="dotted" w:color="auto" w:sz="4" w:space="0"/>
              <w:right w:val="dotted" w:color="auto" w:sz="4" w:space="0"/>
            </w:tcBorders>
          </w:tcPr>
          <w:p w14:paraId="1FA3CD87">
            <w:pPr>
              <w:spacing w:line="500" w:lineRule="exact"/>
              <w:jc w:val="center"/>
              <w:rPr>
                <w:rFonts w:ascii="仿宋" w:hAnsi="仿宋" w:eastAsia="仿宋" w:cs="仿宋"/>
              </w:rPr>
            </w:pPr>
            <w:r>
              <w:rPr>
                <w:rFonts w:hint="eastAsia" w:ascii="仿宋" w:hAnsi="仿宋" w:eastAsia="仿宋" w:cs="仿宋"/>
              </w:rPr>
              <w:t>0.03</w:t>
            </w:r>
          </w:p>
        </w:tc>
        <w:tc>
          <w:tcPr>
            <w:tcW w:w="2960" w:type="dxa"/>
            <w:tcBorders>
              <w:top w:val="dotted" w:color="auto" w:sz="4" w:space="0"/>
              <w:left w:val="dotted" w:color="auto" w:sz="4" w:space="0"/>
              <w:bottom w:val="dotted" w:color="auto" w:sz="4" w:space="0"/>
              <w:right w:val="nil"/>
            </w:tcBorders>
          </w:tcPr>
          <w:p w14:paraId="3B9029DE">
            <w:pPr>
              <w:spacing w:line="500" w:lineRule="exact"/>
              <w:jc w:val="center"/>
              <w:rPr>
                <w:rFonts w:ascii="仿宋" w:hAnsi="仿宋" w:eastAsia="仿宋" w:cs="仿宋"/>
              </w:rPr>
            </w:pPr>
          </w:p>
        </w:tc>
      </w:tr>
      <w:tr w14:paraId="181A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071FA377">
            <w:pPr>
              <w:spacing w:line="500" w:lineRule="exact"/>
              <w:jc w:val="center"/>
              <w:rPr>
                <w:rFonts w:ascii="仿宋" w:hAnsi="仿宋" w:eastAsia="仿宋" w:cs="仿宋"/>
              </w:rPr>
            </w:pPr>
            <w:r>
              <w:rPr>
                <w:rFonts w:hint="eastAsia" w:ascii="仿宋" w:hAnsi="仿宋" w:eastAsia="仿宋" w:cs="仿宋"/>
              </w:rPr>
              <w:t>电费</w:t>
            </w:r>
          </w:p>
        </w:tc>
        <w:tc>
          <w:tcPr>
            <w:tcW w:w="2960" w:type="dxa"/>
            <w:tcBorders>
              <w:top w:val="dotted" w:color="auto" w:sz="4" w:space="0"/>
              <w:left w:val="dotted" w:color="auto" w:sz="4" w:space="0"/>
              <w:bottom w:val="dotted" w:color="auto" w:sz="4" w:space="0"/>
              <w:right w:val="dotted" w:color="auto" w:sz="4" w:space="0"/>
            </w:tcBorders>
          </w:tcPr>
          <w:p w14:paraId="142A46D2">
            <w:pPr>
              <w:spacing w:line="500" w:lineRule="exact"/>
              <w:jc w:val="center"/>
              <w:rPr>
                <w:rFonts w:ascii="仿宋" w:hAnsi="仿宋" w:eastAsia="仿宋" w:cs="仿宋"/>
              </w:rPr>
            </w:pPr>
            <w:r>
              <w:rPr>
                <w:rFonts w:hint="eastAsia" w:ascii="仿宋" w:hAnsi="仿宋" w:eastAsia="仿宋" w:cs="仿宋"/>
              </w:rPr>
              <w:t>0.70</w:t>
            </w:r>
          </w:p>
        </w:tc>
        <w:tc>
          <w:tcPr>
            <w:tcW w:w="2960" w:type="dxa"/>
            <w:tcBorders>
              <w:top w:val="dotted" w:color="auto" w:sz="4" w:space="0"/>
              <w:left w:val="dotted" w:color="auto" w:sz="4" w:space="0"/>
              <w:bottom w:val="dotted" w:color="auto" w:sz="4" w:space="0"/>
              <w:right w:val="nil"/>
            </w:tcBorders>
          </w:tcPr>
          <w:p w14:paraId="25AF1DED">
            <w:pPr>
              <w:spacing w:line="500" w:lineRule="exact"/>
              <w:jc w:val="center"/>
              <w:rPr>
                <w:rFonts w:ascii="仿宋" w:hAnsi="仿宋" w:eastAsia="仿宋" w:cs="仿宋"/>
              </w:rPr>
            </w:pPr>
          </w:p>
        </w:tc>
      </w:tr>
      <w:tr w14:paraId="7626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7B337C4B">
            <w:pPr>
              <w:spacing w:line="500" w:lineRule="exact"/>
              <w:jc w:val="center"/>
              <w:rPr>
                <w:rFonts w:ascii="仿宋" w:hAnsi="仿宋" w:eastAsia="仿宋" w:cs="仿宋"/>
              </w:rPr>
            </w:pPr>
            <w:r>
              <w:rPr>
                <w:rFonts w:hint="eastAsia" w:ascii="仿宋" w:hAnsi="仿宋" w:eastAsia="仿宋" w:cs="仿宋"/>
              </w:rPr>
              <w:t>差旅费</w:t>
            </w:r>
          </w:p>
        </w:tc>
        <w:tc>
          <w:tcPr>
            <w:tcW w:w="2960" w:type="dxa"/>
            <w:tcBorders>
              <w:top w:val="dotted" w:color="auto" w:sz="4" w:space="0"/>
              <w:left w:val="dotted" w:color="auto" w:sz="4" w:space="0"/>
              <w:bottom w:val="dotted" w:color="auto" w:sz="4" w:space="0"/>
              <w:right w:val="dotted" w:color="auto" w:sz="4" w:space="0"/>
            </w:tcBorders>
          </w:tcPr>
          <w:p w14:paraId="540E1D99">
            <w:pPr>
              <w:spacing w:line="500" w:lineRule="exact"/>
              <w:jc w:val="center"/>
              <w:rPr>
                <w:rFonts w:ascii="仿宋" w:hAnsi="仿宋" w:eastAsia="仿宋" w:cs="仿宋"/>
              </w:rPr>
            </w:pPr>
            <w:r>
              <w:rPr>
                <w:rFonts w:hint="eastAsia" w:ascii="仿宋" w:hAnsi="仿宋" w:eastAsia="仿宋" w:cs="仿宋"/>
              </w:rPr>
              <w:t>1.28</w:t>
            </w:r>
          </w:p>
        </w:tc>
        <w:tc>
          <w:tcPr>
            <w:tcW w:w="2960" w:type="dxa"/>
            <w:tcBorders>
              <w:top w:val="dotted" w:color="auto" w:sz="4" w:space="0"/>
              <w:left w:val="dotted" w:color="auto" w:sz="4" w:space="0"/>
              <w:bottom w:val="dotted" w:color="auto" w:sz="4" w:space="0"/>
              <w:right w:val="nil"/>
            </w:tcBorders>
          </w:tcPr>
          <w:p w14:paraId="1E3CADBC">
            <w:pPr>
              <w:spacing w:line="500" w:lineRule="exact"/>
              <w:jc w:val="center"/>
              <w:rPr>
                <w:rFonts w:ascii="仿宋" w:hAnsi="仿宋" w:eastAsia="仿宋" w:cs="仿宋"/>
              </w:rPr>
            </w:pPr>
          </w:p>
        </w:tc>
      </w:tr>
      <w:tr w14:paraId="30DD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113115F3">
            <w:pPr>
              <w:spacing w:line="500" w:lineRule="exact"/>
              <w:jc w:val="center"/>
              <w:rPr>
                <w:rFonts w:ascii="仿宋" w:hAnsi="仿宋" w:eastAsia="仿宋" w:cs="仿宋"/>
              </w:rPr>
            </w:pPr>
            <w:r>
              <w:rPr>
                <w:rFonts w:hint="eastAsia" w:ascii="仿宋" w:hAnsi="仿宋" w:eastAsia="仿宋" w:cs="仿宋"/>
              </w:rPr>
              <w:t>维修（护）费</w:t>
            </w:r>
          </w:p>
        </w:tc>
        <w:tc>
          <w:tcPr>
            <w:tcW w:w="2960" w:type="dxa"/>
            <w:tcBorders>
              <w:top w:val="dotted" w:color="auto" w:sz="4" w:space="0"/>
              <w:left w:val="dotted" w:color="auto" w:sz="4" w:space="0"/>
              <w:bottom w:val="dotted" w:color="auto" w:sz="4" w:space="0"/>
              <w:right w:val="dotted" w:color="auto" w:sz="4" w:space="0"/>
            </w:tcBorders>
          </w:tcPr>
          <w:p w14:paraId="24A2495E">
            <w:pPr>
              <w:spacing w:line="500" w:lineRule="exact"/>
              <w:jc w:val="center"/>
              <w:rPr>
                <w:rFonts w:ascii="仿宋" w:hAnsi="仿宋" w:eastAsia="仿宋" w:cs="仿宋"/>
              </w:rPr>
            </w:pPr>
            <w:r>
              <w:rPr>
                <w:rFonts w:hint="eastAsia" w:ascii="仿宋" w:hAnsi="仿宋" w:eastAsia="仿宋" w:cs="仿宋"/>
              </w:rPr>
              <w:t>1.73</w:t>
            </w:r>
          </w:p>
        </w:tc>
        <w:tc>
          <w:tcPr>
            <w:tcW w:w="2960" w:type="dxa"/>
            <w:tcBorders>
              <w:top w:val="dotted" w:color="auto" w:sz="4" w:space="0"/>
              <w:left w:val="dotted" w:color="auto" w:sz="4" w:space="0"/>
              <w:bottom w:val="dotted" w:color="auto" w:sz="4" w:space="0"/>
              <w:right w:val="nil"/>
            </w:tcBorders>
          </w:tcPr>
          <w:p w14:paraId="0B84DCE7">
            <w:pPr>
              <w:spacing w:line="500" w:lineRule="exact"/>
              <w:jc w:val="center"/>
              <w:rPr>
                <w:rFonts w:ascii="仿宋" w:hAnsi="仿宋" w:eastAsia="仿宋" w:cs="仿宋"/>
              </w:rPr>
            </w:pPr>
          </w:p>
        </w:tc>
      </w:tr>
      <w:tr w14:paraId="57D8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16BEC0C4">
            <w:pPr>
              <w:spacing w:line="500" w:lineRule="exact"/>
              <w:jc w:val="center"/>
              <w:rPr>
                <w:rFonts w:ascii="仿宋" w:hAnsi="仿宋" w:eastAsia="仿宋" w:cs="仿宋"/>
              </w:rPr>
            </w:pPr>
            <w:r>
              <w:rPr>
                <w:rFonts w:hint="eastAsia" w:ascii="仿宋" w:hAnsi="仿宋" w:eastAsia="仿宋" w:cs="仿宋"/>
              </w:rPr>
              <w:t>培训费</w:t>
            </w:r>
          </w:p>
        </w:tc>
        <w:tc>
          <w:tcPr>
            <w:tcW w:w="2960" w:type="dxa"/>
            <w:tcBorders>
              <w:top w:val="dotted" w:color="auto" w:sz="4" w:space="0"/>
              <w:left w:val="dotted" w:color="auto" w:sz="4" w:space="0"/>
              <w:bottom w:val="dotted" w:color="auto" w:sz="4" w:space="0"/>
              <w:right w:val="dotted" w:color="auto" w:sz="4" w:space="0"/>
            </w:tcBorders>
          </w:tcPr>
          <w:p w14:paraId="02C44417">
            <w:pPr>
              <w:spacing w:line="500" w:lineRule="exact"/>
              <w:jc w:val="center"/>
              <w:rPr>
                <w:rFonts w:ascii="仿宋" w:hAnsi="仿宋" w:eastAsia="仿宋" w:cs="仿宋"/>
              </w:rPr>
            </w:pPr>
            <w:r>
              <w:rPr>
                <w:rFonts w:hint="eastAsia" w:ascii="仿宋" w:hAnsi="仿宋" w:eastAsia="仿宋" w:cs="仿宋"/>
              </w:rPr>
              <w:t>3.95</w:t>
            </w:r>
          </w:p>
        </w:tc>
        <w:tc>
          <w:tcPr>
            <w:tcW w:w="2960" w:type="dxa"/>
            <w:tcBorders>
              <w:top w:val="dotted" w:color="auto" w:sz="4" w:space="0"/>
              <w:left w:val="dotted" w:color="auto" w:sz="4" w:space="0"/>
              <w:bottom w:val="dotted" w:color="auto" w:sz="4" w:space="0"/>
              <w:right w:val="nil"/>
            </w:tcBorders>
          </w:tcPr>
          <w:p w14:paraId="36B805B3">
            <w:pPr>
              <w:spacing w:line="500" w:lineRule="exact"/>
              <w:jc w:val="center"/>
              <w:rPr>
                <w:rFonts w:ascii="仿宋" w:hAnsi="仿宋" w:eastAsia="仿宋" w:cs="仿宋"/>
              </w:rPr>
            </w:pPr>
          </w:p>
        </w:tc>
      </w:tr>
      <w:tr w14:paraId="331E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1DDFF9B8">
            <w:pPr>
              <w:spacing w:line="500" w:lineRule="exact"/>
              <w:jc w:val="center"/>
              <w:rPr>
                <w:rFonts w:ascii="仿宋" w:hAnsi="仿宋" w:eastAsia="仿宋" w:cs="仿宋"/>
              </w:rPr>
            </w:pPr>
            <w:r>
              <w:rPr>
                <w:rFonts w:hint="eastAsia" w:ascii="仿宋" w:hAnsi="仿宋" w:eastAsia="仿宋" w:cs="仿宋"/>
              </w:rPr>
              <w:t>会议费</w:t>
            </w:r>
          </w:p>
        </w:tc>
        <w:tc>
          <w:tcPr>
            <w:tcW w:w="2960" w:type="dxa"/>
            <w:tcBorders>
              <w:top w:val="dotted" w:color="auto" w:sz="4" w:space="0"/>
              <w:left w:val="dotted" w:color="auto" w:sz="4" w:space="0"/>
              <w:bottom w:val="dotted" w:color="auto" w:sz="4" w:space="0"/>
              <w:right w:val="dotted" w:color="auto" w:sz="4" w:space="0"/>
            </w:tcBorders>
          </w:tcPr>
          <w:p w14:paraId="00473CFF">
            <w:pPr>
              <w:spacing w:line="500" w:lineRule="exact"/>
              <w:jc w:val="center"/>
              <w:rPr>
                <w:rFonts w:ascii="仿宋" w:hAnsi="仿宋" w:eastAsia="仿宋" w:cs="仿宋"/>
              </w:rPr>
            </w:pPr>
            <w:r>
              <w:rPr>
                <w:rFonts w:hint="eastAsia" w:ascii="仿宋" w:hAnsi="仿宋" w:eastAsia="仿宋" w:cs="仿宋"/>
              </w:rPr>
              <w:t>0.26</w:t>
            </w:r>
          </w:p>
        </w:tc>
        <w:tc>
          <w:tcPr>
            <w:tcW w:w="2960" w:type="dxa"/>
            <w:tcBorders>
              <w:top w:val="dotted" w:color="auto" w:sz="4" w:space="0"/>
              <w:left w:val="dotted" w:color="auto" w:sz="4" w:space="0"/>
              <w:bottom w:val="dotted" w:color="auto" w:sz="4" w:space="0"/>
              <w:right w:val="nil"/>
            </w:tcBorders>
          </w:tcPr>
          <w:p w14:paraId="63776571">
            <w:pPr>
              <w:spacing w:line="500" w:lineRule="exact"/>
              <w:jc w:val="center"/>
              <w:rPr>
                <w:rFonts w:ascii="仿宋" w:hAnsi="仿宋" w:eastAsia="仿宋" w:cs="仿宋"/>
              </w:rPr>
            </w:pPr>
          </w:p>
        </w:tc>
      </w:tr>
      <w:tr w14:paraId="199A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6A14ED6B">
            <w:pPr>
              <w:spacing w:line="500" w:lineRule="exact"/>
              <w:jc w:val="center"/>
              <w:rPr>
                <w:rFonts w:ascii="仿宋" w:hAnsi="仿宋" w:eastAsia="仿宋" w:cs="仿宋"/>
              </w:rPr>
            </w:pPr>
            <w:r>
              <w:rPr>
                <w:rFonts w:hint="eastAsia" w:ascii="仿宋" w:hAnsi="仿宋" w:eastAsia="仿宋" w:cs="仿宋"/>
              </w:rPr>
              <w:t>专用材料费</w:t>
            </w:r>
          </w:p>
        </w:tc>
        <w:tc>
          <w:tcPr>
            <w:tcW w:w="2960" w:type="dxa"/>
            <w:tcBorders>
              <w:top w:val="dotted" w:color="auto" w:sz="4" w:space="0"/>
              <w:left w:val="dotted" w:color="auto" w:sz="4" w:space="0"/>
              <w:bottom w:val="dotted" w:color="auto" w:sz="4" w:space="0"/>
              <w:right w:val="dotted" w:color="auto" w:sz="4" w:space="0"/>
            </w:tcBorders>
          </w:tcPr>
          <w:p w14:paraId="47ADEE9D">
            <w:pPr>
              <w:spacing w:line="500" w:lineRule="exact"/>
              <w:jc w:val="center"/>
              <w:rPr>
                <w:rFonts w:ascii="仿宋" w:hAnsi="仿宋" w:eastAsia="仿宋" w:cs="仿宋"/>
              </w:rPr>
            </w:pPr>
            <w:r>
              <w:rPr>
                <w:rFonts w:hint="eastAsia" w:ascii="仿宋" w:hAnsi="仿宋" w:eastAsia="仿宋" w:cs="仿宋"/>
              </w:rPr>
              <w:t>0.67</w:t>
            </w:r>
          </w:p>
        </w:tc>
        <w:tc>
          <w:tcPr>
            <w:tcW w:w="2960" w:type="dxa"/>
            <w:tcBorders>
              <w:top w:val="dotted" w:color="auto" w:sz="4" w:space="0"/>
              <w:left w:val="dotted" w:color="auto" w:sz="4" w:space="0"/>
              <w:bottom w:val="dotted" w:color="auto" w:sz="4" w:space="0"/>
              <w:right w:val="nil"/>
            </w:tcBorders>
          </w:tcPr>
          <w:p w14:paraId="62C5A935">
            <w:pPr>
              <w:spacing w:line="500" w:lineRule="exact"/>
              <w:jc w:val="center"/>
              <w:rPr>
                <w:rFonts w:ascii="仿宋" w:hAnsi="仿宋" w:eastAsia="仿宋" w:cs="仿宋"/>
              </w:rPr>
            </w:pPr>
          </w:p>
        </w:tc>
      </w:tr>
      <w:tr w14:paraId="3CAA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3C18D56F">
            <w:pPr>
              <w:spacing w:line="500" w:lineRule="exact"/>
              <w:jc w:val="center"/>
              <w:rPr>
                <w:rFonts w:ascii="仿宋" w:hAnsi="仿宋" w:eastAsia="仿宋" w:cs="仿宋"/>
              </w:rPr>
            </w:pPr>
            <w:r>
              <w:rPr>
                <w:rFonts w:hint="eastAsia" w:ascii="仿宋" w:hAnsi="仿宋" w:eastAsia="仿宋" w:cs="仿宋"/>
              </w:rPr>
              <w:t>委托业务费</w:t>
            </w:r>
          </w:p>
        </w:tc>
        <w:tc>
          <w:tcPr>
            <w:tcW w:w="2960" w:type="dxa"/>
            <w:tcBorders>
              <w:top w:val="dotted" w:color="auto" w:sz="4" w:space="0"/>
              <w:left w:val="dotted" w:color="auto" w:sz="4" w:space="0"/>
              <w:bottom w:val="dotted" w:color="auto" w:sz="4" w:space="0"/>
              <w:right w:val="dotted" w:color="auto" w:sz="4" w:space="0"/>
            </w:tcBorders>
          </w:tcPr>
          <w:p w14:paraId="157D35A7">
            <w:pPr>
              <w:spacing w:line="500" w:lineRule="exact"/>
              <w:jc w:val="center"/>
              <w:rPr>
                <w:rFonts w:ascii="仿宋" w:hAnsi="仿宋" w:eastAsia="仿宋" w:cs="仿宋"/>
              </w:rPr>
            </w:pPr>
            <w:r>
              <w:rPr>
                <w:rFonts w:hint="eastAsia" w:ascii="仿宋" w:hAnsi="仿宋" w:eastAsia="仿宋" w:cs="仿宋"/>
              </w:rPr>
              <w:t>3.20</w:t>
            </w:r>
          </w:p>
        </w:tc>
        <w:tc>
          <w:tcPr>
            <w:tcW w:w="2960" w:type="dxa"/>
            <w:tcBorders>
              <w:top w:val="dotted" w:color="auto" w:sz="4" w:space="0"/>
              <w:left w:val="dotted" w:color="auto" w:sz="4" w:space="0"/>
              <w:bottom w:val="dotted" w:color="auto" w:sz="4" w:space="0"/>
              <w:right w:val="nil"/>
            </w:tcBorders>
          </w:tcPr>
          <w:p w14:paraId="6E30911D">
            <w:pPr>
              <w:spacing w:line="500" w:lineRule="exact"/>
              <w:jc w:val="center"/>
              <w:rPr>
                <w:rFonts w:ascii="仿宋" w:hAnsi="仿宋" w:eastAsia="仿宋" w:cs="仿宋"/>
              </w:rPr>
            </w:pPr>
          </w:p>
        </w:tc>
      </w:tr>
      <w:tr w14:paraId="2580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960" w:type="dxa"/>
            <w:tcBorders>
              <w:top w:val="dotted" w:color="auto" w:sz="4" w:space="0"/>
              <w:left w:val="nil"/>
              <w:bottom w:val="dotted" w:color="auto" w:sz="4" w:space="0"/>
              <w:right w:val="dotted" w:color="auto" w:sz="4" w:space="0"/>
            </w:tcBorders>
          </w:tcPr>
          <w:p w14:paraId="074A266C">
            <w:pPr>
              <w:spacing w:line="500" w:lineRule="exact"/>
              <w:jc w:val="center"/>
              <w:rPr>
                <w:rFonts w:ascii="仿宋" w:hAnsi="仿宋" w:eastAsia="仿宋" w:cs="仿宋"/>
              </w:rPr>
            </w:pPr>
            <w:r>
              <w:rPr>
                <w:rFonts w:hint="eastAsia" w:ascii="仿宋" w:hAnsi="仿宋" w:eastAsia="仿宋" w:cs="仿宋"/>
              </w:rPr>
              <w:t>专用设备购置费</w:t>
            </w:r>
          </w:p>
        </w:tc>
        <w:tc>
          <w:tcPr>
            <w:tcW w:w="2960" w:type="dxa"/>
            <w:tcBorders>
              <w:top w:val="dotted" w:color="auto" w:sz="4" w:space="0"/>
              <w:left w:val="dotted" w:color="auto" w:sz="4" w:space="0"/>
              <w:bottom w:val="dotted" w:color="auto" w:sz="4" w:space="0"/>
              <w:right w:val="dotted" w:color="auto" w:sz="4" w:space="0"/>
            </w:tcBorders>
          </w:tcPr>
          <w:p w14:paraId="183FC397">
            <w:pPr>
              <w:spacing w:line="500" w:lineRule="exact"/>
              <w:jc w:val="center"/>
              <w:rPr>
                <w:rFonts w:ascii="仿宋" w:hAnsi="仿宋" w:eastAsia="仿宋" w:cs="仿宋"/>
              </w:rPr>
            </w:pPr>
            <w:r>
              <w:rPr>
                <w:rFonts w:hint="eastAsia" w:ascii="仿宋" w:hAnsi="仿宋" w:eastAsia="仿宋" w:cs="仿宋"/>
              </w:rPr>
              <w:t>4.12</w:t>
            </w:r>
          </w:p>
        </w:tc>
        <w:tc>
          <w:tcPr>
            <w:tcW w:w="2960" w:type="dxa"/>
            <w:tcBorders>
              <w:top w:val="dotted" w:color="auto" w:sz="4" w:space="0"/>
              <w:left w:val="dotted" w:color="auto" w:sz="4" w:space="0"/>
              <w:bottom w:val="dotted" w:color="auto" w:sz="4" w:space="0"/>
              <w:right w:val="nil"/>
            </w:tcBorders>
          </w:tcPr>
          <w:p w14:paraId="131CE33D">
            <w:pPr>
              <w:spacing w:line="500" w:lineRule="exact"/>
              <w:jc w:val="center"/>
              <w:rPr>
                <w:rFonts w:ascii="仿宋" w:hAnsi="仿宋" w:eastAsia="仿宋" w:cs="仿宋"/>
              </w:rPr>
            </w:pPr>
          </w:p>
        </w:tc>
      </w:tr>
      <w:tr w14:paraId="67DE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960" w:type="dxa"/>
            <w:tcBorders>
              <w:top w:val="dotted" w:color="auto" w:sz="4" w:space="0"/>
              <w:left w:val="nil"/>
              <w:bottom w:val="single" w:color="auto" w:sz="12" w:space="0"/>
              <w:right w:val="dotted" w:color="auto" w:sz="4" w:space="0"/>
            </w:tcBorders>
          </w:tcPr>
          <w:p w14:paraId="0A7291E7">
            <w:pPr>
              <w:spacing w:line="500" w:lineRule="exact"/>
              <w:jc w:val="center"/>
              <w:rPr>
                <w:rFonts w:ascii="仿宋" w:hAnsi="仿宋" w:eastAsia="仿宋" w:cs="仿宋"/>
              </w:rPr>
            </w:pPr>
            <w:r>
              <w:rPr>
                <w:rFonts w:hint="eastAsia" w:ascii="仿宋" w:hAnsi="仿宋" w:eastAsia="仿宋" w:cs="仿宋"/>
              </w:rPr>
              <w:t>合计</w:t>
            </w:r>
          </w:p>
        </w:tc>
        <w:tc>
          <w:tcPr>
            <w:tcW w:w="2960" w:type="dxa"/>
            <w:tcBorders>
              <w:top w:val="dotted" w:color="auto" w:sz="4" w:space="0"/>
              <w:left w:val="dotted" w:color="auto" w:sz="4" w:space="0"/>
              <w:bottom w:val="single" w:color="auto" w:sz="12" w:space="0"/>
              <w:right w:val="dotted" w:color="auto" w:sz="4" w:space="0"/>
            </w:tcBorders>
          </w:tcPr>
          <w:p w14:paraId="6F07A427">
            <w:pPr>
              <w:spacing w:line="500" w:lineRule="exact"/>
              <w:jc w:val="center"/>
              <w:rPr>
                <w:rFonts w:ascii="仿宋" w:hAnsi="仿宋" w:eastAsia="仿宋" w:cs="仿宋"/>
              </w:rPr>
            </w:pPr>
            <w:r>
              <w:rPr>
                <w:rFonts w:hint="eastAsia" w:ascii="仿宋" w:hAnsi="仿宋" w:eastAsia="仿宋" w:cs="仿宋"/>
              </w:rPr>
              <w:t>15.94</w:t>
            </w:r>
          </w:p>
        </w:tc>
        <w:tc>
          <w:tcPr>
            <w:tcW w:w="2960" w:type="dxa"/>
            <w:tcBorders>
              <w:top w:val="dotted" w:color="auto" w:sz="4" w:space="0"/>
              <w:left w:val="dotted" w:color="auto" w:sz="4" w:space="0"/>
              <w:bottom w:val="single" w:color="auto" w:sz="12" w:space="0"/>
              <w:right w:val="nil"/>
            </w:tcBorders>
          </w:tcPr>
          <w:p w14:paraId="6D4734E1">
            <w:pPr>
              <w:spacing w:line="500" w:lineRule="exact"/>
              <w:jc w:val="center"/>
              <w:rPr>
                <w:rFonts w:ascii="仿宋" w:hAnsi="仿宋" w:eastAsia="仿宋" w:cs="仿宋"/>
              </w:rPr>
            </w:pPr>
          </w:p>
        </w:tc>
      </w:tr>
    </w:tbl>
    <w:p w14:paraId="7A4FACF0">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3.</w:t>
      </w:r>
      <w:r>
        <w:rPr>
          <w:rFonts w:hint="eastAsia" w:ascii="仿宋" w:hAnsi="仿宋" w:eastAsia="仿宋" w:cs="仿宋"/>
          <w:sz w:val="30"/>
          <w:szCs w:val="30"/>
        </w:rPr>
        <w:t>专项资金管理情况分析</w:t>
      </w:r>
    </w:p>
    <w:p w14:paraId="4BE5356C">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项目资金的使用严格执行中央、省市的财经纪律，遵守财经相关规定，专项资金管理实行专款专用。</w:t>
      </w:r>
    </w:p>
    <w:p w14:paraId="39834329">
      <w:pPr>
        <w:spacing w:line="560" w:lineRule="exact"/>
        <w:ind w:firstLine="600" w:firstLineChars="200"/>
        <w:rPr>
          <w:rFonts w:ascii="仿宋" w:hAnsi="仿宋" w:eastAsia="仿宋" w:cs="仿宋"/>
          <w:b/>
          <w:sz w:val="30"/>
          <w:szCs w:val="30"/>
        </w:rPr>
      </w:pPr>
      <w:r>
        <w:rPr>
          <w:rFonts w:hint="eastAsia" w:ascii="仿宋" w:hAnsi="仿宋" w:eastAsia="仿宋" w:cs="仿宋"/>
          <w:b/>
          <w:sz w:val="30"/>
          <w:szCs w:val="30"/>
        </w:rPr>
        <w:t>三、政府性基金预算支出情况</w:t>
      </w:r>
    </w:p>
    <w:p w14:paraId="5531F30B">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本单位2025年度无政府性基金预算支出。</w:t>
      </w:r>
    </w:p>
    <w:p w14:paraId="018FFDD0">
      <w:pPr>
        <w:spacing w:line="560" w:lineRule="exact"/>
        <w:ind w:firstLine="600" w:firstLineChars="200"/>
        <w:rPr>
          <w:rFonts w:ascii="仿宋" w:hAnsi="仿宋" w:eastAsia="仿宋" w:cs="仿宋"/>
          <w:b/>
          <w:sz w:val="30"/>
          <w:szCs w:val="30"/>
        </w:rPr>
      </w:pPr>
      <w:r>
        <w:rPr>
          <w:rFonts w:hint="eastAsia" w:ascii="仿宋" w:hAnsi="仿宋" w:eastAsia="仿宋" w:cs="仿宋"/>
          <w:b/>
          <w:sz w:val="30"/>
          <w:szCs w:val="30"/>
        </w:rPr>
        <w:t>四、国有资本经营预算支出情况</w:t>
      </w:r>
    </w:p>
    <w:p w14:paraId="2A056342">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本单位2025年度无国有资本经营预算支出。</w:t>
      </w:r>
    </w:p>
    <w:p w14:paraId="45DF6CFD">
      <w:pPr>
        <w:spacing w:line="560" w:lineRule="exact"/>
        <w:ind w:firstLine="600" w:firstLineChars="200"/>
        <w:rPr>
          <w:rFonts w:ascii="仿宋" w:hAnsi="仿宋" w:eastAsia="仿宋" w:cs="仿宋"/>
          <w:b/>
          <w:sz w:val="30"/>
          <w:szCs w:val="30"/>
        </w:rPr>
      </w:pPr>
      <w:r>
        <w:rPr>
          <w:rFonts w:hint="eastAsia" w:ascii="仿宋" w:hAnsi="仿宋" w:eastAsia="仿宋" w:cs="仿宋"/>
          <w:b/>
          <w:sz w:val="30"/>
          <w:szCs w:val="30"/>
        </w:rPr>
        <w:t>五、社会保险基金预算支出情况</w:t>
      </w:r>
    </w:p>
    <w:p w14:paraId="5CE7A67C">
      <w:pPr>
        <w:spacing w:line="560" w:lineRule="exact"/>
        <w:ind w:firstLine="600" w:firstLineChars="200"/>
        <w:rPr>
          <w:rFonts w:ascii="仿宋" w:hAnsi="仿宋" w:eastAsia="仿宋" w:cs="仿宋"/>
          <w:b/>
          <w:sz w:val="30"/>
          <w:szCs w:val="30"/>
        </w:rPr>
      </w:pPr>
      <w:r>
        <w:rPr>
          <w:rFonts w:hint="eastAsia" w:ascii="仿宋" w:hAnsi="仿宋" w:eastAsia="仿宋" w:cs="仿宋"/>
          <w:sz w:val="30"/>
          <w:szCs w:val="30"/>
        </w:rPr>
        <w:t>本单位2025年度无社会保险基金预算支出。</w:t>
      </w:r>
    </w:p>
    <w:p w14:paraId="6C7C6956">
      <w:pPr>
        <w:spacing w:line="560" w:lineRule="exact"/>
        <w:ind w:firstLine="600" w:firstLineChars="200"/>
        <w:rPr>
          <w:rFonts w:ascii="仿宋" w:hAnsi="仿宋" w:eastAsia="仿宋" w:cs="仿宋"/>
          <w:sz w:val="30"/>
          <w:szCs w:val="30"/>
        </w:rPr>
      </w:pPr>
      <w:r>
        <w:rPr>
          <w:rFonts w:hint="eastAsia" w:ascii="仿宋" w:hAnsi="仿宋" w:eastAsia="仿宋" w:cs="仿宋"/>
          <w:b/>
          <w:sz w:val="30"/>
          <w:szCs w:val="30"/>
        </w:rPr>
        <w:t>六、部门整体支出绩效情况 </w:t>
      </w:r>
    </w:p>
    <w:p w14:paraId="6FB680A5">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2025年，本单位对照永财绩〔2026〕1号文件规定要求，从预算配置、预算执行、预算管理职责履行和履职效益等方面对部门整体支出进行自评，现将有关情况报告如下：</w:t>
      </w:r>
    </w:p>
    <w:p w14:paraId="737831C5">
      <w:pPr>
        <w:spacing w:line="560" w:lineRule="exact"/>
        <w:ind w:firstLine="600" w:firstLineChars="200"/>
        <w:rPr>
          <w:rFonts w:ascii="仿宋" w:hAnsi="仿宋" w:eastAsia="仿宋" w:cs="仿宋"/>
          <w:b/>
          <w:bCs/>
          <w:sz w:val="30"/>
          <w:szCs w:val="30"/>
        </w:rPr>
      </w:pPr>
      <w:r>
        <w:rPr>
          <w:rFonts w:hint="eastAsia" w:ascii="仿宋" w:hAnsi="仿宋" w:eastAsia="仿宋" w:cs="仿宋"/>
          <w:b/>
          <w:bCs/>
          <w:sz w:val="30"/>
          <w:szCs w:val="30"/>
        </w:rPr>
        <w:t>（一）预算配置方面</w:t>
      </w:r>
    </w:p>
    <w:p w14:paraId="115AA7E6">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1.</w:t>
      </w:r>
      <w:r>
        <w:rPr>
          <w:rFonts w:hint="eastAsia" w:ascii="仿宋" w:hAnsi="仿宋" w:eastAsia="仿宋" w:cs="仿宋"/>
          <w:sz w:val="30"/>
          <w:szCs w:val="30"/>
        </w:rPr>
        <w:t>编制数8人，在职人员8人，财政供养人员控制率为100%。</w:t>
      </w:r>
    </w:p>
    <w:p w14:paraId="1D0B51E8">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2.</w:t>
      </w:r>
      <w:r>
        <w:rPr>
          <w:rFonts w:hint="eastAsia" w:ascii="仿宋" w:hAnsi="仿宋" w:eastAsia="仿宋" w:cs="仿宋"/>
          <w:sz w:val="30"/>
          <w:szCs w:val="30"/>
        </w:rPr>
        <w:t>本年</w:t>
      </w:r>
      <w:r>
        <w:rPr>
          <w:rFonts w:hint="eastAsia" w:ascii="仿宋" w:hAnsi="仿宋" w:eastAsia="仿宋" w:cs="仿宋"/>
          <w:sz w:val="30"/>
          <w:szCs w:val="30"/>
          <w:lang w:eastAsia="zh-CN"/>
        </w:rPr>
        <w:t>“三公”经费预算</w:t>
      </w:r>
      <w:r>
        <w:rPr>
          <w:rFonts w:hint="eastAsia" w:ascii="仿宋" w:hAnsi="仿宋" w:eastAsia="仿宋" w:cs="仿宋"/>
          <w:sz w:val="30"/>
          <w:szCs w:val="30"/>
        </w:rPr>
        <w:t>数0.49万元，上年预算数0.5万元，</w:t>
      </w:r>
      <w:r>
        <w:rPr>
          <w:rFonts w:hint="eastAsia" w:ascii="仿宋" w:hAnsi="仿宋" w:eastAsia="仿宋" w:cs="仿宋"/>
          <w:sz w:val="30"/>
          <w:szCs w:val="30"/>
          <w:lang w:eastAsia="zh-CN"/>
        </w:rPr>
        <w:t>“三公”经费</w:t>
      </w:r>
      <w:r>
        <w:rPr>
          <w:rFonts w:hint="eastAsia" w:ascii="仿宋" w:hAnsi="仿宋" w:eastAsia="仿宋" w:cs="仿宋"/>
          <w:sz w:val="30"/>
          <w:szCs w:val="30"/>
        </w:rPr>
        <w:t>变动率为-2%，</w:t>
      </w:r>
      <w:r>
        <w:rPr>
          <w:rFonts w:hint="eastAsia" w:ascii="仿宋" w:hAnsi="仿宋" w:eastAsia="仿宋" w:cs="仿宋"/>
          <w:sz w:val="30"/>
          <w:szCs w:val="30"/>
          <w:lang w:eastAsia="zh-CN"/>
        </w:rPr>
        <w:t>“三公”经费</w:t>
      </w:r>
      <w:r>
        <w:rPr>
          <w:rFonts w:hint="eastAsia" w:ascii="仿宋" w:hAnsi="仿宋" w:eastAsia="仿宋" w:cs="仿宋"/>
          <w:sz w:val="30"/>
          <w:szCs w:val="30"/>
        </w:rPr>
        <w:t>控制较好。</w:t>
      </w:r>
    </w:p>
    <w:p w14:paraId="6CB04B81">
      <w:pPr>
        <w:spacing w:line="560" w:lineRule="exact"/>
        <w:ind w:firstLine="600" w:firstLineChars="200"/>
        <w:rPr>
          <w:rFonts w:ascii="仿宋" w:hAnsi="仿宋" w:eastAsia="仿宋" w:cs="仿宋"/>
          <w:b/>
          <w:bCs/>
          <w:sz w:val="30"/>
          <w:szCs w:val="30"/>
        </w:rPr>
      </w:pPr>
      <w:r>
        <w:rPr>
          <w:rFonts w:hint="eastAsia" w:ascii="仿宋" w:hAnsi="仿宋" w:eastAsia="仿宋" w:cs="仿宋"/>
          <w:b/>
          <w:bCs/>
          <w:sz w:val="30"/>
          <w:szCs w:val="30"/>
        </w:rPr>
        <w:t>（二）预算执行方面 </w:t>
      </w:r>
    </w:p>
    <w:p w14:paraId="4FDCC65F">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1.</w:t>
      </w:r>
      <w:r>
        <w:rPr>
          <w:rFonts w:hint="eastAsia" w:ascii="仿宋" w:hAnsi="仿宋" w:eastAsia="仿宋" w:cs="仿宋"/>
          <w:sz w:val="30"/>
          <w:szCs w:val="30"/>
        </w:rPr>
        <w:t>2025年上年结转资金0万元，年初预算132.53万元，本年追加预算34.23万元，年末结余0万元。预算完成率100%。 </w:t>
      </w:r>
    </w:p>
    <w:p w14:paraId="0D9906FC">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2.</w:t>
      </w:r>
      <w:r>
        <w:rPr>
          <w:rFonts w:hint="eastAsia" w:ascii="仿宋" w:hAnsi="仿宋" w:eastAsia="仿宋" w:cs="仿宋"/>
          <w:sz w:val="30"/>
          <w:szCs w:val="30"/>
        </w:rPr>
        <w:t>2025年年初预算132.53万元，年中追加预算50.17万元，预算调整率37.86%，主要原因为年中追加安排的省级地震监测经费和政策性增资。</w:t>
      </w:r>
    </w:p>
    <w:p w14:paraId="50DFE0F0">
      <w:pPr>
        <w:spacing w:line="560" w:lineRule="exact"/>
        <w:ind w:firstLine="600" w:firstLineChars="200"/>
        <w:rPr>
          <w:rFonts w:ascii="仿宋" w:hAnsi="仿宋" w:eastAsia="仿宋" w:cs="仿宋"/>
          <w:b/>
          <w:bCs/>
          <w:sz w:val="30"/>
          <w:szCs w:val="30"/>
        </w:rPr>
      </w:pPr>
      <w:r>
        <w:rPr>
          <w:rFonts w:hint="eastAsia" w:ascii="仿宋" w:hAnsi="仿宋" w:eastAsia="仿宋" w:cs="仿宋"/>
          <w:b/>
          <w:bCs/>
          <w:sz w:val="30"/>
          <w:szCs w:val="30"/>
        </w:rPr>
        <w:t>（三）预算管理方面 </w:t>
      </w:r>
    </w:p>
    <w:p w14:paraId="2566C6B3">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1.</w:t>
      </w:r>
      <w:r>
        <w:rPr>
          <w:rFonts w:hint="eastAsia" w:ascii="仿宋" w:hAnsi="仿宋" w:eastAsia="仿宋" w:cs="仿宋"/>
          <w:sz w:val="30"/>
          <w:szCs w:val="30"/>
        </w:rPr>
        <w:t>2025年本单位预算管理各项指标控制较好。实际支出公用经费25.97万元，预算公用经费26.62万元，公用经费控制率97.57%。</w:t>
      </w:r>
    </w:p>
    <w:p w14:paraId="67C3B3DF">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2.</w:t>
      </w:r>
      <w:r>
        <w:rPr>
          <w:rFonts w:hint="eastAsia" w:ascii="仿宋" w:hAnsi="仿宋" w:eastAsia="仿宋" w:cs="仿宋"/>
          <w:sz w:val="30"/>
          <w:szCs w:val="30"/>
        </w:rPr>
        <w:t>“三公”经费实际支出数为0.12万元，年初预算数0.49万元，“三公”经费控制率为24.02%。</w:t>
      </w:r>
    </w:p>
    <w:p w14:paraId="3478F1A2">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3.</w:t>
      </w:r>
      <w:r>
        <w:rPr>
          <w:rFonts w:hint="eastAsia" w:ascii="仿宋" w:hAnsi="仿宋" w:eastAsia="仿宋" w:cs="仿宋"/>
          <w:sz w:val="30"/>
          <w:szCs w:val="30"/>
        </w:rPr>
        <w:t>政府采购年初预算数1.33万元，实际政府采购金额0.47万元，政府采购执行率为35.17%。</w:t>
      </w:r>
    </w:p>
    <w:p w14:paraId="60065D9B">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4.</w:t>
      </w:r>
      <w:r>
        <w:rPr>
          <w:rFonts w:hint="eastAsia" w:ascii="仿宋" w:hAnsi="仿宋" w:eastAsia="仿宋" w:cs="仿宋"/>
          <w:sz w:val="30"/>
          <w:szCs w:val="30"/>
        </w:rPr>
        <w:t>本单位本年无新建楼堂馆所情况。 </w:t>
      </w:r>
    </w:p>
    <w:p w14:paraId="686CF598">
      <w:pPr>
        <w:spacing w:line="560" w:lineRule="exact"/>
        <w:ind w:firstLine="600" w:firstLineChars="200"/>
        <w:rPr>
          <w:rFonts w:ascii="仿宋" w:hAnsi="仿宋" w:eastAsia="仿宋" w:cs="仿宋"/>
          <w:b/>
          <w:bCs/>
          <w:sz w:val="30"/>
          <w:szCs w:val="30"/>
        </w:rPr>
      </w:pPr>
      <w:r>
        <w:rPr>
          <w:rFonts w:hint="eastAsia" w:ascii="仿宋" w:hAnsi="仿宋" w:eastAsia="仿宋" w:cs="仿宋"/>
          <w:b/>
          <w:bCs/>
          <w:sz w:val="30"/>
          <w:szCs w:val="30"/>
        </w:rPr>
        <w:t>（四）职责履行和履职效益方面</w:t>
      </w:r>
    </w:p>
    <w:p w14:paraId="5EAB9BD9">
      <w:pPr>
        <w:snapToGrid w:val="0"/>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2025年，本单位坚持以习近平新时代中国特色社会主义思想为指导，准确把握习近平总书记防灾减灾救灾重要论述精神，始终坚持以人民为中心，紧紧围绕地震监测预报、震害防御、地震应急三大防震减灾中心工作，通过实施新策略、强化机制构建、拓宽科普宣传渠道等举措，多项工作取得突破性进展，取得了较好的经济和社会效益。行政效能明显提高，社会公众满意度不断提升，对全市地震事业发展做出了较大贡献。</w:t>
      </w:r>
    </w:p>
    <w:p w14:paraId="7EC2A2DA">
      <w:pPr>
        <w:snapToGrid w:val="0"/>
        <w:spacing w:line="52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1.</w:t>
      </w:r>
      <w:r>
        <w:rPr>
          <w:rFonts w:hint="eastAsia" w:ascii="仿宋" w:hAnsi="仿宋" w:eastAsia="仿宋" w:cs="仿宋"/>
          <w:sz w:val="30"/>
          <w:szCs w:val="30"/>
        </w:rPr>
        <w:t>规划实施与编制得到有效落实。一是推动“十四五”规划圆满收官。多次召开专题会议，推动“十四五”防震减灾各项工作任务落实，截至目前，规划任务完成率100%，重点项目推进完成率100%。二是认真谋划“十五五”规划。先后2次组织应急、住建、消防等相关单位和人员开展“十五五”防震减灾规划专题研讨，由局领导带队到双牌、宁远等县区开展专题调研，编制了《永州市“十五五”防震减灾规划（草案）》，并将相关情况向市应安委领导作了汇报。三是指导县市区地震部门编制“十五五”规划。积极指导全市11个县市区完成了“十五五”防震减灾规划草案的编制。</w:t>
      </w:r>
    </w:p>
    <w:p w14:paraId="5841B78E">
      <w:pPr>
        <w:snapToGrid w:val="0"/>
        <w:spacing w:line="52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2.</w:t>
      </w:r>
      <w:r>
        <w:rPr>
          <w:rFonts w:hint="eastAsia" w:ascii="仿宋" w:hAnsi="仿宋" w:eastAsia="仿宋" w:cs="仿宋"/>
          <w:sz w:val="30"/>
          <w:szCs w:val="30"/>
        </w:rPr>
        <w:t>监测预警能力得到提升。一是顺利完成了台站年度巡检任务。今年以来共对全市28个地震监测台站（网点）巡检了6次，共发现整改各类问题隐患15个，确保台站（网点）稳定运行。二是加强趋势会商研究。认真</w:t>
      </w:r>
      <w:r>
        <w:rPr>
          <w:rFonts w:hint="eastAsia" w:ascii="仿宋" w:hAnsi="仿宋" w:eastAsia="仿宋" w:cs="仿宋"/>
          <w:sz w:val="30"/>
          <w:szCs w:val="30"/>
          <w:lang w:eastAsia="zh-CN"/>
        </w:rPr>
        <w:t>开展2025年度</w:t>
      </w:r>
      <w:r>
        <w:rPr>
          <w:rFonts w:hint="eastAsia" w:ascii="仿宋" w:hAnsi="仿宋" w:eastAsia="仿宋" w:cs="仿宋"/>
          <w:sz w:val="30"/>
          <w:szCs w:val="30"/>
        </w:rPr>
        <w:t>年中、2026年度永州地震趋势研究，编写了永州市地震趋势研究报告。参加了湘西南片区半年及年度会商研讨，并于会后及时将地震趋势研究成果向上级报告。三是持续推进全市地震站网建设。顺利完成永州地震台设备移装，新田测震台电源设备更换。指导道县梅花镇、蓝山塔峰镇动物宏观观测点、蓝山塔峰镇地下流体宏观观测点完成建设并正式投入运行。截至目前全市已建成了15个以地下流体、动物等观测对象为主，地球物理场、地质、气象等观测对象为辅的地震宏观观测网，观测面积达3.8万余平方米。</w:t>
      </w:r>
    </w:p>
    <w:p w14:paraId="0948ED77">
      <w:pPr>
        <w:snapToGrid w:val="0"/>
        <w:spacing w:line="52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3.</w:t>
      </w:r>
      <w:r>
        <w:rPr>
          <w:rFonts w:hint="eastAsia" w:ascii="仿宋" w:hAnsi="仿宋" w:eastAsia="仿宋" w:cs="仿宋"/>
          <w:sz w:val="30"/>
          <w:szCs w:val="30"/>
        </w:rPr>
        <w:t>地震应急管理得到强化。一是注重预案编制和演练开展。今年以来市县两级地震部门共督促、指导相关单位和企业制定、修订地震应急预案56个。按照《中小学校地震应急避险疏散演练指南》要求，全年全市共组织指导36所中小学校开展地震预警应急疏散演练。二是注重建立地震灾害应对协调机制。与市消防救援支队建立了地震灾害应对协调机制，强化工作协同，定期会商研判，联合科普宣教。三是强化应急响应准备。组织市县两级地震部门开展了破坏性地震应急响应桌面演练，提升了地震部门应对地震灾害的协调配合、快速反应和震情处置能力。高度关注、跟踪邵东和广东清远等周边地区发生的有感地震，尤其是广东清远市6月23日4.3级地震发生后，我市强化地震应急值守，分析研判该地震发生后对我市可能造成的影响，并向市政府办提交了《广东清远市清城区4.3级地震对我市的灾情评估报告》。</w:t>
      </w:r>
    </w:p>
    <w:p w14:paraId="3729A814">
      <w:pPr>
        <w:snapToGrid w:val="0"/>
        <w:spacing w:line="52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4.</w:t>
      </w:r>
      <w:r>
        <w:rPr>
          <w:rFonts w:hint="eastAsia" w:ascii="仿宋" w:hAnsi="仿宋" w:eastAsia="仿宋" w:cs="仿宋"/>
          <w:sz w:val="30"/>
          <w:szCs w:val="30"/>
        </w:rPr>
        <w:t>服务能力得到提升拓展。一是主动为项目、企业提供服务。协助湖南经研电力设计有限公司以及益湛铁路、广清永高铁项目方开展地震监测环境影响评估，并向项目方提供地震监测台站相关标准，为上述项目开工提供依据。组织专人到江永银铅锌矿、湖南紫金锂业、永州市大益山有限公司等矿山企业和涔天河水库开展了一次防震减灾上门指导服务，宣传讲解地震预警知识，地震科技在相关行业的应用，指导开展地震灾害防范、地震应急预案编制等。二是积极开展农村建筑工匠培训。在全市分南北两片分别在蓝山县和零陵区举办了两期农村建筑工匠抗震设防技术培训，培训总人数累计达235人。三是注重将地震服务融合乡村振兴。零陵区水口山镇柏塘村是我局乡村振兴的驻点村，我局派出驻村工作队，在开展乡村振兴工作的同时，结合本部门职责，到驻地中小学、农村开展地震科普宣传，发放防震减灾宣传小册子，现场指导村民建房落实抗震措施，推动实现了地震服务和乡村振兴的有效融合。</w:t>
      </w:r>
    </w:p>
    <w:p w14:paraId="1690AEE7">
      <w:pPr>
        <w:snapToGrid w:val="0"/>
        <w:spacing w:line="52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5.</w:t>
      </w:r>
      <w:r>
        <w:rPr>
          <w:rFonts w:hint="eastAsia" w:ascii="仿宋" w:hAnsi="仿宋" w:eastAsia="仿宋" w:cs="仿宋"/>
          <w:sz w:val="30"/>
          <w:szCs w:val="30"/>
        </w:rPr>
        <w:t>科普宣传得到持续加强。一是深入开展“地震科普、携手同行”主题活动。在“5</w:t>
      </w:r>
      <w:r>
        <w:rPr>
          <w:rFonts w:hint="eastAsia" w:ascii="仿宋" w:hAnsi="仿宋" w:eastAsia="仿宋" w:cs="仿宋"/>
          <w:sz w:val="30"/>
          <w:szCs w:val="30"/>
          <w:lang w:eastAsia="zh-CN"/>
        </w:rPr>
        <w:t>·</w:t>
      </w:r>
      <w:r>
        <w:rPr>
          <w:rFonts w:hint="eastAsia" w:ascii="仿宋" w:hAnsi="仿宋" w:eastAsia="仿宋" w:cs="仿宋"/>
          <w:sz w:val="30"/>
          <w:szCs w:val="30"/>
        </w:rPr>
        <w:t>12”“7</w:t>
      </w:r>
      <w:r>
        <w:rPr>
          <w:rFonts w:hint="eastAsia" w:ascii="仿宋" w:hAnsi="仿宋" w:eastAsia="仿宋" w:cs="仿宋"/>
          <w:sz w:val="30"/>
          <w:szCs w:val="30"/>
          <w:lang w:eastAsia="zh-CN"/>
        </w:rPr>
        <w:t>·</w:t>
      </w:r>
      <w:r>
        <w:rPr>
          <w:rFonts w:hint="eastAsia" w:ascii="仿宋" w:hAnsi="仿宋" w:eastAsia="仿宋" w:cs="仿宋"/>
          <w:sz w:val="30"/>
          <w:szCs w:val="30"/>
        </w:rPr>
        <w:t>28”、全国科普月等重要时段组织开展了防震减灾科普“六进”及地震预警知识宣传活动，受众人数累计达80余万</w:t>
      </w:r>
      <w:r>
        <w:rPr>
          <w:rFonts w:hint="eastAsia" w:ascii="仿宋" w:hAnsi="仿宋" w:eastAsia="仿宋" w:cs="仿宋"/>
          <w:sz w:val="30"/>
          <w:szCs w:val="30"/>
          <w:lang w:eastAsia="zh-CN"/>
        </w:rPr>
        <w:t>。《中国应急管理报》</w:t>
      </w:r>
      <w:r>
        <w:rPr>
          <w:rFonts w:hint="eastAsia" w:ascii="仿宋" w:hAnsi="仿宋" w:eastAsia="仿宋" w:cs="仿宋"/>
          <w:sz w:val="30"/>
          <w:szCs w:val="30"/>
        </w:rPr>
        <w:t>对我市宁远县地震办在国际减灾日开展地震科普宣传进行了专题报道。二是注重发挥科普馆主阵地宣传。永州市防震减灾科普馆是永州市公共安全教育基地中最大的单体馆舍，面积达465平方米，我市利用科普馆普及地震科学知识、推广防震减灾技术、强化应急避险与自救互救技能，收到较好效果。自9月初试运行以来，累计接待人数达5320人。三是强化部门协作宣传。联合市科协开展了一次科普大篷车进校园宣传；与市文化旅游广电体育局联合开展了地震科普电影下乡活动；与市科技馆合作参加了全省防震减灾科普展演比赛。</w:t>
      </w:r>
    </w:p>
    <w:p w14:paraId="52B54CEF">
      <w:pPr>
        <w:snapToGrid w:val="0"/>
        <w:spacing w:line="520" w:lineRule="exact"/>
        <w:ind w:firstLine="600" w:firstLineChars="200"/>
        <w:rPr>
          <w:rFonts w:ascii="仿宋" w:hAnsi="仿宋" w:eastAsia="仿宋" w:cs="仿宋"/>
          <w:sz w:val="30"/>
          <w:szCs w:val="30"/>
        </w:rPr>
      </w:pPr>
      <w:r>
        <w:rPr>
          <w:rFonts w:hint="eastAsia" w:ascii="仿宋" w:hAnsi="仿宋" w:eastAsia="仿宋" w:cs="仿宋"/>
          <w:sz w:val="30"/>
          <w:szCs w:val="30"/>
          <w:lang w:eastAsia="zh-CN"/>
        </w:rPr>
        <w:t>6.</w:t>
      </w:r>
      <w:r>
        <w:rPr>
          <w:rFonts w:hint="eastAsia" w:ascii="仿宋" w:hAnsi="仿宋" w:eastAsia="仿宋" w:cs="仿宋"/>
          <w:sz w:val="30"/>
          <w:szCs w:val="30"/>
        </w:rPr>
        <w:t>防震减灾人员能力素质得到有效提升。一是注重提升系统人员业务能力。市地震局坚持每月组织全局人员进行业务学习。按要求组织县市区地震部门工作人员参加了2025年全省地震业务知识培训。组织县市区地震部门开展永州市地震快反系统操作培训和执法培训。指导县市区编制县级地震灾害应急处置手册。二是组织开展全市地震宏观观测人员专题培训。组织对全市15个地震宏观观测点观测人员开展了1次集中业务培训，增强了观测员观测知识、异常处理、灾情收集上报的能力。三是注重新进人员的培养。对全市8名新进和转岗人员通过传帮带、以老带新的方式尽快提升他们的履职能力。</w:t>
      </w:r>
    </w:p>
    <w:p w14:paraId="5B98FDA1">
      <w:pPr>
        <w:snapToGrid w:val="0"/>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xml:space="preserve">综上，永州市地震局在地震监测预报、震害防御、地震应急三大中心工作中2025年运行成本控制得当，管理效率高，履职效能强，社会效应显著，社会公众满意。                                                                                                                                                                                              </w:t>
      </w:r>
    </w:p>
    <w:p w14:paraId="584EFAF8">
      <w:pPr>
        <w:spacing w:line="560" w:lineRule="exact"/>
        <w:ind w:firstLine="600" w:firstLineChars="200"/>
        <w:rPr>
          <w:rFonts w:ascii="仿宋" w:hAnsi="仿宋" w:eastAsia="仿宋" w:cs="仿宋"/>
          <w:b/>
          <w:sz w:val="30"/>
          <w:szCs w:val="30"/>
        </w:rPr>
      </w:pPr>
      <w:r>
        <w:rPr>
          <w:rFonts w:hint="eastAsia" w:ascii="仿宋" w:hAnsi="仿宋" w:eastAsia="仿宋" w:cs="仿宋"/>
          <w:b/>
          <w:sz w:val="30"/>
          <w:szCs w:val="30"/>
        </w:rPr>
        <w:t>七、存在的主要问题</w:t>
      </w:r>
    </w:p>
    <w:p w14:paraId="7D65B773">
      <w:pPr>
        <w:spacing w:line="600" w:lineRule="exact"/>
        <w:ind w:right="-105" w:rightChars="-50" w:firstLine="600" w:firstLineChars="200"/>
        <w:rPr>
          <w:rFonts w:ascii="仿宋" w:hAnsi="仿宋" w:eastAsia="仿宋" w:cs="仿宋"/>
          <w:b/>
          <w:bCs/>
          <w:sz w:val="30"/>
          <w:szCs w:val="30"/>
        </w:rPr>
      </w:pPr>
      <w:r>
        <w:rPr>
          <w:rFonts w:hint="eastAsia" w:ascii="仿宋" w:hAnsi="仿宋" w:eastAsia="仿宋" w:cs="仿宋"/>
          <w:sz w:val="30"/>
          <w:szCs w:val="30"/>
        </w:rPr>
        <w:t>2025年虽然顺利完成了全市地震事业的预期目标，但从执行的情况来看，也存在着一些问题。存在的主要问题：一是省厅拨付资金没有列入年初部门预算而采取年中追加预算的方式，导致年中追加预算较多。</w:t>
      </w:r>
    </w:p>
    <w:p w14:paraId="02972842">
      <w:pPr>
        <w:spacing w:line="560" w:lineRule="exact"/>
        <w:ind w:firstLine="600" w:firstLineChars="200"/>
        <w:rPr>
          <w:rFonts w:ascii="仿宋" w:hAnsi="仿宋" w:eastAsia="仿宋" w:cs="仿宋"/>
          <w:b/>
          <w:sz w:val="30"/>
          <w:szCs w:val="30"/>
        </w:rPr>
      </w:pPr>
      <w:r>
        <w:rPr>
          <w:rFonts w:hint="eastAsia" w:ascii="仿宋" w:hAnsi="仿宋" w:eastAsia="仿宋" w:cs="仿宋"/>
          <w:b/>
          <w:sz w:val="30"/>
          <w:szCs w:val="30"/>
        </w:rPr>
        <w:t>八、下一步改进措施</w:t>
      </w:r>
    </w:p>
    <w:p w14:paraId="34BD336F">
      <w:pPr>
        <w:spacing w:line="600" w:lineRule="exact"/>
        <w:ind w:right="-105" w:rightChars="-50" w:firstLine="600" w:firstLineChars="200"/>
        <w:rPr>
          <w:rFonts w:ascii="仿宋" w:hAnsi="仿宋" w:eastAsia="仿宋" w:cs="仿宋"/>
          <w:sz w:val="30"/>
          <w:szCs w:val="30"/>
        </w:rPr>
      </w:pPr>
      <w:r>
        <w:rPr>
          <w:rFonts w:hint="eastAsia" w:ascii="仿宋" w:hAnsi="仿宋" w:eastAsia="仿宋" w:cs="仿宋"/>
          <w:sz w:val="30"/>
          <w:szCs w:val="30"/>
          <w:lang w:eastAsia="zh-CN"/>
        </w:rPr>
        <w:t>1.进一步提高</w:t>
      </w:r>
      <w:r>
        <w:rPr>
          <w:rFonts w:hint="eastAsia" w:ascii="仿宋" w:hAnsi="仿宋" w:eastAsia="仿宋" w:cs="仿宋"/>
          <w:sz w:val="30"/>
          <w:szCs w:val="30"/>
        </w:rPr>
        <w:t>预算编制的精细度，减少预算追加事项，提高预算控制率，强化采购项目的必要性，提高采购预算执行率。</w:t>
      </w:r>
    </w:p>
    <w:p w14:paraId="72EFFC93">
      <w:pPr>
        <w:spacing w:line="600" w:lineRule="exact"/>
        <w:ind w:right="-105" w:rightChars="-50" w:firstLine="600" w:firstLineChars="200"/>
        <w:rPr>
          <w:rFonts w:ascii="仿宋" w:hAnsi="仿宋" w:eastAsia="仿宋" w:cs="仿宋"/>
          <w:sz w:val="30"/>
          <w:szCs w:val="30"/>
        </w:rPr>
      </w:pPr>
      <w:r>
        <w:rPr>
          <w:rFonts w:hint="eastAsia" w:ascii="仿宋" w:hAnsi="仿宋" w:eastAsia="仿宋" w:cs="仿宋"/>
          <w:sz w:val="30"/>
          <w:szCs w:val="30"/>
          <w:lang w:eastAsia="zh-CN"/>
        </w:rPr>
        <w:t>2.</w:t>
      </w:r>
      <w:r>
        <w:rPr>
          <w:rFonts w:hint="eastAsia" w:ascii="仿宋" w:hAnsi="仿宋" w:eastAsia="仿宋" w:cs="仿宋"/>
          <w:sz w:val="30"/>
          <w:szCs w:val="30"/>
        </w:rPr>
        <w:t>进一步提高财务管理水平。加强财务人员的培训，提高财务核算管理水平，严格规范项目资金的使用及核算管理；严格贯彻执行国家有关法律法规和财经纪律，对检查发现的问题及时整改落实，杜绝不规范支出。</w:t>
      </w:r>
    </w:p>
    <w:p w14:paraId="51C31EA9">
      <w:pPr>
        <w:spacing w:line="560" w:lineRule="exact"/>
        <w:ind w:firstLine="600" w:firstLineChars="200"/>
        <w:rPr>
          <w:rFonts w:ascii="仿宋" w:hAnsi="仿宋" w:eastAsia="仿宋" w:cs="仿宋"/>
          <w:b/>
          <w:sz w:val="30"/>
          <w:szCs w:val="30"/>
        </w:rPr>
      </w:pPr>
      <w:r>
        <w:rPr>
          <w:rFonts w:hint="eastAsia" w:ascii="仿宋" w:hAnsi="仿宋" w:eastAsia="仿宋" w:cs="仿宋"/>
          <w:b/>
          <w:sz w:val="30"/>
          <w:szCs w:val="30"/>
        </w:rPr>
        <w:t>九、部门整体支出绩效自评结果拟应用和公开情况</w:t>
      </w:r>
    </w:p>
    <w:p w14:paraId="6A28CAAA">
      <w:pPr>
        <w:spacing w:line="600" w:lineRule="exact"/>
        <w:ind w:right="-105" w:rightChars="-50" w:firstLine="600" w:firstLineChars="200"/>
        <w:rPr>
          <w:rFonts w:ascii="仿宋" w:hAnsi="仿宋" w:eastAsia="仿宋" w:cs="仿宋"/>
          <w:sz w:val="30"/>
          <w:szCs w:val="30"/>
        </w:rPr>
      </w:pPr>
      <w:r>
        <w:rPr>
          <w:rFonts w:hint="eastAsia" w:ascii="仿宋" w:hAnsi="仿宋" w:eastAsia="仿宋" w:cs="仿宋"/>
          <w:sz w:val="30"/>
          <w:szCs w:val="30"/>
        </w:rPr>
        <w:t>本单位运用科学、合理的评价方法、指标体系和评价标准，对整体支出产出和效果进行客观公正的评价，提升预算管理水平和政策实施效果。健全绩效评价结果反馈制度和绩效问题整改责任制，形成反馈、整改、提升绩效的良性循环；单位负责人对本单位预算绩效负责，切实做到花钱必问效，无效必问责。整体支出绩效自评报告按规定时间、内容、程序在永州市财政局门户网站公开。</w:t>
      </w:r>
    </w:p>
    <w:p w14:paraId="7A79721F">
      <w:pPr>
        <w:pStyle w:val="9"/>
        <w:ind w:firstLine="420"/>
        <w:jc w:val="both"/>
        <w:rPr>
          <w:rFonts w:ascii="仿宋" w:hAnsi="仿宋" w:eastAsia="仿宋" w:cs="仿宋"/>
          <w:b/>
          <w:kern w:val="2"/>
          <w:sz w:val="30"/>
          <w:szCs w:val="30"/>
        </w:rPr>
      </w:pPr>
      <w:r>
        <w:rPr>
          <w:rFonts w:hint="eastAsia" w:ascii="仿宋" w:hAnsi="仿宋" w:eastAsia="仿宋" w:cs="仿宋"/>
          <w:b/>
          <w:kern w:val="2"/>
          <w:sz w:val="30"/>
          <w:szCs w:val="30"/>
        </w:rPr>
        <w:t>十、其他需要说明的情况。</w:t>
      </w:r>
    </w:p>
    <w:p w14:paraId="286794DE">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无。</w:t>
      </w:r>
    </w:p>
    <w:p w14:paraId="10AA1804">
      <w:pPr>
        <w:spacing w:line="560" w:lineRule="exact"/>
        <w:rPr>
          <w:rFonts w:ascii="仿宋" w:hAnsi="仿宋" w:eastAsia="仿宋" w:cs="仿宋"/>
          <w:sz w:val="30"/>
          <w:szCs w:val="30"/>
        </w:rPr>
      </w:pPr>
    </w:p>
    <w:p w14:paraId="4CCFA75B">
      <w:pPr>
        <w:rPr>
          <w:rFonts w:ascii="仿宋" w:hAnsi="仿宋" w:eastAsia="仿宋" w:cs="仿宋"/>
          <w:sz w:val="30"/>
          <w:szCs w:val="30"/>
        </w:rPr>
      </w:pPr>
    </w:p>
    <w:p w14:paraId="5595C123"/>
    <w:sectPr>
      <w:pgSz w:w="11906" w:h="16838"/>
      <w:pgMar w:top="720" w:right="1060" w:bottom="720" w:left="106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83325B-9C66-426E-8236-88B3F8A2C0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embedRegular r:id="rId2" w:fontKey="{417DCF60-A30C-4442-A948-A91125814114}"/>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3" w:fontKey="{0D8A7EA0-81C7-4DB3-94E7-DB08742B6C7B}"/>
  </w:font>
  <w:font w:name="仿宋">
    <w:panose1 w:val="02010609060101010101"/>
    <w:charset w:val="86"/>
    <w:family w:val="auto"/>
    <w:pitch w:val="default"/>
    <w:sig w:usb0="800002BF" w:usb1="38CF7CFA" w:usb2="00000016" w:usb3="00000000" w:csb0="00040001" w:csb1="00000000"/>
    <w:embedRegular r:id="rId4" w:fontKey="{EC180E41-CF27-46C7-B5CC-AB5A88F824D2}"/>
  </w:font>
  <w:font w:name="楷体">
    <w:panose1 w:val="02010609060101010101"/>
    <w:charset w:val="86"/>
    <w:family w:val="auto"/>
    <w:pitch w:val="default"/>
    <w:sig w:usb0="800002BF" w:usb1="38CF7CFA" w:usb2="00000016" w:usb3="00000000" w:csb0="00040001" w:csb1="00000000"/>
    <w:embedRegular r:id="rId5" w:fontKey="{1FD41CD2-628E-4BF1-B784-582218653FEE}"/>
  </w:font>
  <w:font w:name="楷体_GB2312">
    <w:altName w:val="楷体"/>
    <w:panose1 w:val="02010609030101010101"/>
    <w:charset w:val="86"/>
    <w:family w:val="modern"/>
    <w:pitch w:val="default"/>
    <w:sig w:usb0="00000000" w:usb1="00000000" w:usb2="00000010" w:usb3="00000000" w:csb0="00040000" w:csb1="00000000"/>
    <w:embedRegular r:id="rId6" w:fontKey="{F0C67D02-43C2-4BA7-9CEE-E3F02DD296E8}"/>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B3C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69E78">
                          <w:pPr>
                            <w:pStyle w:val="6"/>
                            <w:jc w:val="right"/>
                          </w:pPr>
                          <w:r>
                            <w:rPr>
                              <w:rFonts w:hint="eastAsia"/>
                              <w:lang w:val="en-US" w:eastAsia="zh-CN"/>
                            </w:rPr>
                            <w:t xml:space="preserve">                                                                                                          </w:t>
                          </w: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C69E78">
                    <w:pPr>
                      <w:pStyle w:val="6"/>
                      <w:jc w:val="right"/>
                    </w:pPr>
                    <w:r>
                      <w:rPr>
                        <w:rFonts w:hint="eastAsia"/>
                        <w:lang w:val="en-US" w:eastAsia="zh-CN"/>
                      </w:rPr>
                      <w:t xml:space="preserve">                                                                                                          </w:t>
                    </w: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YzY0NTkwY2E5ZWFiZTI3NDRlNTE4NGUyYmY5Nz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01082"/>
    <w:rsid w:val="003130C4"/>
    <w:rsid w:val="00316C4B"/>
    <w:rsid w:val="0032192B"/>
    <w:rsid w:val="003479BD"/>
    <w:rsid w:val="0037197D"/>
    <w:rsid w:val="003768D5"/>
    <w:rsid w:val="00387CA6"/>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4D0B1B"/>
    <w:rsid w:val="020312CA"/>
    <w:rsid w:val="022E6936"/>
    <w:rsid w:val="029562D6"/>
    <w:rsid w:val="03A41FFB"/>
    <w:rsid w:val="03AD5E11"/>
    <w:rsid w:val="04B87E5F"/>
    <w:rsid w:val="054162A1"/>
    <w:rsid w:val="05660292"/>
    <w:rsid w:val="057A17B3"/>
    <w:rsid w:val="07690F93"/>
    <w:rsid w:val="07D31211"/>
    <w:rsid w:val="07EF799A"/>
    <w:rsid w:val="083E4D1A"/>
    <w:rsid w:val="085A587E"/>
    <w:rsid w:val="08646E76"/>
    <w:rsid w:val="088007FC"/>
    <w:rsid w:val="08A96637"/>
    <w:rsid w:val="08CB4963"/>
    <w:rsid w:val="08D35DAA"/>
    <w:rsid w:val="08D54CEA"/>
    <w:rsid w:val="09002EC5"/>
    <w:rsid w:val="09697C97"/>
    <w:rsid w:val="09DC47EA"/>
    <w:rsid w:val="0A402FCB"/>
    <w:rsid w:val="0A4505E1"/>
    <w:rsid w:val="0A947767"/>
    <w:rsid w:val="0AA07A40"/>
    <w:rsid w:val="0ADF47D6"/>
    <w:rsid w:val="0B6131F9"/>
    <w:rsid w:val="0B8D3891"/>
    <w:rsid w:val="0BBC2B25"/>
    <w:rsid w:val="0BFA364D"/>
    <w:rsid w:val="0C4F661E"/>
    <w:rsid w:val="0C9007FB"/>
    <w:rsid w:val="0CF54541"/>
    <w:rsid w:val="0D1921F4"/>
    <w:rsid w:val="0DEA5245"/>
    <w:rsid w:val="0DEB76F2"/>
    <w:rsid w:val="0EB10D9A"/>
    <w:rsid w:val="107514F4"/>
    <w:rsid w:val="108C51BC"/>
    <w:rsid w:val="10AB4F16"/>
    <w:rsid w:val="10AC760C"/>
    <w:rsid w:val="11880F2A"/>
    <w:rsid w:val="118B7221"/>
    <w:rsid w:val="11D25FFF"/>
    <w:rsid w:val="12486EC1"/>
    <w:rsid w:val="12A11E8C"/>
    <w:rsid w:val="12B55DC6"/>
    <w:rsid w:val="12FE3A23"/>
    <w:rsid w:val="13021765"/>
    <w:rsid w:val="13732DE0"/>
    <w:rsid w:val="13773B0B"/>
    <w:rsid w:val="13785584"/>
    <w:rsid w:val="138F16CD"/>
    <w:rsid w:val="13F32AF1"/>
    <w:rsid w:val="146D2C0E"/>
    <w:rsid w:val="16AE750E"/>
    <w:rsid w:val="17103D25"/>
    <w:rsid w:val="17363093"/>
    <w:rsid w:val="173C5097"/>
    <w:rsid w:val="17D905BB"/>
    <w:rsid w:val="187C3D68"/>
    <w:rsid w:val="18952734"/>
    <w:rsid w:val="193D1546"/>
    <w:rsid w:val="19CD7720"/>
    <w:rsid w:val="19D62730"/>
    <w:rsid w:val="1A281157"/>
    <w:rsid w:val="1AF57E02"/>
    <w:rsid w:val="1B943177"/>
    <w:rsid w:val="1C6E39C8"/>
    <w:rsid w:val="1C896A53"/>
    <w:rsid w:val="1DA161E6"/>
    <w:rsid w:val="1E294787"/>
    <w:rsid w:val="1EC43D73"/>
    <w:rsid w:val="1ECD61C2"/>
    <w:rsid w:val="1F7A08D5"/>
    <w:rsid w:val="201D0E08"/>
    <w:rsid w:val="216646D4"/>
    <w:rsid w:val="21D02A2F"/>
    <w:rsid w:val="21F52495"/>
    <w:rsid w:val="22105521"/>
    <w:rsid w:val="235558E1"/>
    <w:rsid w:val="23D22B35"/>
    <w:rsid w:val="24002E90"/>
    <w:rsid w:val="24207C9D"/>
    <w:rsid w:val="2602624C"/>
    <w:rsid w:val="262D48F3"/>
    <w:rsid w:val="26B4532E"/>
    <w:rsid w:val="270155BE"/>
    <w:rsid w:val="27861A63"/>
    <w:rsid w:val="27B626C7"/>
    <w:rsid w:val="27BF5A1F"/>
    <w:rsid w:val="27F72511"/>
    <w:rsid w:val="281D1523"/>
    <w:rsid w:val="283F1579"/>
    <w:rsid w:val="2868597F"/>
    <w:rsid w:val="291E49C7"/>
    <w:rsid w:val="293F2976"/>
    <w:rsid w:val="2AA1167C"/>
    <w:rsid w:val="2B0025D7"/>
    <w:rsid w:val="2B3758CC"/>
    <w:rsid w:val="2B7669E8"/>
    <w:rsid w:val="2B8F74B6"/>
    <w:rsid w:val="2BD55811"/>
    <w:rsid w:val="2BE50215"/>
    <w:rsid w:val="2BF37DC4"/>
    <w:rsid w:val="2C27277D"/>
    <w:rsid w:val="2C9E20A7"/>
    <w:rsid w:val="2D2B188D"/>
    <w:rsid w:val="2D990784"/>
    <w:rsid w:val="2DA066A3"/>
    <w:rsid w:val="2DA92091"/>
    <w:rsid w:val="2E00644A"/>
    <w:rsid w:val="2F0D4C7E"/>
    <w:rsid w:val="2F4D1B62"/>
    <w:rsid w:val="2F9F425A"/>
    <w:rsid w:val="303B19BB"/>
    <w:rsid w:val="30986E0D"/>
    <w:rsid w:val="310F3573"/>
    <w:rsid w:val="31E85B72"/>
    <w:rsid w:val="324A4137"/>
    <w:rsid w:val="32511363"/>
    <w:rsid w:val="331747F8"/>
    <w:rsid w:val="33AE0026"/>
    <w:rsid w:val="33CF0D98"/>
    <w:rsid w:val="34622994"/>
    <w:rsid w:val="347356A9"/>
    <w:rsid w:val="347E631A"/>
    <w:rsid w:val="348C4EDB"/>
    <w:rsid w:val="36AA7669"/>
    <w:rsid w:val="36C85EC2"/>
    <w:rsid w:val="37F3223D"/>
    <w:rsid w:val="3851671C"/>
    <w:rsid w:val="39131727"/>
    <w:rsid w:val="393671C3"/>
    <w:rsid w:val="39E84962"/>
    <w:rsid w:val="3A993035"/>
    <w:rsid w:val="3B6417B1"/>
    <w:rsid w:val="3B6F0FCC"/>
    <w:rsid w:val="3B916612"/>
    <w:rsid w:val="3C486F8E"/>
    <w:rsid w:val="3C710BEE"/>
    <w:rsid w:val="3C85293C"/>
    <w:rsid w:val="3C87642E"/>
    <w:rsid w:val="3CA8487C"/>
    <w:rsid w:val="3CDF1D72"/>
    <w:rsid w:val="3D6764E5"/>
    <w:rsid w:val="3D9773F0"/>
    <w:rsid w:val="3E78202C"/>
    <w:rsid w:val="3EA2653A"/>
    <w:rsid w:val="3EC11C25"/>
    <w:rsid w:val="3EDB76DB"/>
    <w:rsid w:val="3EE66D1D"/>
    <w:rsid w:val="3F2301EA"/>
    <w:rsid w:val="3F76656C"/>
    <w:rsid w:val="3FE71217"/>
    <w:rsid w:val="41CD7BFA"/>
    <w:rsid w:val="420318E2"/>
    <w:rsid w:val="424661F5"/>
    <w:rsid w:val="42C237FF"/>
    <w:rsid w:val="44511355"/>
    <w:rsid w:val="44616288"/>
    <w:rsid w:val="45034D45"/>
    <w:rsid w:val="45234EE5"/>
    <w:rsid w:val="4541586E"/>
    <w:rsid w:val="45AE0FFE"/>
    <w:rsid w:val="45EB5E6F"/>
    <w:rsid w:val="46040D75"/>
    <w:rsid w:val="465B4D01"/>
    <w:rsid w:val="474352CD"/>
    <w:rsid w:val="47501D98"/>
    <w:rsid w:val="475278BE"/>
    <w:rsid w:val="47881532"/>
    <w:rsid w:val="47984277"/>
    <w:rsid w:val="480908C5"/>
    <w:rsid w:val="486624DC"/>
    <w:rsid w:val="487D667F"/>
    <w:rsid w:val="48B545A9"/>
    <w:rsid w:val="48D11490"/>
    <w:rsid w:val="490177EE"/>
    <w:rsid w:val="49675177"/>
    <w:rsid w:val="49BC684D"/>
    <w:rsid w:val="49D5663E"/>
    <w:rsid w:val="49ED1B20"/>
    <w:rsid w:val="4A611501"/>
    <w:rsid w:val="4B9C0724"/>
    <w:rsid w:val="4BCB5E91"/>
    <w:rsid w:val="4C143394"/>
    <w:rsid w:val="4CA95F3B"/>
    <w:rsid w:val="4D04140A"/>
    <w:rsid w:val="4D11147A"/>
    <w:rsid w:val="4DDF5C24"/>
    <w:rsid w:val="4E001C9B"/>
    <w:rsid w:val="4EAF3848"/>
    <w:rsid w:val="4EBB043F"/>
    <w:rsid w:val="4EFA0B10"/>
    <w:rsid w:val="4F5A37B4"/>
    <w:rsid w:val="4FC41575"/>
    <w:rsid w:val="506F328F"/>
    <w:rsid w:val="51035B59"/>
    <w:rsid w:val="512027DB"/>
    <w:rsid w:val="51220EEC"/>
    <w:rsid w:val="51B80C66"/>
    <w:rsid w:val="525A6B4D"/>
    <w:rsid w:val="52D7336D"/>
    <w:rsid w:val="52E03B06"/>
    <w:rsid w:val="52F96340"/>
    <w:rsid w:val="53627163"/>
    <w:rsid w:val="53990CE5"/>
    <w:rsid w:val="53A95BB0"/>
    <w:rsid w:val="53BD07B5"/>
    <w:rsid w:val="53F44A1C"/>
    <w:rsid w:val="54273E81"/>
    <w:rsid w:val="543B00DA"/>
    <w:rsid w:val="549348E7"/>
    <w:rsid w:val="55800C5A"/>
    <w:rsid w:val="558953F2"/>
    <w:rsid w:val="577643A7"/>
    <w:rsid w:val="577772D1"/>
    <w:rsid w:val="5777D4F5"/>
    <w:rsid w:val="59AA4FDB"/>
    <w:rsid w:val="59FE5684"/>
    <w:rsid w:val="5AD54636"/>
    <w:rsid w:val="5AD92379"/>
    <w:rsid w:val="5BD719B1"/>
    <w:rsid w:val="5BE638D8"/>
    <w:rsid w:val="5C266DAE"/>
    <w:rsid w:val="5C4C2EAB"/>
    <w:rsid w:val="5DF07409"/>
    <w:rsid w:val="5E174F66"/>
    <w:rsid w:val="5E421AA2"/>
    <w:rsid w:val="5E9A0B62"/>
    <w:rsid w:val="5F8E3006"/>
    <w:rsid w:val="5FC6BB1E"/>
    <w:rsid w:val="5FF720F1"/>
    <w:rsid w:val="60B23B14"/>
    <w:rsid w:val="61137C66"/>
    <w:rsid w:val="61677FB2"/>
    <w:rsid w:val="61CE3B8D"/>
    <w:rsid w:val="620D4065"/>
    <w:rsid w:val="62206ADF"/>
    <w:rsid w:val="628252A8"/>
    <w:rsid w:val="631E6370"/>
    <w:rsid w:val="64265F03"/>
    <w:rsid w:val="647F228C"/>
    <w:rsid w:val="64870EB0"/>
    <w:rsid w:val="654B56D6"/>
    <w:rsid w:val="659D3FA3"/>
    <w:rsid w:val="65FF4C5D"/>
    <w:rsid w:val="667935F5"/>
    <w:rsid w:val="66D71736"/>
    <w:rsid w:val="66F81DD8"/>
    <w:rsid w:val="67542D87"/>
    <w:rsid w:val="679A2E90"/>
    <w:rsid w:val="67B92D53"/>
    <w:rsid w:val="680451DA"/>
    <w:rsid w:val="684E5A28"/>
    <w:rsid w:val="687D0434"/>
    <w:rsid w:val="690F2734"/>
    <w:rsid w:val="693764BC"/>
    <w:rsid w:val="696B1009"/>
    <w:rsid w:val="69F20E09"/>
    <w:rsid w:val="6A38073E"/>
    <w:rsid w:val="6A670A9A"/>
    <w:rsid w:val="6A973B65"/>
    <w:rsid w:val="6AEC5EC2"/>
    <w:rsid w:val="6B1C3BBC"/>
    <w:rsid w:val="6B282560"/>
    <w:rsid w:val="6B737C7F"/>
    <w:rsid w:val="6CD429A0"/>
    <w:rsid w:val="6D4C4C2C"/>
    <w:rsid w:val="6E02445E"/>
    <w:rsid w:val="6EE72F19"/>
    <w:rsid w:val="6EEB5D7F"/>
    <w:rsid w:val="6F23713B"/>
    <w:rsid w:val="6F3C70DC"/>
    <w:rsid w:val="702A0B29"/>
    <w:rsid w:val="7040659E"/>
    <w:rsid w:val="70D11271"/>
    <w:rsid w:val="70EE5FFA"/>
    <w:rsid w:val="70F353BF"/>
    <w:rsid w:val="711C0875"/>
    <w:rsid w:val="7218332F"/>
    <w:rsid w:val="726739D4"/>
    <w:rsid w:val="72AA7CFF"/>
    <w:rsid w:val="73010267"/>
    <w:rsid w:val="730F7446"/>
    <w:rsid w:val="732F1165"/>
    <w:rsid w:val="737D59BA"/>
    <w:rsid w:val="739848D7"/>
    <w:rsid w:val="73CA68AB"/>
    <w:rsid w:val="7419338E"/>
    <w:rsid w:val="74257F85"/>
    <w:rsid w:val="7461442B"/>
    <w:rsid w:val="751D0C5C"/>
    <w:rsid w:val="757F5473"/>
    <w:rsid w:val="75ED4AD2"/>
    <w:rsid w:val="76A24E70"/>
    <w:rsid w:val="77C37683"/>
    <w:rsid w:val="783A0796"/>
    <w:rsid w:val="784A2FF2"/>
    <w:rsid w:val="785A6B16"/>
    <w:rsid w:val="78C52B63"/>
    <w:rsid w:val="791B54B2"/>
    <w:rsid w:val="79201666"/>
    <w:rsid w:val="793F73F3"/>
    <w:rsid w:val="79DA35C0"/>
    <w:rsid w:val="79FF515B"/>
    <w:rsid w:val="7A94263C"/>
    <w:rsid w:val="7AC878BC"/>
    <w:rsid w:val="7B191EC6"/>
    <w:rsid w:val="7B1B79EC"/>
    <w:rsid w:val="7BC675DC"/>
    <w:rsid w:val="7C091F3A"/>
    <w:rsid w:val="7C147D90"/>
    <w:rsid w:val="7CAA7279"/>
    <w:rsid w:val="7CCA16C9"/>
    <w:rsid w:val="7CD05255"/>
    <w:rsid w:val="7D9F2B56"/>
    <w:rsid w:val="7DB20DDC"/>
    <w:rsid w:val="7E527DA3"/>
    <w:rsid w:val="7E6478FC"/>
    <w:rsid w:val="7E703977"/>
    <w:rsid w:val="7E9F11B4"/>
    <w:rsid w:val="7EE50A3C"/>
    <w:rsid w:val="7F964BD4"/>
    <w:rsid w:val="7FC69637"/>
    <w:rsid w:val="7FD5027C"/>
    <w:rsid w:val="7FD545F1"/>
    <w:rsid w:val="7FEE433A"/>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qFormat/>
    <w:uiPriority w:val="0"/>
    <w:pPr>
      <w:spacing w:after="120"/>
      <w:ind w:left="420" w:leftChars="200"/>
    </w:pPr>
  </w:style>
  <w:style w:type="paragraph" w:styleId="4">
    <w:name w:val="Body Text First Indent 2"/>
    <w:basedOn w:val="3"/>
    <w:next w:val="1"/>
    <w:qFormat/>
    <w:uiPriority w:val="99"/>
    <w:pPr>
      <w:ind w:firstLine="420" w:firstLineChars="200"/>
    </w:pPr>
  </w:style>
  <w:style w:type="paragraph" w:styleId="5">
    <w:name w:val="Balloon Text"/>
    <w:basedOn w:val="1"/>
    <w:link w:val="18"/>
    <w:semiHidden/>
    <w:unhideWhenUsed/>
    <w:qFormat/>
    <w:uiPriority w:val="99"/>
    <w:rPr>
      <w:sz w:val="18"/>
      <w:szCs w:val="18"/>
    </w:rPr>
  </w:style>
  <w:style w:type="paragraph" w:styleId="6">
    <w:name w:val="footer"/>
    <w:basedOn w:val="1"/>
    <w:next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99"/>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5"/>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3232d912-eeb2-4f79-a082-98a27f4d70e4</errorID>
      <errorWord>:</errorWord>
      <group>L1_Punc</group>
      <groupName>标点问题</groupName>
      <ability>L2_Punc_CN</ability>
      <abilityName>标点符号问题</abilityName>
      <candidateList>
        <item>：</item>
      </candidateList>
      <explain/>
      <paraID>201815A7</paraID>
      <start>6</start>
      <end>7</end>
      <status>modified</status>
      <modifiedWord>：</modifiedWord>
      <trackRevisions>false</trackRevisions>
    </reviewItem>
    <reviewItem>
      <errorID>518e6f47-cdc8-444e-bf86-7f50d31d733c</errorID>
      <errorWord>15.57%</errorWord>
      <group>L1_Other</group>
      <groupName>其他问题</groupName>
      <ability>L2_Consistency</ability>
      <abilityName>一致性检查</abilityName>
      <candidateList>
        <item>15.58%</item>
      </candidateList>
      <explain>数字一致性错误，原文附件自评报告中该占比明确为15.58%，需保持前后一致</explain>
      <paraID>71DB89BA</paraID>
      <start>18</start>
      <end>24</end>
      <status>modified</status>
      <modifiedWord>15.58%</modifiedWord>
      <trackRevisions>false</trackRevisions>
    </reviewItem>
    <reviewItem>
      <errorID>c0da7768-bbea-4894-8d43-b1d0f5a88ddc</errorID>
      <errorWord>的</errorWord>
      <group>L1_Word</group>
      <groupName>字词问题</groupName>
      <ability>L2_Typo</ability>
      <abilityName>字词错误</abilityName>
      <candidateList>
        <item>，</item>
      </candidateList>
      <explain/>
      <paraID>630732E1</paraID>
      <start>77</start>
      <end>78</end>
      <status>ignored</status>
      <modifiedWord/>
      <trackRevisions>false</trackRevisions>
    </reviewItem>
    <reviewItem>
      <errorID>a7cee699-6a10-48ce-9abd-6767931ca8eb</errorID>
      <errorWord>的</errorWord>
      <group>L1_Word</group>
      <groupName>字词问题</groupName>
      <ability>L2_Typo</ability>
      <abilityName>字词错误</abilityName>
      <candidateList>
        <item>，</item>
      </candidateList>
      <explain/>
      <paraID>630732E1</paraID>
      <start>141</start>
      <end>142</end>
      <status>ignored</status>
      <modifiedWord/>
      <trackRevisions>false</trackRevisions>
    </reviewItem>
    <reviewItem>
      <errorID>d53d956c-5ee1-4841-ad10-222b20dcfc00</errorID>
      <errorWord>120人</errorWord>
      <group>L1_Other</group>
      <groupName>其他问题</groupName>
      <ability>L2_Consistency</ability>
      <abilityName>一致性检查</abilityName>
      <candidateList>
        <item>235人</item>
      </candidateList>
      <explain>数字一致性错误，原文附件自评报告中明确农村工匠抗震设防技术培训总人数累计达235人，需保持前后一致</explain>
      <paraID>6546E43F</paraID>
      <start>109</start>
      <end>113</end>
      <status>modified</status>
      <modifiedWord>235人</modifiedWord>
      <trackRevisions>false</trackRevisions>
    </reviewItem>
    <reviewItem>
      <errorID>11ffd5b7-73b4-4544-87bf-5a9f9ce6b619</errorID>
      <errorWord>、</errorWord>
      <group>L1_Punc</group>
      <groupName>标点问题</groupName>
      <ability>L2_Punc_CN</ability>
      <abilityName>标点符号问题</abilityName>
      <candidateList>
        <item>，</item>
      </candidateList>
      <explain/>
      <paraID>7B0B1865</paraID>
      <start>41</start>
      <end>42</end>
      <status>ignored</status>
      <modifiedWord/>
      <trackRevisions>false</trackRevisions>
    </reviewItem>
    <reviewItem>
      <errorID>1a45b013-d290-44cd-8cb2-5997e6b2221b</errorID>
      <errorWord>、</errorWord>
      <group>L1_Punc</group>
      <groupName>标点问题</groupName>
      <ability>L2_Punc_CN</ability>
      <abilityName>标点符号问题</abilityName>
      <candidateList>
        <item>，</item>
      </candidateList>
      <explain/>
      <paraID>7B0B1865</paraID>
      <start>53</start>
      <end>54</end>
      <status>ignored</status>
      <modifiedWord/>
      <trackRevisions>false</trackRevisions>
    </reviewItem>
    <reviewItem>
      <errorID>321e6712-5682-449e-9643-d3b85da9ec91</errorID>
      <errorWord> </errorWord>
      <group>L1_Punc</group>
      <groupName>标点问题</groupName>
      <ability>L2_Punc_CN</ability>
      <abilityName>标点符号问题</abilityName>
      <candidateList>
        <item/>
      </candidateList>
      <explain>此处空格冗余，建议删除。</explain>
      <paraID>448D27FB</paraID>
      <start>69</start>
      <end>69</end>
      <status>modified</status>
      <modifiedWord/>
      <trackRevisions>false</trackRevisions>
    </reviewItem>
    <reviewItem>
      <errorID>3c6238d7-936b-4a9a-b0bc-8f5aa32cd229</errorID>
      <errorWord> </errorWord>
      <group>L1_Punc</group>
      <groupName>标点问题</groupName>
      <ability>L2_Punc_CN</ability>
      <abilityName>标点符号问题</abilityName>
      <candidateList>
        <item/>
      </candidateList>
      <explain>此处空格冗余，建议删除。</explain>
      <paraID>448D27FB</paraID>
      <start>75</start>
      <end>75</end>
      <status>modified</status>
      <modifiedWord/>
      <trackRevisions>false</trackRevisions>
    </reviewItem>
    <reviewItem>
      <errorID>ab4a4ee4-edf8-4275-b846-70cec6464b50</errorID>
      <errorWord> </errorWord>
      <group>L1_Punc</group>
      <groupName>标点问题</groupName>
      <ability>L2_Punc_CN</ability>
      <abilityName>标点符号问题</abilityName>
      <candidateList>
        <item/>
      </candidateList>
      <explain>此处空格冗余，建议删除。</explain>
      <paraID>448D27FB</paraID>
      <start>106</start>
      <end>106</end>
      <status>modified</status>
      <modifiedWord/>
      <trackRevisions>false</trackRevisions>
    </reviewItem>
    <reviewItem>
      <errorID>3d5c814b-6601-4e7c-8e6a-e00760858a09</errorID>
      <errorWord> </errorWord>
      <group>L1_Punc</group>
      <groupName>标点问题</groupName>
      <ability>L2_Punc_CN</ability>
      <abilityName>标点符号问题</abilityName>
      <candidateList>
        <item/>
      </candidateList>
      <explain>此处空格冗余，建议删除。</explain>
      <paraID>448D27FB</paraID>
      <start>108</start>
      <end>108</end>
      <status>modified</status>
      <modifiedWord/>
      <trackRevisions>false</trackRevisions>
    </reviewItem>
    <reviewItem>
      <errorID>35ce7e46-f11b-46ea-81d2-4eff308c2c64</errorID>
      <errorWord> </errorWord>
      <group>L1_Punc</group>
      <groupName>标点问题</groupName>
      <ability>L2_Punc_CN</ability>
      <abilityName>标点符号问题</abilityName>
      <candidateList>
        <item/>
      </candidateList>
      <explain>此处空格冗余，建议删除。</explain>
      <paraID>448D27FB</paraID>
      <start>138</start>
      <end>138</end>
      <status>modified</status>
      <modifiedWord/>
      <trackRevisions>false</trackRevisions>
    </reviewItem>
    <reviewItem>
      <errorID>fe675ca9-5cac-494f-a369-77ac8ba33ca5</errorID>
      <errorWord> </errorWord>
      <group>L1_Punc</group>
      <groupName>标点问题</groupName>
      <ability>L2_Punc_CN</ability>
      <abilityName>标点符号问题</abilityName>
      <candidateList>
        <item/>
      </candidateList>
      <explain>此处空格冗余，建议删除。</explain>
      <paraID>448D27FB</paraID>
      <start>140</start>
      <end>140</end>
      <status>modified</status>
      <modifiedWord/>
      <trackRevisions>false</trackRevisions>
    </reviewItem>
    <reviewItem>
      <errorID>c0f7cb30-74e0-4e18-9904-86daa21b9397</errorID>
      <errorWord> </errorWord>
      <group>L1_Punc</group>
      <groupName>标点问题</groupName>
      <ability>L2_Punc_CN</ability>
      <abilityName>标点符号问题</abilityName>
      <candidateList>
        <item/>
      </candidateList>
      <explain>此处空格冗余，建议删除。</explain>
      <paraID>448D27FB</paraID>
      <start>171</start>
      <end>171</end>
      <status>modified</status>
      <modifiedWord/>
      <trackRevisions>false</trackRevisions>
    </reviewItem>
    <reviewItem>
      <errorID>2a647d72-8255-4021-af91-0a787de5a515</errorID>
      <errorWord>防震减灾救灾</errorWord>
      <group>L1_Political</group>
      <groupName>政治性问题</groupName>
      <ability>L2_Keyword</ability>
      <abilityName>固定表述</abilityName>
      <candidateList>
        <item>防灾减灾救灾</item>
      </candidateList>
      <explain>词汇“防灾减灾救灾”在特定场景下为固定表述形式，请确认此处的“防震减灾救灾”是否存在不当。</explain>
      <paraID> 4A5B03E</paraID>
      <start>530</start>
      <end>536</end>
      <status>ignored</status>
      <modifiedWord/>
      <trackRevisions>false</trackRevisions>
    </reviewItem>
    <reviewItem>
      <errorID>95ab2da3-6c75-42f8-85f1-a4a5e44eac9b</errorID>
      <errorWord>地震</errorWord>
      <group>L1_Grammar</group>
      <groupName>语法问题</groupName>
      <ability>L2_Grammar</ability>
      <abilityName>语法错误</abilityName>
      <candidateList>
        <item>主要用于地震</item>
      </candidateList>
      <explain/>
      <paraID>1BACD707</paraID>
      <start>21</start>
      <end>27</end>
      <status>modified</status>
      <modifiedWord>主要用于地震</modifiedWord>
      <trackRevisions>false</trackRevisions>
    </reviewItem>
    <reviewItem>
      <errorID>75cd0e77-8c0d-4a64-9837-0d41b96c0ee0</errorID>
      <errorWord>主要用于</errorWord>
      <group>L1_Grammar</group>
      <groupName>语法问题</groupName>
      <ability>L2_Grammar</ability>
      <abilityName>语法错误</abilityName>
      <candidateList>
        <item>，如</item>
      </candidateList>
      <explain/>
      <paraID>1BACD707</paraID>
      <start>29</start>
      <end>31</end>
      <status>modified</status>
      <modifiedWord>，如</modifiedWord>
      <trackRevisions>false</trackRevisions>
    </reviewItem>
    <reviewItem>
      <errorID>6d9309ee-a30f-41f8-9657-9d84a58047c2</errorID>
      <errorWord>等维护</errorWord>
      <group>L1_Grammar</group>
      <groupName>语法问题</groupName>
      <ability>L2_Grammar</ability>
      <abilityName>语法错误</abilityName>
      <candidateList>
        <item>等</item>
      </candidateList>
      <explain/>
      <paraID>1BACD707</paraID>
      <start>62</start>
      <end>63</end>
      <status>modified</status>
      <modifiedWord>等</modifiedWord>
      <trackRevisions>false</trackRevisions>
    </reviewItem>
    <reviewItem>
      <errorID>cd27dfc8-cc64-424a-b6b1-27b3aa305c70</errorID>
      <errorWord>，中国应急管理报</errorWord>
      <group>L1_Punc</group>
      <groupName>标点问题</groupName>
      <ability>L2_Punc_CN</ability>
      <abilityName>标点符号问题</abilityName>
      <candidateList>
        <item>。《中国应急管理报》</item>
      </candidateList>
      <explain/>
      <paraID>1690AEE7</paraID>
      <start>97</start>
      <end>107</end>
      <status>modified</status>
      <modifiedWord>。《中国应急管理报》</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3e0fea-653b-40ef-96b4-336b0a7f796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1292</Words>
  <Characters>1425</Characters>
  <Lines>63</Lines>
  <Paragraphs>18</Paragraphs>
  <TotalTime>4</TotalTime>
  <ScaleCrop>false</ScaleCrop>
  <LinksUpToDate>false</LinksUpToDate>
  <CharactersWithSpaces>1432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朋里个鹏鹏</cp:lastModifiedBy>
  <cp:lastPrinted>2023-08-15T09:28:00Z</cp:lastPrinted>
  <dcterms:modified xsi:type="dcterms:W3CDTF">2026-09-27T07:26:34Z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4F8F7E92F0F249989E6383717D38C3C5_13</vt:lpwstr>
  </property>
  <property fmtid="{D5CDD505-2E9C-101B-9397-08002B2CF9AE}" pid="4" name="KSOTemplateDocerSaveRecord">
    <vt:lpwstr>eyJoZGlkIjoiMDExYWY5YjhlNGNiMTYwYjQ5MDkzZjQ1MDM5ODNkMTIiLCJ1c2VySWQiOiI5MzMzOTM4MTEifQ==</vt:lpwstr>
  </property>
</Properties>
</file>