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永州市公安局零陵分局</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eastAsia="zh-CN"/>
        </w:rPr>
        <w:t>永州市公安局零陵分局</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永州市公安局零陵分局</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numPr>
          <w:ilvl w:val="0"/>
          <w:numId w:val="0"/>
        </w:numPr>
        <w:ind w:leftChars="0" w:firstLine="960" w:firstLineChars="3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pPr>
        <w:widowControl/>
        <w:spacing w:line="600" w:lineRule="exact"/>
        <w:ind w:firstLine="643" w:firstLineChars="200"/>
        <w:rPr>
          <w:rFonts w:hint="eastAsia" w:ascii="楷体_GB2312" w:hAnsi="楷体_GB2312" w:eastAsia="楷体_GB2312" w:cs="楷体_GB2312"/>
          <w:b/>
          <w:bCs w:val="0"/>
          <w:kern w:val="0"/>
          <w:sz w:val="32"/>
          <w:szCs w:val="32"/>
          <w:lang w:eastAsia="zh-CN"/>
        </w:rPr>
      </w:pPr>
      <w:r>
        <w:rPr>
          <w:rFonts w:hint="eastAsia" w:ascii="楷体_GB2312" w:hAnsi="楷体_GB2312" w:eastAsia="楷体_GB2312" w:cs="楷体_GB2312"/>
          <w:b/>
          <w:bCs w:val="0"/>
          <w:kern w:val="0"/>
          <w:sz w:val="32"/>
          <w:szCs w:val="32"/>
        </w:rPr>
        <w:t>（一）</w:t>
      </w:r>
      <w:r>
        <w:rPr>
          <w:rFonts w:hint="eastAsia" w:ascii="仿宋_GB2312" w:hAnsi="仿宋_GB2312" w:eastAsia="仿宋_GB2312" w:cs="仿宋_GB2312"/>
          <w:bCs/>
          <w:kern w:val="0"/>
          <w:sz w:val="32"/>
          <w:szCs w:val="32"/>
        </w:rPr>
        <w:t>根据市委、市人民政府《关于印发〈永州市机构改革方案的实施意见〉的通知》（永编办[2008]16号）精神，设置永州市公安局零陵分局。零陵公安分局是零陵区人民政府工作部门，其主要职责是打击犯罪，保护人民，管理社会，服务群众。</w:t>
      </w:r>
    </w:p>
    <w:p>
      <w:pPr>
        <w:widowControl/>
        <w:spacing w:line="600" w:lineRule="exact"/>
        <w:ind w:firstLine="960" w:firstLineChars="300"/>
        <w:rPr>
          <w:rFonts w:hint="eastAsia" w:ascii="黑体" w:hAnsi="黑体" w:eastAsia="黑体" w:cs="黑体"/>
          <w:b w:val="0"/>
          <w:bCs w:val="0"/>
          <w:kern w:val="0"/>
          <w:sz w:val="32"/>
          <w:szCs w:val="32"/>
        </w:rPr>
      </w:pPr>
      <w:r>
        <w:rPr>
          <w:rFonts w:hint="eastAsia" w:ascii="黑体" w:hAnsi="黑体" w:eastAsia="黑体" w:cs="黑体"/>
          <w:b w:val="0"/>
          <w:bCs w:val="0"/>
          <w:kern w:val="2"/>
          <w:sz w:val="32"/>
          <w:szCs w:val="32"/>
          <w:lang w:val="en-US" w:eastAsia="zh-CN" w:bidi="ar-SA"/>
        </w:rPr>
        <w:t>二、机构设置及决算单位构成</w:t>
      </w:r>
    </w:p>
    <w:p>
      <w:pPr>
        <w:widowControl/>
        <w:spacing w:line="600" w:lineRule="exact"/>
        <w:ind w:firstLine="643" w:firstLineChars="200"/>
        <w:rPr>
          <w:rFonts w:hint="eastAsia" w:ascii="仿宋_GB2312" w:hAnsi="仿宋_GB2312" w:eastAsia="仿宋_GB2312" w:cs="仿宋_GB2312"/>
          <w:bCs/>
          <w:kern w:val="0"/>
          <w:sz w:val="32"/>
          <w:szCs w:val="32"/>
          <w:lang w:eastAsia="zh-CN"/>
        </w:rPr>
      </w:pPr>
      <w:r>
        <w:rPr>
          <w:rFonts w:hint="eastAsia" w:ascii="楷体_GB2312" w:hAnsi="楷体_GB2312" w:eastAsia="楷体_GB2312" w:cs="楷体_GB2312"/>
          <w:b/>
          <w:bCs w:val="0"/>
          <w:kern w:val="0"/>
          <w:sz w:val="32"/>
          <w:szCs w:val="32"/>
        </w:rPr>
        <w:t>（一）内设机构设置。</w:t>
      </w:r>
      <w:r>
        <w:rPr>
          <w:rFonts w:hint="eastAsia" w:ascii="仿宋_GB2312" w:hAnsi="仿宋_GB2312" w:eastAsia="仿宋_GB2312" w:cs="仿宋_GB2312"/>
          <w:bCs/>
          <w:kern w:val="0"/>
          <w:sz w:val="32"/>
          <w:szCs w:val="32"/>
          <w:lang w:val="en-US" w:eastAsia="zh-CN"/>
        </w:rPr>
        <w:t>永州市公安局零陵分局为正科级单位，永州市公安局零陵分局为正科级单位，内设14个机构（其中刑侦大队、治安大队等11个大队，政工监督室、警务保障室等3个股室）；下属机构2个：看守所、拘留所；派出机构18个：徐家井、朝阳等4个城区派出所及沙沟湾派出所和水上派出所；珠山、接履桥等12个农村派出所。年末共有在职民警职工326人，退休干部135人，户管员14人，劳务派遣辅警550人。</w:t>
      </w:r>
    </w:p>
    <w:p>
      <w:pPr>
        <w:ind w:firstLine="643" w:firstLineChars="200"/>
        <w:jc w:val="left"/>
        <w:rPr>
          <w:rFonts w:ascii="Times New Roman" w:hAnsi="Times New Roman" w:eastAsia="黑体" w:cs="Times New Roman"/>
          <w:sz w:val="28"/>
          <w:szCs w:val="28"/>
        </w:rPr>
      </w:pPr>
      <w:r>
        <w:rPr>
          <w:rFonts w:hint="eastAsia" w:ascii="楷体_GB2312" w:hAnsi="楷体_GB2312" w:eastAsia="楷体_GB2312" w:cs="楷体_GB2312"/>
          <w:b/>
          <w:bCs w:val="0"/>
          <w:kern w:val="0"/>
          <w:sz w:val="32"/>
          <w:szCs w:val="32"/>
        </w:rPr>
        <w:t>（二）决算单位构成。</w:t>
      </w:r>
      <w:r>
        <w:rPr>
          <w:rFonts w:hint="eastAsia" w:ascii="Times New Roman" w:hAnsi="Times New Roman" w:eastAsia="仿宋_GB2312" w:cs="黑体"/>
          <w:color w:val="000000"/>
          <w:kern w:val="0"/>
          <w:sz w:val="32"/>
          <w:szCs w:val="32"/>
          <w:lang w:val="en-US" w:eastAsia="zh-CN" w:bidi="ar-SA"/>
        </w:rPr>
        <w:t>永州市公安局零陵分局2025年部门决算汇总公开单位构成包括：永州市公安局零陵分局本级</w:t>
      </w: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永州市公安局零陵分局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660"/>
        <w:gridCol w:w="835"/>
        <w:gridCol w:w="1400"/>
        <w:gridCol w:w="4766"/>
        <w:gridCol w:w="835"/>
        <w:gridCol w:w="1400"/>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11086.51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9512.51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873.06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259.05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2"/>
                <w:lang w:eastAsia="zh-CN"/>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441.89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11086.51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11086.51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11086.51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永州市公安局零陵分局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825"/>
        <w:gridCol w:w="1115"/>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7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1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2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1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2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75" w:hRule="atLeast"/>
          <w:jc w:val="center"/>
        </w:trPr>
        <w:tc>
          <w:tcPr>
            <w:tcW w:w="371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1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195" w:hRule="atLeast"/>
          <w:jc w:val="center"/>
        </w:trPr>
        <w:tc>
          <w:tcPr>
            <w:tcW w:w="371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11086.51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11086.51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2040201</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5773.02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5773.02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2040202</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一般行政管理事务</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163.41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163.41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2040220</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执法办案</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897.32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897.32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2040299</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其他公安支出</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2670.90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2670.90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2049999</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其他公共安全支出</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7.86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538.13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538.13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2080599</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其他行政事业单位养老支出</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251.57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251.57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2080801</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死亡抚恤</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83.36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83.36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ind w:firstLine="321" w:firstLineChars="0"/>
              <w:jc w:val="center"/>
              <w:rPr>
                <w:rFonts w:ascii="Times New Roman" w:hAnsi="Times New Roman" w:eastAsia="仿宋_GB2312" w:cs="Times New Roman"/>
              </w:rPr>
            </w:pPr>
            <w:r>
              <w:rPr>
                <w:rFonts w:hint="eastAsia" w:ascii="Times New Roman" w:hAnsi="Times New Roman" w:eastAsia="仿宋_GB2312" w:cs="Times New Roman"/>
              </w:rPr>
              <w:t>2101101</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234.03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234.03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2101103</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公务员医疗补助</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25.03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25.03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2210201</w:t>
            </w:r>
          </w:p>
        </w:tc>
        <w:tc>
          <w:tcPr>
            <w:tcW w:w="1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住房公积金</w:t>
            </w:r>
          </w:p>
        </w:tc>
        <w:tc>
          <w:tcPr>
            <w:tcW w:w="1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441.89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441.89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永州市公安局零陵分局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2103"/>
        <w:gridCol w:w="3576"/>
        <w:gridCol w:w="1557"/>
        <w:gridCol w:w="1014"/>
        <w:gridCol w:w="1014"/>
        <w:gridCol w:w="1557"/>
        <w:gridCol w:w="1014"/>
        <w:gridCol w:w="237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11086.51</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7256.88</w:t>
            </w:r>
          </w:p>
        </w:tc>
        <w:tc>
          <w:tcPr>
            <w:tcW w:w="46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3829.63</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2040201</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5773.02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5773.02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2040202</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163.41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163.41</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2040220</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执法办案</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897.32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897.32</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其他公安支出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2670.90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196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2474.9</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2049999</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其他公共安全支出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7.86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7.86</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p>
        </w:tc>
        <w:tc>
          <w:tcPr>
            <w:tcW w:w="47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538.13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538.13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2080599</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其他行政事业单位养老支出</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251.57</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251.57</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83.36</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73.82</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9.54</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ind w:firstLine="321"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234.03</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234.03</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2101103</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公务员医疗补助</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25.03</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25.03</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住房公积金</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441.89</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441.89</w:t>
            </w:r>
          </w:p>
        </w:tc>
        <w:tc>
          <w:tcPr>
            <w:tcW w:w="0" w:type="auto"/>
            <w:tcBorders>
              <w:top w:val="single" w:color="auto" w:sz="4" w:space="0"/>
              <w:left w:val="single" w:color="auto" w:sz="4" w:space="0"/>
              <w:bottom w:val="single" w:color="auto" w:sz="4" w:space="0"/>
              <w:right w:val="single" w:color="auto" w:sz="4" w:space="0"/>
            </w:tcBorders>
          </w:tcPr>
          <w:p>
            <w:pPr>
              <w:widowControl/>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永州市公安局零陵分局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1041"/>
        <w:gridCol w:w="2856"/>
        <w:gridCol w:w="616"/>
        <w:gridCol w:w="1041"/>
        <w:gridCol w:w="1707"/>
        <w:gridCol w:w="1368"/>
        <w:gridCol w:w="1459"/>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11086.51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9512.51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9512.51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873.06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873.06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lef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259.05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259.05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left"/>
              <w:rPr>
                <w:rFonts w:hint="eastAsia"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2"/>
                <w:lang w:eastAsia="zh-CN"/>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441.89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441.89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11086.51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11086.51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11086.51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11086.51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11086.51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11086.51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永州市公安局零陵分局</w:t>
      </w:r>
      <w:r>
        <w:rPr>
          <w:rFonts w:ascii="Times New Roman" w:hAnsi="Times New Roman" w:eastAsia="仿宋_GB2312" w:cs="Times New Roman"/>
          <w:color w:val="000000"/>
          <w:kern w:val="0"/>
          <w:szCs w:val="21"/>
        </w:rPr>
        <w:t xml:space="preserve">                                                                                           公开05表</w:t>
      </w:r>
    </w:p>
    <w:p>
      <w:pPr>
        <w:widowControl/>
        <w:jc w:val="righ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65"/>
        <w:gridCol w:w="3506"/>
        <w:gridCol w:w="2987"/>
        <w:gridCol w:w="3475"/>
        <w:gridCol w:w="2986"/>
      </w:tblGrid>
      <w:tr>
        <w:tblPrEx>
          <w:tblCellMar>
            <w:top w:w="0" w:type="dxa"/>
            <w:left w:w="108" w:type="dxa"/>
            <w:bottom w:w="0" w:type="dxa"/>
            <w:right w:w="108" w:type="dxa"/>
          </w:tblCellMar>
        </w:tblPrEx>
        <w:trPr>
          <w:trHeight w:val="475" w:hRule="atLeast"/>
          <w:jc w:val="center"/>
        </w:trPr>
        <w:tc>
          <w:tcPr>
            <w:tcW w:w="4771"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48"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65"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0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8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7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86"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65"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0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8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7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8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65"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0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8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7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8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30" w:hRule="atLeast"/>
          <w:jc w:val="center"/>
        </w:trPr>
        <w:tc>
          <w:tcPr>
            <w:tcW w:w="477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7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345" w:hRule="atLeast"/>
          <w:jc w:val="center"/>
        </w:trPr>
        <w:tc>
          <w:tcPr>
            <w:tcW w:w="477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8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11086.51</w:t>
            </w:r>
          </w:p>
        </w:tc>
        <w:tc>
          <w:tcPr>
            <w:tcW w:w="347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7256.88</w:t>
            </w:r>
          </w:p>
        </w:tc>
        <w:tc>
          <w:tcPr>
            <w:tcW w:w="298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3829.63</w:t>
            </w:r>
          </w:p>
        </w:tc>
      </w:tr>
      <w:tr>
        <w:tblPrEx>
          <w:tblCellMar>
            <w:top w:w="0" w:type="dxa"/>
            <w:left w:w="108" w:type="dxa"/>
            <w:bottom w:w="0" w:type="dxa"/>
            <w:right w:w="108" w:type="dxa"/>
          </w:tblCellMar>
        </w:tblPrEx>
        <w:trPr>
          <w:trHeight w:val="365" w:hRule="atLeast"/>
          <w:jc w:val="center"/>
        </w:trPr>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2040201</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29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5773.02</w:t>
            </w:r>
          </w:p>
        </w:tc>
        <w:tc>
          <w:tcPr>
            <w:tcW w:w="34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5773.02</w:t>
            </w:r>
          </w:p>
        </w:tc>
        <w:tc>
          <w:tcPr>
            <w:tcW w:w="29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2040202</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p>
        </w:tc>
        <w:tc>
          <w:tcPr>
            <w:tcW w:w="29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163.41</w:t>
            </w:r>
          </w:p>
        </w:tc>
        <w:tc>
          <w:tcPr>
            <w:tcW w:w="34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29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163.41</w:t>
            </w:r>
          </w:p>
        </w:tc>
      </w:tr>
      <w:tr>
        <w:tblPrEx>
          <w:tblCellMar>
            <w:top w:w="0" w:type="dxa"/>
            <w:left w:w="108" w:type="dxa"/>
            <w:bottom w:w="0" w:type="dxa"/>
            <w:right w:w="108" w:type="dxa"/>
          </w:tblCellMar>
        </w:tblPrEx>
        <w:trPr>
          <w:trHeight w:val="450" w:hRule="atLeast"/>
          <w:jc w:val="center"/>
        </w:trPr>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2040220</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执法办案</w:t>
            </w:r>
          </w:p>
        </w:tc>
        <w:tc>
          <w:tcPr>
            <w:tcW w:w="29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897.32</w:t>
            </w:r>
          </w:p>
        </w:tc>
        <w:tc>
          <w:tcPr>
            <w:tcW w:w="34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29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897.32</w:t>
            </w:r>
          </w:p>
        </w:tc>
      </w:tr>
      <w:tr>
        <w:tblPrEx>
          <w:tblCellMar>
            <w:top w:w="0" w:type="dxa"/>
            <w:left w:w="108" w:type="dxa"/>
            <w:bottom w:w="0" w:type="dxa"/>
            <w:right w:w="108" w:type="dxa"/>
          </w:tblCellMar>
        </w:tblPrEx>
        <w:trPr>
          <w:trHeight w:val="450" w:hRule="atLeast"/>
          <w:jc w:val="center"/>
        </w:trPr>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2040299</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其他公安支出</w:t>
            </w:r>
          </w:p>
        </w:tc>
        <w:tc>
          <w:tcPr>
            <w:tcW w:w="29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2670.90</w:t>
            </w:r>
          </w:p>
        </w:tc>
        <w:tc>
          <w:tcPr>
            <w:tcW w:w="34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196</w:t>
            </w:r>
          </w:p>
        </w:tc>
        <w:tc>
          <w:tcPr>
            <w:tcW w:w="29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2474.9</w:t>
            </w:r>
          </w:p>
        </w:tc>
      </w:tr>
      <w:tr>
        <w:tblPrEx>
          <w:tblCellMar>
            <w:top w:w="0" w:type="dxa"/>
            <w:left w:w="108" w:type="dxa"/>
            <w:bottom w:w="0" w:type="dxa"/>
            <w:right w:w="108" w:type="dxa"/>
          </w:tblCellMar>
        </w:tblPrEx>
        <w:trPr>
          <w:trHeight w:val="305" w:hRule="atLeast"/>
          <w:jc w:val="center"/>
        </w:trPr>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2049999</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其他公共安全支出</w:t>
            </w:r>
          </w:p>
        </w:tc>
        <w:tc>
          <w:tcPr>
            <w:tcW w:w="29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7.86</w:t>
            </w:r>
          </w:p>
        </w:tc>
        <w:tc>
          <w:tcPr>
            <w:tcW w:w="34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c>
          <w:tcPr>
            <w:tcW w:w="29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7.86</w:t>
            </w:r>
          </w:p>
        </w:tc>
      </w:tr>
      <w:tr>
        <w:tblPrEx>
          <w:tblCellMar>
            <w:top w:w="0" w:type="dxa"/>
            <w:left w:w="108" w:type="dxa"/>
            <w:bottom w:w="0" w:type="dxa"/>
            <w:right w:w="108" w:type="dxa"/>
          </w:tblCellMar>
        </w:tblPrEx>
        <w:trPr>
          <w:trHeight w:val="539" w:hRule="atLeast"/>
          <w:jc w:val="center"/>
        </w:trPr>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2080505</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机关事业单位基本养老保险缴费支出</w:t>
            </w:r>
          </w:p>
        </w:tc>
        <w:tc>
          <w:tcPr>
            <w:tcW w:w="29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538.13</w:t>
            </w:r>
          </w:p>
        </w:tc>
        <w:tc>
          <w:tcPr>
            <w:tcW w:w="34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538.13</w:t>
            </w:r>
          </w:p>
        </w:tc>
        <w:tc>
          <w:tcPr>
            <w:tcW w:w="29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2080599</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其他行政事业单位养老支出</w:t>
            </w:r>
          </w:p>
        </w:tc>
        <w:tc>
          <w:tcPr>
            <w:tcW w:w="298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251.57</w:t>
            </w:r>
          </w:p>
        </w:tc>
        <w:tc>
          <w:tcPr>
            <w:tcW w:w="3475" w:type="dxa"/>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p>
        </w:tc>
        <w:tc>
          <w:tcPr>
            <w:tcW w:w="2986" w:type="dxa"/>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251.57</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298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83.36</w:t>
            </w:r>
          </w:p>
        </w:tc>
        <w:tc>
          <w:tcPr>
            <w:tcW w:w="3475" w:type="dxa"/>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73.82</w:t>
            </w:r>
          </w:p>
        </w:tc>
        <w:tc>
          <w:tcPr>
            <w:tcW w:w="2986" w:type="dxa"/>
            <w:tcBorders>
              <w:top w:val="single" w:color="auto" w:sz="4" w:space="0"/>
              <w:left w:val="single" w:color="auto" w:sz="4" w:space="0"/>
              <w:bottom w:val="single" w:color="auto" w:sz="4" w:space="0"/>
              <w:right w:val="single" w:color="auto" w:sz="4" w:space="0"/>
            </w:tcBorders>
            <w:vAlign w:val="top"/>
          </w:tcPr>
          <w:p>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9.54</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ind w:firstLine="321"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298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234.03</w:t>
            </w:r>
          </w:p>
        </w:tc>
        <w:tc>
          <w:tcPr>
            <w:tcW w:w="3475" w:type="dxa"/>
            <w:tcBorders>
              <w:top w:val="single" w:color="auto" w:sz="4" w:space="0"/>
              <w:left w:val="single" w:color="auto" w:sz="4" w:space="0"/>
              <w:bottom w:val="single" w:color="auto" w:sz="4" w:space="0"/>
              <w:right w:val="single" w:color="auto" w:sz="4" w:space="0"/>
            </w:tcBorders>
            <w:vAlign w:val="top"/>
          </w:tcPr>
          <w:p>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234.03</w:t>
            </w:r>
          </w:p>
        </w:tc>
        <w:tc>
          <w:tcPr>
            <w:tcW w:w="2986" w:type="dxa"/>
            <w:tcBorders>
              <w:top w:val="single" w:color="auto" w:sz="4" w:space="0"/>
              <w:left w:val="single" w:color="auto" w:sz="4" w:space="0"/>
              <w:bottom w:val="single" w:color="auto" w:sz="4" w:space="0"/>
              <w:right w:val="single" w:color="auto" w:sz="4" w:space="0"/>
            </w:tcBorders>
            <w:vAlign w:val="top"/>
          </w:tcPr>
          <w:p>
            <w:pPr>
              <w:widowControl/>
              <w:jc w:val="center"/>
              <w:rPr>
                <w:rFonts w:hint="default" w:ascii="Times New Roman" w:hAnsi="Times New Roman" w:eastAsia="仿宋_GB2312" w:cs="Times New Roman"/>
                <w:kern w:val="0"/>
                <w:sz w:val="24"/>
                <w:szCs w:val="24"/>
                <w:lang w:val="en-US" w:eastAsia="zh-CN" w:bidi="ar-SA"/>
              </w:rPr>
            </w:pPr>
          </w:p>
        </w:tc>
      </w:tr>
      <w:tr>
        <w:tblPrEx>
          <w:tblCellMar>
            <w:top w:w="0" w:type="dxa"/>
            <w:left w:w="108" w:type="dxa"/>
            <w:bottom w:w="0" w:type="dxa"/>
            <w:right w:w="108" w:type="dxa"/>
          </w:tblCellMar>
        </w:tblPrEx>
        <w:trPr>
          <w:trHeight w:val="33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2101103</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公务员医疗补助</w:t>
            </w:r>
          </w:p>
        </w:tc>
        <w:tc>
          <w:tcPr>
            <w:tcW w:w="298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25.03</w:t>
            </w:r>
          </w:p>
        </w:tc>
        <w:tc>
          <w:tcPr>
            <w:tcW w:w="3475" w:type="dxa"/>
            <w:tcBorders>
              <w:top w:val="single" w:color="auto" w:sz="4" w:space="0"/>
              <w:left w:val="single" w:color="auto" w:sz="4" w:space="0"/>
              <w:bottom w:val="single" w:color="auto" w:sz="4" w:space="0"/>
              <w:right w:val="single" w:color="auto" w:sz="4" w:space="0"/>
            </w:tcBorders>
            <w:vAlign w:val="top"/>
          </w:tcPr>
          <w:p>
            <w:pPr>
              <w:widowControl/>
              <w:jc w:val="center"/>
              <w:rPr>
                <w:rFonts w:hint="default" w:ascii="Times New Roman" w:hAnsi="Times New Roman" w:eastAsia="仿宋_GB2312" w:cs="Times New Roman"/>
                <w:kern w:val="0"/>
                <w:sz w:val="24"/>
                <w:szCs w:val="24"/>
                <w:lang w:val="en-US" w:eastAsia="zh-CN" w:bidi="ar-SA"/>
              </w:rPr>
            </w:pPr>
          </w:p>
        </w:tc>
        <w:tc>
          <w:tcPr>
            <w:tcW w:w="2986" w:type="dxa"/>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25.03</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2210201</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住房公积金</w:t>
            </w:r>
          </w:p>
        </w:tc>
        <w:tc>
          <w:tcPr>
            <w:tcW w:w="298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441.89</w:t>
            </w:r>
          </w:p>
        </w:tc>
        <w:tc>
          <w:tcPr>
            <w:tcW w:w="3475" w:type="dxa"/>
            <w:tcBorders>
              <w:top w:val="single" w:color="auto" w:sz="4" w:space="0"/>
              <w:left w:val="single" w:color="auto" w:sz="4" w:space="0"/>
              <w:bottom w:val="single" w:color="auto" w:sz="4" w:space="0"/>
              <w:right w:val="single" w:color="auto" w:sz="4" w:space="0"/>
            </w:tcBorders>
            <w:vAlign w:val="top"/>
          </w:tcPr>
          <w:p>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441.89</w:t>
            </w:r>
          </w:p>
        </w:tc>
        <w:tc>
          <w:tcPr>
            <w:tcW w:w="2986" w:type="dxa"/>
            <w:tcBorders>
              <w:top w:val="single" w:color="auto" w:sz="4" w:space="0"/>
              <w:left w:val="single" w:color="auto" w:sz="4" w:space="0"/>
              <w:bottom w:val="single" w:color="auto" w:sz="4" w:space="0"/>
              <w:right w:val="single" w:color="auto" w:sz="4" w:space="0"/>
            </w:tcBorders>
            <w:vAlign w:val="top"/>
          </w:tcPr>
          <w:p>
            <w:pPr>
              <w:widowControl/>
              <w:jc w:val="center"/>
              <w:rPr>
                <w:rFonts w:hint="default" w:ascii="Times New Roman" w:hAnsi="Times New Roman" w:eastAsia="仿宋_GB2312" w:cs="Times New Roman"/>
                <w:kern w:val="0"/>
                <w:sz w:val="24"/>
                <w:szCs w:val="24"/>
                <w:lang w:val="en-US" w:eastAsia="zh-CN" w:bidi="ar-SA"/>
              </w:rPr>
            </w:pPr>
          </w:p>
        </w:tc>
      </w:tr>
    </w:tbl>
    <w:p>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center"/>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永州市公安局零陵分局</w:t>
      </w:r>
      <w:r>
        <w:rPr>
          <w:rFonts w:ascii="Times New Roman" w:hAnsi="Times New Roman" w:eastAsia="仿宋_GB2312" w:cs="Times New Roman"/>
          <w:color w:val="000000"/>
          <w:kern w:val="0"/>
          <w:szCs w:val="21"/>
        </w:rPr>
        <w:t xml:space="preserve">                                                                                                           公开06表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15"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5984.50.505985984.50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1184.42</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1786.80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45.62</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1654.91</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17.29</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1221.38</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9.84</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31.69</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9.84</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540.53</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81.93</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6.51</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234.31</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27.39</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17.11</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0.24</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517.54</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0.23</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16.89</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11.70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4.76</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78.12</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25.68</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90.15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76.62</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12.36</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62.95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2.45</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90.37</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245.59</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pPr>
              <w:widowControl/>
              <w:jc w:val="center"/>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pPr>
              <w:widowControl/>
              <w:jc w:val="center"/>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pPr>
              <w:widowControl/>
              <w:jc w:val="center"/>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132.58</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257.02</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4.90</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28.06</w:t>
            </w:r>
          </w:p>
        </w:tc>
        <w:tc>
          <w:tcPr>
            <w:tcW w:w="12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6062.62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1194.26</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永州市公安局零陵分局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spacing w:line="400" w:lineRule="exact"/>
        <w:textAlignment w:val="center"/>
        <w:rPr>
          <w:rFonts w:ascii="Times New Roman" w:hAnsi="Times New Roman" w:eastAsia="仿宋_GB2312" w:cs="Times New Roman"/>
          <w:b/>
          <w:bCs/>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pStyle w:val="9"/>
        <w:rPr>
          <w:rFonts w:ascii="Times New Roman" w:hAnsi="Times New Roman" w:eastAsia="仿宋_GB2312" w:cs="Times New Roman"/>
          <w:b/>
          <w:bCs/>
          <w:kern w:val="0"/>
          <w:sz w:val="24"/>
          <w:szCs w:val="24"/>
          <w:lang w:bidi="ar"/>
        </w:rPr>
      </w:pPr>
    </w:p>
    <w:p>
      <w:pPr>
        <w:pStyle w:val="5"/>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永州市公安局零陵分局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永州市公安局零陵分局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132.58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bookmarkStart w:id="4" w:name="_GoBack"/>
            <w:bookmarkEnd w:id="4"/>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132.58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132.58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收入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127.73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人员经费正常调增，保障基本运转支出。</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127.73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人员经费正常调增，保障基本运转支出。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7256.88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65.46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3829.63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34.54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收入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127.73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人员经费正常调增，保障基本运转支出。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127.73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人员经费正常调增，保障基本运转支出。</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9512.51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85.80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873.06万元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7.87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259.05万元，占2.34%；住房保障支出441.89万元，占3.99%。</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7778.32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142.53</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公安安全支出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5457.28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5773.02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105.79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年中追加人员经费。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公安安全支出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公安</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163.41</w:t>
      </w:r>
      <w:r>
        <w:rPr>
          <w:rFonts w:ascii="Times New Roman" w:hAnsi="Times New Roman" w:eastAsia="仿宋_GB2312" w:cs="Times New Roman"/>
          <w:sz w:val="32"/>
          <w:szCs w:val="32"/>
        </w:rPr>
        <w:t>万元，决算数大于年初预算数的主要原因是</w:t>
      </w:r>
      <w:r>
        <w:rPr>
          <w:rFonts w:hint="eastAsia" w:eastAsia="仿宋_GB2312"/>
          <w:sz w:val="32"/>
          <w:szCs w:val="32"/>
          <w:lang w:val="en-US" w:eastAsia="zh-CN"/>
        </w:rPr>
        <w:t>转移支付资金及区财政拨款资金未纳入预算。</w:t>
      </w:r>
    </w:p>
    <w:p>
      <w:pPr>
        <w:pStyle w:val="14"/>
        <w:numPr>
          <w:ilvl w:val="0"/>
          <w:numId w:val="1"/>
        </w:numPr>
        <w:overflowPunct w:val="0"/>
        <w:autoSpaceDE/>
        <w:autoSpaceDN/>
        <w:spacing w:line="600" w:lineRule="exact"/>
        <w:ind w:firstLine="640" w:firstLineChars="200"/>
        <w:jc w:val="both"/>
        <w:rPr>
          <w:rFonts w:hint="eastAsia" w:eastAsia="仿宋_GB2312"/>
          <w:sz w:val="32"/>
          <w:szCs w:val="32"/>
          <w:lang w:val="en-US" w:eastAsia="zh-CN"/>
        </w:rPr>
      </w:pPr>
      <w:r>
        <w:rPr>
          <w:rFonts w:hint="eastAsia" w:ascii="Times New Roman" w:hAnsi="Times New Roman" w:eastAsia="仿宋_GB2312"/>
          <w:sz w:val="32"/>
          <w:szCs w:val="32"/>
          <w:lang w:eastAsia="zh-CN"/>
        </w:rPr>
        <w:t>公共安全支出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执法办案</w:t>
      </w:r>
      <w:r>
        <w:rPr>
          <w:rFonts w:hint="eastAsia" w:ascii="Times New Roman" w:hAnsi="Times New Roman" w:eastAsia="仿宋_GB2312"/>
          <w:sz w:val="32"/>
          <w:szCs w:val="32"/>
        </w:rPr>
        <w:t>（项）</w:t>
      </w:r>
      <w:r>
        <w:rPr>
          <w:rFonts w:hint="eastAsia" w:eastAsia="仿宋_GB2312"/>
          <w:sz w:val="32"/>
          <w:szCs w:val="32"/>
          <w:lang w:val="en-US"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897.32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119.96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：本年度安保维稳、案件侦办等执法办案工作量加大，导致执法办案成本增加。</w:t>
      </w:r>
    </w:p>
    <w:p>
      <w:pPr>
        <w:pStyle w:val="14"/>
        <w:numPr>
          <w:ilvl w:val="0"/>
          <w:numId w:val="1"/>
        </w:numPr>
        <w:overflowPunct w:val="0"/>
        <w:autoSpaceDE/>
        <w:autoSpaceDN/>
        <w:spacing w:line="600" w:lineRule="exact"/>
        <w:ind w:left="0" w:leftChars="0" w:firstLine="640" w:firstLineChars="200"/>
        <w:jc w:val="both"/>
        <w:rPr>
          <w:rFonts w:hint="eastAsia" w:eastAsia="仿宋_GB2312"/>
          <w:sz w:val="32"/>
          <w:szCs w:val="32"/>
          <w:lang w:val="en-US" w:eastAsia="zh-CN"/>
        </w:rPr>
      </w:pPr>
      <w:r>
        <w:rPr>
          <w:rFonts w:hint="eastAsia" w:ascii="Times New Roman" w:hAnsi="Times New Roman" w:eastAsia="仿宋_GB2312"/>
          <w:sz w:val="32"/>
          <w:szCs w:val="32"/>
          <w:lang w:eastAsia="zh-CN"/>
        </w:rPr>
        <w:t>公共安全支出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其他公安支出</w:t>
      </w:r>
      <w:r>
        <w:rPr>
          <w:rFonts w:hint="eastAsia" w:ascii="Times New Roman" w:hAnsi="Times New Roman" w:eastAsia="仿宋_GB2312"/>
          <w:sz w:val="32"/>
          <w:szCs w:val="32"/>
        </w:rPr>
        <w:t>（项）</w:t>
      </w:r>
      <w:r>
        <w:rPr>
          <w:rFonts w:hint="eastAsia" w:eastAsia="仿宋_GB2312"/>
          <w:sz w:val="32"/>
          <w:szCs w:val="32"/>
          <w:lang w:val="en-US" w:eastAsia="zh-CN"/>
        </w:rPr>
        <w:t>。</w:t>
      </w:r>
    </w:p>
    <w:p>
      <w:pPr>
        <w:pStyle w:val="14"/>
        <w:numPr>
          <w:ilvl w:val="0"/>
          <w:numId w:val="0"/>
        </w:numPr>
        <w:overflowPunct w:val="0"/>
        <w:autoSpaceDE/>
        <w:autoSpaceDN/>
        <w:spacing w:line="240" w:lineRule="auto"/>
        <w:ind w:left="0" w:leftChars="0" w:firstLine="640" w:firstLineChars="200"/>
        <w:jc w:val="both"/>
        <w:rPr>
          <w:rFonts w:hint="default" w:eastAsia="仿宋_GB2312"/>
          <w:sz w:val="32"/>
          <w:szCs w:val="32"/>
          <w:lang w:val="en-US" w:eastAsia="zh-CN"/>
        </w:rPr>
      </w:pPr>
      <w:r>
        <w:rPr>
          <w:rFonts w:hint="default" w:eastAsia="仿宋_GB2312"/>
          <w:sz w:val="32"/>
          <w:szCs w:val="32"/>
          <w:lang w:val="en-US" w:eastAsia="zh-CN"/>
        </w:rPr>
        <w:t>年初预算为</w:t>
      </w:r>
      <w:r>
        <w:rPr>
          <w:rFonts w:hint="eastAsia" w:eastAsia="仿宋_GB2312"/>
          <w:sz w:val="32"/>
          <w:szCs w:val="32"/>
          <w:lang w:val="en-US" w:eastAsia="zh-CN"/>
        </w:rPr>
        <w:t>344</w:t>
      </w:r>
      <w:r>
        <w:rPr>
          <w:rFonts w:hint="default" w:eastAsia="仿宋_GB2312"/>
          <w:sz w:val="32"/>
          <w:szCs w:val="32"/>
          <w:lang w:val="en-US" w:eastAsia="zh-CN"/>
        </w:rPr>
        <w:t>万元，支出决算为</w:t>
      </w:r>
      <w:r>
        <w:rPr>
          <w:rFonts w:hint="eastAsia" w:eastAsia="仿宋_GB2312"/>
          <w:sz w:val="32"/>
          <w:szCs w:val="32"/>
          <w:lang w:val="en-US" w:eastAsia="zh-CN"/>
        </w:rPr>
        <w:t>2670.90</w:t>
      </w:r>
      <w:r>
        <w:rPr>
          <w:rFonts w:hint="default" w:eastAsia="仿宋_GB2312"/>
          <w:sz w:val="32"/>
          <w:szCs w:val="32"/>
          <w:lang w:val="en-US" w:eastAsia="zh-CN"/>
        </w:rPr>
        <w:t>万元，完成年初预算的</w:t>
      </w:r>
      <w:r>
        <w:rPr>
          <w:rFonts w:hint="eastAsia" w:eastAsia="仿宋_GB2312"/>
          <w:sz w:val="32"/>
          <w:szCs w:val="32"/>
          <w:lang w:val="en-US" w:eastAsia="zh-CN"/>
        </w:rPr>
        <w:t>776.42%</w:t>
      </w:r>
      <w:r>
        <w:rPr>
          <w:rFonts w:hint="default" w:eastAsia="仿宋_GB2312"/>
          <w:sz w:val="32"/>
          <w:szCs w:val="32"/>
          <w:lang w:val="en-US" w:eastAsia="zh-CN"/>
        </w:rPr>
        <w:t>，决算数大于年初预算数的主要原因是转移支付资金及区财政拨款资金未纳入预算。</w:t>
      </w:r>
    </w:p>
    <w:p>
      <w:pPr>
        <w:pStyle w:val="14"/>
        <w:numPr>
          <w:ilvl w:val="0"/>
          <w:numId w:val="0"/>
        </w:numPr>
        <w:overflowPunct w:val="0"/>
        <w:autoSpaceDE/>
        <w:autoSpaceDN/>
        <w:spacing w:line="600" w:lineRule="exact"/>
        <w:ind w:leftChars="200" w:firstLine="320" w:firstLineChars="100"/>
        <w:jc w:val="both"/>
        <w:rPr>
          <w:rFonts w:hint="default" w:eastAsia="仿宋_GB2312"/>
          <w:sz w:val="32"/>
          <w:szCs w:val="32"/>
          <w:lang w:val="en-US" w:eastAsia="zh-CN"/>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公共安全支出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其他公共安全支出</w:t>
      </w:r>
      <w:r>
        <w:rPr>
          <w:rFonts w:hint="eastAsia" w:ascii="Times New Roman" w:hAnsi="Times New Roman" w:eastAsia="仿宋_GB2312"/>
          <w:sz w:val="32"/>
          <w:szCs w:val="32"/>
        </w:rPr>
        <w:t>（项）</w:t>
      </w:r>
    </w:p>
    <w:p>
      <w:pPr>
        <w:pStyle w:val="14"/>
        <w:numPr>
          <w:ilvl w:val="0"/>
          <w:numId w:val="0"/>
        </w:numPr>
        <w:overflowPunct w:val="0"/>
        <w:autoSpaceDE/>
        <w:autoSpaceDN/>
        <w:spacing w:line="240" w:lineRule="auto"/>
        <w:ind w:left="0" w:leftChars="0" w:firstLine="640" w:firstLineChars="200"/>
        <w:jc w:val="both"/>
        <w:rPr>
          <w:rFonts w:hint="default" w:eastAsia="仿宋_GB2312"/>
          <w:sz w:val="32"/>
          <w:szCs w:val="32"/>
          <w:lang w:val="en-US" w:eastAsia="zh-CN"/>
        </w:rPr>
      </w:pPr>
      <w:r>
        <w:rPr>
          <w:rFonts w:hint="default" w:eastAsia="仿宋_GB2312"/>
          <w:sz w:val="32"/>
          <w:szCs w:val="32"/>
          <w:lang w:val="en-US" w:eastAsia="zh-CN"/>
        </w:rPr>
        <w:t>年初预算为</w:t>
      </w:r>
      <w:r>
        <w:rPr>
          <w:rFonts w:hint="eastAsia" w:eastAsia="仿宋_GB2312"/>
          <w:sz w:val="32"/>
          <w:szCs w:val="32"/>
          <w:lang w:val="en-US" w:eastAsia="zh-CN"/>
        </w:rPr>
        <w:t>0</w:t>
      </w:r>
      <w:r>
        <w:rPr>
          <w:rFonts w:hint="default" w:eastAsia="仿宋_GB2312"/>
          <w:sz w:val="32"/>
          <w:szCs w:val="32"/>
          <w:lang w:val="en-US" w:eastAsia="zh-CN"/>
        </w:rPr>
        <w:t>万元，支出决算为</w:t>
      </w:r>
      <w:r>
        <w:rPr>
          <w:rFonts w:hint="eastAsia" w:eastAsia="仿宋_GB2312"/>
          <w:sz w:val="32"/>
          <w:szCs w:val="32"/>
          <w:lang w:val="en-US" w:eastAsia="zh-CN"/>
        </w:rPr>
        <w:t>7.86</w:t>
      </w:r>
      <w:r>
        <w:rPr>
          <w:rFonts w:hint="default" w:eastAsia="仿宋_GB2312"/>
          <w:sz w:val="32"/>
          <w:szCs w:val="32"/>
          <w:lang w:val="en-US" w:eastAsia="zh-CN"/>
        </w:rPr>
        <w:t>万元，决算数大于年初预算数的主要原因是转移支付资金及区财政拨款资金未纳入预算。</w:t>
      </w:r>
    </w:p>
    <w:p>
      <w:pPr>
        <w:pStyle w:val="14"/>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行政单位养老支出</w:t>
      </w:r>
      <w:r>
        <w:rPr>
          <w:rFonts w:hint="eastAsia" w:ascii="Times New Roman" w:hAnsi="Times New Roman" w:eastAsia="仿宋_GB2312"/>
          <w:sz w:val="32"/>
          <w:szCs w:val="32"/>
        </w:rPr>
        <w:t>（款）机关事业单位基本养老保险缴费支出（项）。</w:t>
      </w:r>
    </w:p>
    <w:p>
      <w:pPr>
        <w:pStyle w:val="14"/>
        <w:numPr>
          <w:ilvl w:val="0"/>
          <w:numId w:val="0"/>
        </w:numPr>
        <w:overflowPunct w:val="0"/>
        <w:autoSpaceDE/>
        <w:autoSpaceDN/>
        <w:spacing w:line="240" w:lineRule="auto"/>
        <w:ind w:left="0" w:leftChars="0" w:firstLine="640" w:firstLineChars="200"/>
        <w:jc w:val="left"/>
        <w:rPr>
          <w:rFonts w:hint="eastAsia" w:eastAsia="仿宋_GB2312"/>
          <w:sz w:val="32"/>
          <w:szCs w:val="32"/>
          <w:lang w:val="en-US" w:eastAsia="zh-CN"/>
        </w:rPr>
      </w:pPr>
      <w:r>
        <w:rPr>
          <w:rFonts w:hint="default" w:eastAsia="仿宋_GB2312"/>
          <w:sz w:val="32"/>
          <w:szCs w:val="32"/>
          <w:lang w:val="en-US" w:eastAsia="zh-CN"/>
        </w:rPr>
        <w:t>年初预算为</w:t>
      </w:r>
      <w:r>
        <w:rPr>
          <w:rFonts w:hint="eastAsia" w:eastAsia="仿宋_GB2312"/>
          <w:sz w:val="32"/>
          <w:szCs w:val="32"/>
          <w:lang w:val="en-US" w:eastAsia="zh-CN"/>
        </w:rPr>
        <w:t>542.57</w:t>
      </w:r>
      <w:r>
        <w:rPr>
          <w:rFonts w:hint="default" w:eastAsia="仿宋_GB2312"/>
          <w:sz w:val="32"/>
          <w:szCs w:val="32"/>
          <w:lang w:val="en-US" w:eastAsia="zh-CN"/>
        </w:rPr>
        <w:t>万元，支出决算为</w:t>
      </w:r>
      <w:r>
        <w:rPr>
          <w:rFonts w:hint="eastAsia" w:eastAsia="仿宋_GB2312"/>
          <w:sz w:val="32"/>
          <w:szCs w:val="32"/>
          <w:lang w:val="en-US" w:eastAsia="zh-CN"/>
        </w:rPr>
        <w:t>538.13</w:t>
      </w:r>
      <w:r>
        <w:rPr>
          <w:rFonts w:hint="default" w:eastAsia="仿宋_GB2312"/>
          <w:sz w:val="32"/>
          <w:szCs w:val="32"/>
          <w:lang w:val="en-US" w:eastAsia="zh-CN"/>
        </w:rPr>
        <w:t>万元，完成年初预算的</w:t>
      </w:r>
      <w:r>
        <w:rPr>
          <w:rFonts w:hint="eastAsia" w:eastAsia="仿宋_GB2312"/>
          <w:sz w:val="32"/>
          <w:szCs w:val="32"/>
          <w:lang w:val="en-US" w:eastAsia="zh-CN"/>
        </w:rPr>
        <w:t>99.18%</w:t>
      </w:r>
      <w:r>
        <w:rPr>
          <w:rFonts w:hint="default" w:eastAsia="仿宋_GB2312"/>
          <w:sz w:val="32"/>
          <w:szCs w:val="32"/>
          <w:lang w:val="en-US"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少于</w:t>
      </w:r>
      <w:r>
        <w:rPr>
          <w:rFonts w:hint="eastAsia" w:ascii="Times New Roman" w:hAnsi="Times New Roman" w:eastAsia="仿宋_GB2312"/>
          <w:sz w:val="32"/>
          <w:szCs w:val="32"/>
        </w:rPr>
        <w:t>年初预算数</w:t>
      </w:r>
      <w:r>
        <w:rPr>
          <w:rFonts w:hint="default" w:eastAsia="仿宋_GB2312"/>
          <w:sz w:val="32"/>
          <w:szCs w:val="32"/>
          <w:lang w:val="en-US" w:eastAsia="zh-CN"/>
        </w:rPr>
        <w:t>的主要原因是</w:t>
      </w:r>
      <w:r>
        <w:rPr>
          <w:rFonts w:hint="eastAsia" w:eastAsia="仿宋_GB2312"/>
          <w:sz w:val="32"/>
          <w:szCs w:val="32"/>
          <w:lang w:val="en-US" w:eastAsia="zh-CN"/>
        </w:rPr>
        <w:t>人员异动，个别人员调出、退休，参保缴费人数减少。</w:t>
      </w:r>
    </w:p>
    <w:p>
      <w:pPr>
        <w:pStyle w:val="14"/>
        <w:numPr>
          <w:numId w:val="0"/>
        </w:numPr>
        <w:overflowPunct w:val="0"/>
        <w:autoSpaceDE/>
        <w:autoSpaceDN/>
        <w:spacing w:line="240" w:lineRule="auto"/>
        <w:ind w:leftChars="0"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）其他行政事业单位养老支出（项）</w:t>
      </w:r>
    </w:p>
    <w:p>
      <w:pPr>
        <w:pStyle w:val="14"/>
        <w:numPr>
          <w:ilvl w:val="0"/>
          <w:numId w:val="0"/>
        </w:numPr>
        <w:overflowPunct w:val="0"/>
        <w:autoSpaceDE/>
        <w:autoSpaceDN/>
        <w:spacing w:line="240" w:lineRule="auto"/>
        <w:ind w:left="0" w:leftChars="0" w:firstLine="640" w:firstLineChars="200"/>
        <w:jc w:val="both"/>
        <w:rPr>
          <w:rFonts w:hint="default" w:eastAsia="仿宋_GB2312"/>
          <w:sz w:val="32"/>
          <w:szCs w:val="32"/>
          <w:lang w:val="en-US" w:eastAsia="zh-CN"/>
        </w:rPr>
      </w:pPr>
      <w:r>
        <w:rPr>
          <w:rFonts w:hint="default" w:eastAsia="仿宋_GB2312"/>
          <w:sz w:val="32"/>
          <w:szCs w:val="32"/>
          <w:lang w:val="en-US" w:eastAsia="zh-CN"/>
        </w:rPr>
        <w:t>年初预算为</w:t>
      </w:r>
      <w:r>
        <w:rPr>
          <w:rFonts w:hint="eastAsia" w:eastAsia="仿宋_GB2312"/>
          <w:sz w:val="32"/>
          <w:szCs w:val="32"/>
          <w:lang w:val="en-US" w:eastAsia="zh-CN"/>
        </w:rPr>
        <w:t>0</w:t>
      </w:r>
      <w:r>
        <w:rPr>
          <w:rFonts w:hint="default" w:eastAsia="仿宋_GB2312"/>
          <w:sz w:val="32"/>
          <w:szCs w:val="32"/>
          <w:lang w:val="en-US" w:eastAsia="zh-CN"/>
        </w:rPr>
        <w:t>万元，支出决算为</w:t>
      </w:r>
      <w:r>
        <w:rPr>
          <w:rFonts w:hint="eastAsia" w:eastAsia="仿宋_GB2312"/>
          <w:sz w:val="32"/>
          <w:szCs w:val="32"/>
          <w:lang w:val="en-US" w:eastAsia="zh-CN"/>
        </w:rPr>
        <w:t>251.57</w:t>
      </w:r>
      <w:r>
        <w:rPr>
          <w:rFonts w:hint="default" w:eastAsia="仿宋_GB2312"/>
          <w:sz w:val="32"/>
          <w:szCs w:val="32"/>
          <w:lang w:val="en-US" w:eastAsia="zh-CN"/>
        </w:rPr>
        <w:t>万元，决算数大于年初预算数的主要原因是转移支付资金及区财政拨款资金未纳入预算。</w:t>
      </w:r>
    </w:p>
    <w:p>
      <w:pPr>
        <w:pStyle w:val="14"/>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Times New Roman" w:hAnsi="Times New Roman" w:eastAsia="仿宋_GB2312"/>
          <w:sz w:val="32"/>
          <w:szCs w:val="32"/>
          <w:lang w:eastAsia="zh-CN"/>
        </w:rPr>
      </w:pPr>
      <w:r>
        <w:rPr>
          <w:rFonts w:hint="eastAsia" w:eastAsia="仿宋_GB2312"/>
          <w:sz w:val="32"/>
          <w:szCs w:val="32"/>
          <w:lang w:val="en-US" w:eastAsia="zh-CN"/>
        </w:rPr>
        <w:t>8、</w:t>
      </w:r>
      <w:r>
        <w:rPr>
          <w:rFonts w:hint="eastAsia" w:ascii="Times New Roman" w:hAnsi="Times New Roman" w:eastAsia="仿宋_GB2312"/>
          <w:sz w:val="32"/>
          <w:szCs w:val="32"/>
        </w:rPr>
        <w:t>社会保障和就业支出（类）抚恤（款）死亡抚恤（项）</w:t>
      </w:r>
      <w:r>
        <w:rPr>
          <w:rFonts w:hint="eastAsia" w:ascii="Times New Roman" w:hAnsi="Times New Roman" w:eastAsia="仿宋_GB2312"/>
          <w:sz w:val="32"/>
          <w:szCs w:val="32"/>
          <w:lang w:eastAsia="zh-CN"/>
        </w:rPr>
        <w:t>。</w:t>
      </w:r>
    </w:p>
    <w:p>
      <w:pPr>
        <w:pStyle w:val="14"/>
        <w:numPr>
          <w:ilvl w:val="0"/>
          <w:numId w:val="0"/>
        </w:numPr>
        <w:overflowPunct w:val="0"/>
        <w:autoSpaceDE/>
        <w:autoSpaceDN/>
        <w:spacing w:line="240" w:lineRule="auto"/>
        <w:ind w:left="0" w:leftChars="0"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83.36</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年初预算未安排，为年中追加安排的一次性抚恤金</w:t>
      </w:r>
      <w:r>
        <w:rPr>
          <w:rFonts w:hint="eastAsia" w:ascii="Times New Roman" w:hAnsi="Times New Roman" w:eastAsia="仿宋_GB2312"/>
          <w:sz w:val="32"/>
          <w:szCs w:val="32"/>
          <w:lang w:eastAsia="zh-CN"/>
        </w:rPr>
        <w:t>。</w:t>
      </w:r>
    </w:p>
    <w:p>
      <w:pPr>
        <w:pStyle w:val="14"/>
        <w:keepNext w:val="0"/>
        <w:keepLines w:val="0"/>
        <w:pageBreakBefore w:val="0"/>
        <w:widowControl w:val="0"/>
        <w:numPr>
          <w:ilvl w:val="0"/>
          <w:numId w:val="0"/>
        </w:numPr>
        <w:kinsoku/>
        <w:wordWrap/>
        <w:overflowPunct/>
        <w:topLinePunct w:val="0"/>
        <w:bidi w:val="0"/>
        <w:snapToGrid/>
        <w:spacing w:line="600" w:lineRule="exact"/>
        <w:ind w:left="0" w:leftChars="0"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卫生健康支出（类）行政事业单位医疗（款） 行政单位医疗（项）。</w:t>
      </w:r>
    </w:p>
    <w:p>
      <w:pPr>
        <w:pStyle w:val="14"/>
        <w:numPr>
          <w:ilvl w:val="0"/>
          <w:numId w:val="0"/>
        </w:numPr>
        <w:overflowPunct w:val="0"/>
        <w:autoSpaceDE/>
        <w:autoSpaceDN/>
        <w:spacing w:line="240" w:lineRule="auto"/>
        <w:ind w:left="0" w:leftChars="0"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232.46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234.03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100.68</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人员调整。</w:t>
      </w:r>
    </w:p>
    <w:p>
      <w:pPr>
        <w:pStyle w:val="14"/>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10、卫生健康支出（类）</w:t>
      </w:r>
      <w:r>
        <w:rPr>
          <w:rFonts w:hint="eastAsia" w:ascii="Times New Roman" w:hAnsi="Times New Roman" w:eastAsia="仿宋_GB2312"/>
          <w:sz w:val="32"/>
          <w:szCs w:val="32"/>
        </w:rPr>
        <w:t>行政事业单位医疗（款）</w:t>
      </w:r>
      <w:r>
        <w:rPr>
          <w:rFonts w:hint="eastAsia" w:ascii="Times New Roman" w:hAnsi="Times New Roman" w:eastAsia="仿宋_GB2312"/>
          <w:sz w:val="32"/>
          <w:szCs w:val="32"/>
          <w:lang w:eastAsia="zh-CN"/>
        </w:rPr>
        <w:t>公务员医疗补助（项）。</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25.03</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年初预算未安排，为年中追加安排的</w:t>
      </w:r>
      <w:r>
        <w:rPr>
          <w:rFonts w:hint="eastAsia" w:ascii="Times New Roman" w:hAnsi="Times New Roman" w:eastAsia="仿宋_GB2312"/>
          <w:sz w:val="32"/>
          <w:szCs w:val="32"/>
          <w:lang w:eastAsia="zh-CN"/>
        </w:rPr>
        <w:t>公务员医疗补助。</w:t>
      </w:r>
    </w:p>
    <w:p>
      <w:pPr>
        <w:pStyle w:val="14"/>
        <w:keepNext w:val="0"/>
        <w:keepLines w:val="0"/>
        <w:pageBreakBefore w:val="0"/>
        <w:widowControl w:val="0"/>
        <w:numPr>
          <w:ilvl w:val="0"/>
          <w:numId w:val="0"/>
        </w:numPr>
        <w:kinsoku/>
        <w:wordWrap/>
        <w:overflowPunct/>
        <w:topLinePunct w:val="0"/>
        <w:bidi w:val="0"/>
        <w:snapToGrid/>
        <w:spacing w:line="240" w:lineRule="auto"/>
        <w:ind w:left="0" w:leftChars="0"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住房保障支出（类）住房改革支出（款）住房公积金（项）。</w:t>
      </w:r>
    </w:p>
    <w:p>
      <w:pPr>
        <w:pStyle w:val="14"/>
        <w:numPr>
          <w:ilvl w:val="0"/>
          <w:numId w:val="0"/>
        </w:numPr>
        <w:overflowPunct w:val="0"/>
        <w:autoSpaceDE/>
        <w:autoSpaceDN/>
        <w:spacing w:line="240" w:lineRule="auto"/>
        <w:ind w:left="0" w:leftChars="0"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454.01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441.89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97.33</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少于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少于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w:t>
      </w:r>
      <w:r>
        <w:rPr>
          <w:rFonts w:hint="eastAsia" w:eastAsia="仿宋_GB2312"/>
          <w:sz w:val="32"/>
          <w:szCs w:val="32"/>
          <w:lang w:val="en-US" w:eastAsia="zh-CN"/>
        </w:rPr>
        <w:t>人员异动，个别人员调出、退休，参保缴费人数减少。</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7256.88</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6062.62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83.54</w:t>
      </w:r>
      <w:r>
        <w:rPr>
          <w:rFonts w:ascii="Times New Roman" w:hAnsi="Times New Roman" w:eastAsia="仿宋_GB2312" w:cs="Times New Roman"/>
          <w:sz w:val="32"/>
          <w:szCs w:val="32"/>
        </w:rPr>
        <w:t>%,主要包括</w:t>
      </w:r>
      <w:r>
        <w:rPr>
          <w:rFonts w:hint="eastAsia" w:eastAsia="仿宋_GB2312"/>
          <w:sz w:val="32"/>
          <w:szCs w:val="32"/>
          <w:lang w:val="en-US" w:eastAsia="zh-CN"/>
        </w:rPr>
        <w:t>其中基本工资1786.8万元，津贴补贴1654.91万元，奖金1221.38万元，机关事业单位基本养老保险缴费540.53万元，职工基本医疗保险缴费234.31万元，其他社保缴费17.11万元，住房公积金517.54万元，其他工资福利支出11.70，抚恤,76.62万元，生活补助1.5万元。</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1194.26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16.46</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办公费、印刷费、</w:t>
      </w:r>
      <w:r>
        <w:rPr>
          <w:rFonts w:hint="eastAsia" w:ascii="Times New Roman" w:hAnsi="Times New Roman" w:eastAsia="仿宋_GB2312"/>
          <w:sz w:val="32"/>
          <w:szCs w:val="32"/>
          <w:lang w:val="en-US" w:eastAsia="zh-CN"/>
        </w:rPr>
        <w:t>水费、电费、邮电费、物业管理费、差旅费、维修（护）费、租赁费、培训费、公务接待费、专用材料费、劳务费、工会经费、福利费、公务用车运行维护费、其他交通费用、其他商品和服务支出</w:t>
      </w:r>
      <w:r>
        <w:rPr>
          <w:rFonts w:hint="eastAsia" w:ascii="Times New Roman" w:hAnsi="Times New Roman" w:eastAsia="仿宋_GB2312"/>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240" w:lineRule="auto"/>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132.58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54.11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原有公务用车报废手续未审批完成，车辆采购工作暂缓，当年无购置支出。</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2.公务用车购置费支出预算为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eastAsia="zh-CN"/>
        </w:rPr>
        <w:t>原有公务用车报废手续未审批完成，车辆采购工作暂缓，当年无购置支出</w:t>
      </w:r>
      <w:r>
        <w:rPr>
          <w:rFonts w:ascii="Times New Roman" w:hAnsi="Times New Roman" w:eastAsia="仿宋_GB2312" w:cs="Times New Roman"/>
          <w:color w:val="000000" w:themeColor="text1"/>
          <w:sz w:val="32"/>
          <w:szCs w:val="32"/>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132.58</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主要是主要</w:t>
      </w:r>
      <w:r>
        <w:rPr>
          <w:rFonts w:hint="eastAsia" w:ascii="Times New Roman" w:hAnsi="Times New Roman" w:eastAsia="仿宋_GB2312" w:cs="Times New Roman"/>
          <w:sz w:val="32"/>
          <w:szCs w:val="32"/>
          <w:lang w:val="en-US" w:eastAsia="zh-CN"/>
        </w:rPr>
        <w:t>为车辆用油、保险和维修费用。</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98.21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2.42</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强化公务用车管理，严控用车成本</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62</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9.62</w:t>
      </w:r>
      <w:r>
        <w:rPr>
          <w:rFonts w:ascii="Times New Roman" w:hAnsi="Times New Roman" w:eastAsia="仿宋_GB2312" w:cs="Times New Roman"/>
          <w:sz w:val="32"/>
          <w:szCs w:val="32"/>
        </w:rPr>
        <w:t>万元。决算数大小于上年数的主要原因是</w:t>
      </w:r>
      <w:r>
        <w:rPr>
          <w:rFonts w:hint="eastAsia" w:ascii="Times New Roman" w:hAnsi="Times New Roman" w:eastAsia="仿宋_GB2312" w:cs="Times New Roman"/>
          <w:sz w:val="32"/>
          <w:szCs w:val="32"/>
          <w:lang w:eastAsia="zh-CN"/>
        </w:rPr>
        <w:t>从严压减公务接待，本年度无公务接待活动，未产生接待费用</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本单位无政府性基金收支。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1194.26</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1017.71，</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lang w:val="en-US" w:eastAsia="zh-CN"/>
        </w:rPr>
        <w:t>176.55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17.35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 xml:space="preserve">执法案件增多，导致办公耗材等日常开支增加，原有预算不足。  </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年本部门开支培训费</w:t>
      </w:r>
      <w:r>
        <w:rPr>
          <w:rFonts w:hint="eastAsia" w:ascii="Times New Roman" w:hAnsi="Times New Roman" w:eastAsia="仿宋_GB2312" w:cs="Times New Roman"/>
          <w:sz w:val="32"/>
          <w:szCs w:val="32"/>
          <w:lang w:val="en-US" w:eastAsia="zh-CN"/>
        </w:rPr>
        <w:t>25.68</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用于开展</w:t>
      </w:r>
      <w:r>
        <w:rPr>
          <w:rFonts w:hint="eastAsia" w:ascii="Times New Roman" w:hAnsi="Times New Roman" w:eastAsia="仿宋_GB2312"/>
          <w:sz w:val="32"/>
          <w:szCs w:val="32"/>
          <w:lang w:eastAsia="zh-CN"/>
        </w:rPr>
        <w:t>新警及警衔晋升</w:t>
      </w:r>
      <w:r>
        <w:rPr>
          <w:rFonts w:hint="eastAsia" w:ascii="Times New Roman" w:hAnsi="Times New Roman" w:eastAsia="仿宋_GB2312"/>
          <w:sz w:val="32"/>
          <w:szCs w:val="32"/>
        </w:rPr>
        <w:t>培训</w:t>
      </w:r>
      <w:r>
        <w:rPr>
          <w:rFonts w:ascii="Times New Roman" w:hAnsi="Times New Roman" w:eastAsia="仿宋_GB2312" w:cs="Times New Roman"/>
          <w:sz w:val="32"/>
          <w:szCs w:val="32"/>
        </w:rPr>
        <w:t>，</w:t>
      </w:r>
      <w:r>
        <w:rPr>
          <w:rFonts w:hint="eastAsia" w:ascii="Times New Roman" w:hAnsi="Times New Roman" w:eastAsia="仿宋_GB2312"/>
          <w:sz w:val="32"/>
          <w:szCs w:val="32"/>
        </w:rPr>
        <w:t>内容为</w:t>
      </w:r>
      <w:r>
        <w:rPr>
          <w:rFonts w:hint="eastAsia" w:ascii="Times New Roman" w:hAnsi="Times New Roman" w:eastAsia="仿宋_GB2312"/>
          <w:sz w:val="32"/>
          <w:szCs w:val="32"/>
          <w:lang w:val="en-US" w:eastAsia="zh-CN"/>
        </w:rPr>
        <w:t>警务技能培训</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未举办</w:t>
      </w:r>
      <w:r>
        <w:rPr>
          <w:rFonts w:hint="eastAsia" w:ascii="Times New Roman" w:hAnsi="Times New Roman" w:eastAsia="仿宋_GB2312"/>
          <w:sz w:val="32"/>
          <w:szCs w:val="32"/>
        </w:rPr>
        <w:t>节庆、晚会、论坛、赛事活动</w:t>
      </w:r>
      <w:r>
        <w:rPr>
          <w:rFonts w:hint="eastAsia" w:ascii="Times New Roman" w:hAnsi="Times New Roman" w:eastAsia="仿宋_GB2312"/>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57.38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57.38</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57.38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57.38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62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48</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sz w:val="32"/>
          <w:szCs w:val="32"/>
          <w:lang w:eastAsia="zh-CN"/>
        </w:rPr>
        <w:t>一般公务用车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112.44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112.44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p>
    <w:p>
      <w:pPr>
        <w:pStyle w:val="5"/>
        <w:numPr>
          <w:ilvl w:val="0"/>
          <w:numId w:val="0"/>
        </w:numPr>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7778.32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11086.51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142.53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sz w:val="32"/>
          <w:szCs w:val="32"/>
          <w:lang w:val="en-US" w:eastAsia="zh-CN"/>
        </w:rPr>
        <w:t>因工作人员少，专业素质能力不足等问题，开展绩效自评仍然较吃力，对绩效目标、绩效指标值的设定完成等认识不足，部分绩效目标设置过于保守等。</w:t>
      </w:r>
      <w:r>
        <w:rPr>
          <w:rFonts w:ascii="Times New Roman" w:hAnsi="Times New Roman" w:eastAsia="仿宋_GB2312" w:cs="Times New Roman"/>
          <w:sz w:val="32"/>
          <w:szCs w:val="32"/>
        </w:rPr>
        <w:t>下一步改进措施：</w:t>
      </w:r>
      <w:r>
        <w:rPr>
          <w:rFonts w:hint="eastAsia" w:ascii="仿宋_GB2312" w:hAnsi="仿宋_GB2312" w:eastAsia="仿宋_GB2312" w:cs="仿宋_GB2312"/>
          <w:kern w:val="2"/>
          <w:sz w:val="32"/>
          <w:szCs w:val="32"/>
          <w:lang w:val="en-US" w:eastAsia="zh-CN" w:bidi="ar-SA"/>
        </w:rPr>
        <w:t>一是加强对财务人员的业务知识培训，提升绩效管理水平。二是完善部门预算绩效管理制度，提高对预算绩效管理的认知。</w:t>
      </w:r>
    </w:p>
    <w:p>
      <w:pPr>
        <w:spacing w:line="600" w:lineRule="exact"/>
        <w:ind w:firstLine="640" w:firstLineChars="200"/>
        <w:rPr>
          <w:rFonts w:ascii="仿宋_GB2312" w:eastAsia="仿宋_GB2312"/>
          <w:sz w:val="32"/>
          <w:szCs w:val="32"/>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sz w:val="32"/>
          <w:szCs w:val="32"/>
          <w:lang w:val="en-US" w:eastAsia="zh-CN"/>
        </w:rPr>
        <w:t>根据《2025年度部门整体支出绩效自评表》评分，得分97分，主要绩效如下：</w:t>
      </w:r>
      <w:r>
        <w:rPr>
          <w:rFonts w:hint="eastAsia" w:ascii="仿宋_GB2312" w:eastAsia="仿宋_GB2312"/>
          <w:sz w:val="32"/>
          <w:szCs w:val="32"/>
        </w:rPr>
        <w:t>2025年，零陵公安分局在市委、市政府和上级公安机关的坚强领导下，忠诚履行新时代公安工作职责使命，全力以赴投入防风险、保安全、护稳定、促发展各项工作，为辖区高质量发展创造了安全稳定的社会环境。</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（一）</w:t>
      </w:r>
      <w:r>
        <w:rPr>
          <w:rFonts w:hint="eastAsia" w:ascii="黑体" w:hAnsi="黑体" w:eastAsia="黑体"/>
          <w:sz w:val="32"/>
          <w:szCs w:val="32"/>
        </w:rPr>
        <w:t>强化政治建警，锻造忠诚过硬队伍</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始终坚持把政治建设摆在首位，着力锻造“四个铁一般”公安铁军。</w:t>
      </w:r>
      <w:r>
        <w:rPr>
          <w:rFonts w:hint="eastAsia" w:ascii="楷体_GB2312" w:eastAsia="楷体_GB2312"/>
          <w:b/>
          <w:sz w:val="32"/>
          <w:szCs w:val="32"/>
        </w:rPr>
        <w:t>一是筑牢思想根基</w:t>
      </w:r>
      <w:r>
        <w:rPr>
          <w:rFonts w:hint="eastAsia" w:ascii="仿宋_GB2312" w:eastAsia="仿宋_GB2312"/>
          <w:sz w:val="32"/>
          <w:szCs w:val="32"/>
        </w:rPr>
        <w:t>。组织开展党委理论学习中心组学习12次，持续巩固主题教育成果，引导全警深刻领悟“两个确立”的决定性意义，坚决做到“两个维护”。</w:t>
      </w:r>
      <w:r>
        <w:rPr>
          <w:rFonts w:hint="eastAsia" w:ascii="楷体_GB2312" w:eastAsia="楷体_GB2312"/>
          <w:b/>
          <w:sz w:val="32"/>
          <w:szCs w:val="32"/>
        </w:rPr>
        <w:t>二是严明纪律作风。</w:t>
      </w:r>
      <w:r>
        <w:rPr>
          <w:rFonts w:hint="eastAsia" w:ascii="仿宋_GB2312" w:eastAsia="仿宋_GB2312"/>
          <w:sz w:val="32"/>
          <w:szCs w:val="32"/>
        </w:rPr>
        <w:t>严格执行各项警纪警规和规章制度，深入开展纪律作风教育整顿，紧盯“关键少数”和重点岗位，强化日常监督管理。</w:t>
      </w:r>
      <w:r>
        <w:rPr>
          <w:rFonts w:hint="eastAsia" w:ascii="楷体_GB2312" w:eastAsia="楷体_GB2312"/>
          <w:b/>
          <w:sz w:val="32"/>
          <w:szCs w:val="32"/>
        </w:rPr>
        <w:t>三是提升专业能力。</w:t>
      </w:r>
      <w:r>
        <w:rPr>
          <w:rFonts w:hint="eastAsia" w:ascii="仿宋_GB2312" w:eastAsia="仿宋_GB2312"/>
          <w:sz w:val="32"/>
          <w:szCs w:val="32"/>
        </w:rPr>
        <w:t>聚焦实战需求，组织开展警务技能、应急处突等岗位练兵活动，全面提升民警履职能力，激发队伍内生动力和创新活力。</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（二）</w:t>
      </w:r>
      <w:r>
        <w:rPr>
          <w:rFonts w:hint="eastAsia" w:ascii="黑体" w:hAnsi="黑体" w:eastAsia="黑体"/>
          <w:sz w:val="32"/>
          <w:szCs w:val="32"/>
        </w:rPr>
        <w:t>维护安全稳定，建设更高水平平安辖区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坚决扛起维护安全稳定政治责任，全力营造安定有序的社会环境。</w:t>
      </w:r>
      <w:r>
        <w:rPr>
          <w:rFonts w:hint="eastAsia" w:ascii="楷体_GB2312" w:eastAsia="楷体_GB2312"/>
          <w:b/>
          <w:sz w:val="32"/>
          <w:szCs w:val="32"/>
        </w:rPr>
        <w:t>一是深化矛盾化解。</w:t>
      </w:r>
      <w:r>
        <w:rPr>
          <w:rFonts w:hint="eastAsia" w:ascii="仿宋_GB2312" w:eastAsia="仿宋_GB2312"/>
          <w:sz w:val="32"/>
          <w:szCs w:val="32"/>
        </w:rPr>
        <w:t xml:space="preserve"> 全年排查各类矛盾纠纷1536起，成功化解1514起，化解率达98.56%，有效防止了“民转刑”案件和群体性事件的发生。</w:t>
      </w:r>
      <w:r>
        <w:rPr>
          <w:rFonts w:hint="eastAsia" w:ascii="楷体_GB2312" w:eastAsia="楷体_GB2312"/>
          <w:b/>
          <w:sz w:val="32"/>
          <w:szCs w:val="32"/>
        </w:rPr>
        <w:t>二是强化治安管控。</w:t>
      </w:r>
      <w:r>
        <w:rPr>
          <w:rFonts w:hint="eastAsia" w:ascii="Times New Roman" w:hAnsi="Times New Roman" w:eastAsia="仿宋_GB2312" w:cs="仿宋_GB2312"/>
          <w:sz w:val="32"/>
          <w:szCs w:val="32"/>
        </w:rPr>
        <w:t>构建“4+1”巡防工作模式，实现网上网下协同配合，构建全时空、全天候、全地域的大巡防体系，街面先期处置率达到100%，街面寻衅滋事、盗抢类警情明显下降。</w:t>
      </w:r>
      <w:r>
        <w:rPr>
          <w:rFonts w:hint="eastAsia" w:ascii="楷体_GB2312" w:eastAsia="楷体_GB2312"/>
          <w:b/>
          <w:sz w:val="32"/>
          <w:szCs w:val="32"/>
        </w:rPr>
        <w:t>三是完成重大安保。</w:t>
      </w:r>
      <w:r>
        <w:rPr>
          <w:rFonts w:hint="eastAsia" w:ascii="Times New Roman" w:hAnsi="Times New Roman" w:eastAsia="仿宋_GB2312" w:cs="仿宋_GB2312"/>
          <w:sz w:val="32"/>
          <w:szCs w:val="32"/>
        </w:rPr>
        <w:t>圆满完成“两节”“两会”“</w:t>
      </w:r>
      <w:r>
        <w:rPr>
          <w:rFonts w:ascii="Times New Roman" w:hAnsi="Times New Roman" w:eastAsia="仿宋_GB2312" w:cs="仿宋_GB2312"/>
          <w:sz w:val="32"/>
          <w:szCs w:val="32"/>
        </w:rPr>
        <w:t>6.4”</w:t>
      </w:r>
      <w:r>
        <w:rPr>
          <w:rFonts w:hint="eastAsia" w:ascii="Times New Roman" w:hAnsi="Times New Roman" w:eastAsia="仿宋_GB2312" w:cs="仿宋_GB2312"/>
          <w:sz w:val="32"/>
          <w:szCs w:val="32"/>
        </w:rPr>
        <w:t>“三考”、党的二十届四中全会等30余个重要敏感节点，以及第六届柳宗元文化旅游周零陵夜宴暨“湘超”永州惠民消费季、第二届一眼千年零陵古城cosplay暨“AI文旅爱零陵”科技周等30余起区内大型活动安保</w:t>
      </w:r>
      <w:r>
        <w:rPr>
          <w:rFonts w:hint="eastAsia" w:ascii="仿宋_GB2312" w:eastAsia="仿宋_GB2312"/>
          <w:sz w:val="32"/>
          <w:szCs w:val="32"/>
        </w:rPr>
        <w:t>，确保各项活动安全顺利进行。</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（三）</w:t>
      </w:r>
      <w:r>
        <w:rPr>
          <w:rFonts w:hint="eastAsia" w:ascii="黑体" w:hAnsi="黑体" w:eastAsia="黑体"/>
          <w:sz w:val="32"/>
          <w:szCs w:val="32"/>
        </w:rPr>
        <w:t>严打违法犯罪，切实保障人民群众安全</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始终保持对违法犯罪的凌厉攻势，全力守护人民群众生命财产安全。</w:t>
      </w:r>
      <w:r>
        <w:rPr>
          <w:rFonts w:hint="eastAsia" w:ascii="楷体_GB2312" w:eastAsia="楷体_GB2312"/>
          <w:b/>
          <w:sz w:val="32"/>
          <w:szCs w:val="32"/>
        </w:rPr>
        <w:t>一是严打暴力犯罪。</w:t>
      </w:r>
      <w:r>
        <w:rPr>
          <w:rFonts w:hint="eastAsia" w:ascii="仿宋_GB2312" w:eastAsia="仿宋_GB2312"/>
          <w:sz w:val="32"/>
          <w:szCs w:val="32"/>
        </w:rPr>
        <w:t xml:space="preserve"> 现行命案破案率保持100%，</w:t>
      </w:r>
      <w:r>
        <w:rPr>
          <w:rFonts w:hint="eastAsia" w:ascii="Times New Roman" w:hAnsi="Times New Roman" w:eastAsia="仿宋_GB2312" w:cs="仿宋_GB2312"/>
          <w:sz w:val="32"/>
          <w:szCs w:val="32"/>
        </w:rPr>
        <w:t>现行性侵未成年人案件</w:t>
      </w:r>
      <w:r>
        <w:rPr>
          <w:rFonts w:hint="eastAsia" w:eastAsia="仿宋_GB2312" w:cs="仿宋_GB2312"/>
          <w:sz w:val="32"/>
          <w:szCs w:val="32"/>
        </w:rPr>
        <w:t>全</w:t>
      </w:r>
      <w:r>
        <w:rPr>
          <w:rFonts w:hint="eastAsia" w:ascii="Times New Roman" w:hAnsi="Times New Roman" w:eastAsia="仿宋_GB2312" w:cs="仿宋_GB2312"/>
          <w:sz w:val="32"/>
          <w:szCs w:val="32"/>
        </w:rPr>
        <w:t>破</w:t>
      </w:r>
      <w:r>
        <w:rPr>
          <w:rFonts w:hint="eastAsia" w:eastAsia="仿宋_GB2312" w:cs="仿宋_GB2312"/>
          <w:sz w:val="32"/>
          <w:szCs w:val="32"/>
        </w:rPr>
        <w:t>，</w:t>
      </w:r>
      <w:r>
        <w:rPr>
          <w:rFonts w:hint="eastAsia" w:ascii="Times New Roman" w:hAnsi="Times New Roman" w:eastAsia="仿宋_GB2312" w:cs="仿宋_GB2312"/>
          <w:sz w:val="32"/>
          <w:szCs w:val="32"/>
        </w:rPr>
        <w:t>现行命案连续17年全破</w:t>
      </w:r>
      <w:r>
        <w:rPr>
          <w:rFonts w:hint="eastAsia" w:ascii="仿宋_GB2312" w:hAnsi="仿宋_GB2312" w:eastAsia="仿宋_GB2312" w:cs="仿宋_GB2312"/>
          <w:color w:val="333333"/>
          <w:sz w:val="32"/>
          <w:szCs w:val="32"/>
        </w:rPr>
        <w:t>，</w:t>
      </w:r>
      <w:r>
        <w:rPr>
          <w:rFonts w:hint="eastAsia" w:ascii="仿宋_GB2312" w:eastAsia="仿宋_GB2312"/>
          <w:sz w:val="32"/>
          <w:szCs w:val="32"/>
        </w:rPr>
        <w:t>八类严重暴力犯罪破案率保持高位。</w:t>
      </w:r>
      <w:r>
        <w:rPr>
          <w:rFonts w:hint="eastAsia" w:ascii="楷体_GB2312" w:eastAsia="楷体_GB2312"/>
          <w:b/>
          <w:sz w:val="32"/>
          <w:szCs w:val="32"/>
        </w:rPr>
        <w:t>二是惩治侵财犯罪。</w:t>
      </w:r>
      <w:r>
        <w:rPr>
          <w:rFonts w:hint="eastAsia" w:ascii="仿宋_GB2312" w:hAnsi="仿宋_GB2312" w:eastAsia="仿宋_GB2312" w:cs="仿宋_GB2312"/>
          <w:sz w:val="32"/>
          <w:szCs w:val="32"/>
        </w:rPr>
        <w:t>盗窃案件破案率65.08%；入室盗窃案件破案率76.47%</w:t>
      </w:r>
      <w:r>
        <w:rPr>
          <w:rFonts w:hint="eastAsia" w:ascii="仿宋_GB2312" w:hAnsi="仿宋_GB2312" w:eastAsia="仿宋_GB2312" w:cs="仿宋_GB2312"/>
          <w:color w:val="333333"/>
          <w:sz w:val="32"/>
          <w:szCs w:val="32"/>
        </w:rPr>
        <w:t>。破获跨区域盗窃类案件2起（跨省1起、跨市1起）</w:t>
      </w:r>
      <w:r>
        <w:rPr>
          <w:rFonts w:hint="eastAsia" w:ascii="仿宋_GB2312" w:eastAsia="仿宋_GB2312"/>
          <w:sz w:val="32"/>
          <w:szCs w:val="32"/>
        </w:rPr>
        <w:t>。</w:t>
      </w:r>
      <w:r>
        <w:rPr>
          <w:rFonts w:hint="eastAsia" w:ascii="楷体_GB2312" w:eastAsia="楷体_GB2312"/>
          <w:b/>
          <w:sz w:val="32"/>
          <w:szCs w:val="32"/>
        </w:rPr>
        <w:t>三是攻坚电诈犯罪。</w:t>
      </w:r>
      <w:r>
        <w:rPr>
          <w:rFonts w:hint="eastAsia" w:ascii="仿宋_GB2312" w:eastAsia="仿宋_GB2312"/>
          <w:sz w:val="32"/>
          <w:szCs w:val="32"/>
        </w:rPr>
        <w:t>破获电诈案件100起，抓获犯罪嫌疑人140名，预警劝阻潜在受害人188人次，止付涉案资金2000万元。</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（四）</w:t>
      </w:r>
      <w:r>
        <w:rPr>
          <w:rFonts w:hint="eastAsia" w:ascii="黑体" w:hAnsi="黑体" w:eastAsia="黑体"/>
          <w:sz w:val="32"/>
          <w:szCs w:val="32"/>
        </w:rPr>
        <w:t>优化营商环境，服务保障高质量发展</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主动融入发展大局，全力营造优质高效的服务环境。</w:t>
      </w:r>
      <w:r>
        <w:rPr>
          <w:rFonts w:hint="eastAsia" w:ascii="楷体_GB2312" w:eastAsia="楷体_GB2312"/>
          <w:b/>
          <w:sz w:val="32"/>
          <w:szCs w:val="32"/>
        </w:rPr>
        <w:t>一是深化政务服务。</w:t>
      </w:r>
      <w:r>
        <w:rPr>
          <w:rFonts w:hint="eastAsia" w:ascii="仿宋_GB2312" w:eastAsia="仿宋_GB2312"/>
          <w:sz w:val="32"/>
          <w:szCs w:val="32"/>
        </w:rPr>
        <w:t>深化“一窗通办”“一网通办”“跨省通办”和“一件事一次办”，简化服务流程，共处理“一件事一次办”业务200余件。</w:t>
      </w:r>
      <w:r>
        <w:rPr>
          <w:rFonts w:hint="eastAsia" w:ascii="楷体_GB2312" w:eastAsia="楷体_GB2312"/>
          <w:b/>
          <w:sz w:val="32"/>
          <w:szCs w:val="32"/>
        </w:rPr>
        <w:t>二是规范涉企执法。</w:t>
      </w:r>
      <w:r>
        <w:rPr>
          <w:rFonts w:hint="eastAsia" w:ascii="仿宋_GB2312" w:eastAsia="仿宋_GB2312"/>
          <w:sz w:val="32"/>
          <w:szCs w:val="32"/>
        </w:rPr>
        <w:t>依法慎用涉企强制措施，依法保护各类市场主体合法权益，最大限度减少执法活动对企业正常生产经营的影响。</w:t>
      </w:r>
      <w:r>
        <w:rPr>
          <w:rFonts w:hint="eastAsia" w:ascii="楷体_GB2312" w:eastAsia="楷体_GB2312"/>
          <w:b/>
          <w:sz w:val="32"/>
          <w:szCs w:val="32"/>
        </w:rPr>
        <w:t>三是维护市场秩序。</w:t>
      </w:r>
      <w:r>
        <w:rPr>
          <w:rFonts w:hint="eastAsia" w:ascii="仿宋_GB2312" w:eastAsia="仿宋_GB2312"/>
          <w:sz w:val="32"/>
          <w:szCs w:val="32"/>
        </w:rPr>
        <w:t>依法严厉打击合同诈骗、侵犯知识产权等破坏市场经济秩序的犯罪行为，破获经济犯罪案件7起，挽回经济损失1200万元。</w:t>
      </w: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numPr>
          <w:ilvl w:val="0"/>
          <w:numId w:val="2"/>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Pr>
        <w:pStyle w:val="14"/>
        <w:numPr>
          <w:numId w:val="0"/>
        </w:numPr>
        <w:spacing w:line="360" w:lineRule="auto"/>
        <w:jc w:val="both"/>
        <w:rPr>
          <w:rFonts w:ascii="Times New Roman" w:hAnsi="Times New Roman" w:eastAsia="方正小标宋_GBK" w:cs="Times New Roman"/>
          <w:sz w:val="52"/>
          <w:szCs w:val="52"/>
        </w:rPr>
      </w:pP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一、财政拨款收入：指财政当年拨付的资金，主要包括一般公共预算财政拨款，政府性基金预算财政拨款，国有资本经营预算财政拨款。</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jc w:val="center"/>
        <w:rPr>
          <w:rFonts w:hint="eastAsia" w:ascii="微软雅黑" w:eastAsia="微软雅黑"/>
          <w:sz w:val="52"/>
          <w:szCs w:val="52"/>
        </w:rPr>
      </w:pPr>
      <w:r>
        <w:rPr>
          <w:rFonts w:hint="eastAsia" w:ascii="微软雅黑" w:eastAsia="微软雅黑"/>
          <w:sz w:val="52"/>
          <w:szCs w:val="52"/>
        </w:rPr>
        <w:t>202</w:t>
      </w:r>
      <w:r>
        <w:rPr>
          <w:rFonts w:hint="eastAsia" w:ascii="微软雅黑" w:eastAsia="微软雅黑"/>
          <w:sz w:val="52"/>
          <w:szCs w:val="52"/>
          <w:lang w:val="en-US" w:eastAsia="zh-CN"/>
        </w:rPr>
        <w:t>5</w:t>
      </w:r>
      <w:r>
        <w:rPr>
          <w:rFonts w:hint="eastAsia" w:ascii="微软雅黑" w:eastAsia="微软雅黑"/>
          <w:sz w:val="52"/>
          <w:szCs w:val="52"/>
        </w:rPr>
        <w:t>年度</w:t>
      </w:r>
      <w:r>
        <w:rPr>
          <w:rFonts w:hint="eastAsia" w:ascii="微软雅黑" w:eastAsia="微软雅黑"/>
          <w:sz w:val="52"/>
          <w:szCs w:val="52"/>
          <w:lang w:eastAsia="zh-CN"/>
        </w:rPr>
        <w:t>永州市公安局零陵分局</w:t>
      </w:r>
      <w:r>
        <w:rPr>
          <w:rFonts w:hint="eastAsia" w:ascii="微软雅黑" w:eastAsia="微软雅黑"/>
          <w:sz w:val="52"/>
          <w:szCs w:val="52"/>
        </w:rPr>
        <w:t>整体支出绩效自评报告</w:t>
      </w:r>
    </w:p>
    <w:p>
      <w:pPr>
        <w:jc w:val="center"/>
        <w:rPr>
          <w:rFonts w:eastAsia="方正小标宋_GBK"/>
          <w:b/>
          <w:sz w:val="52"/>
          <w:szCs w:val="52"/>
        </w:rPr>
      </w:pPr>
    </w:p>
    <w:p>
      <w:pPr>
        <w:jc w:val="center"/>
        <w:rPr>
          <w:rFonts w:eastAsia="楷体_GB2312"/>
          <w:b/>
          <w:sz w:val="32"/>
          <w:szCs w:val="32"/>
        </w:rPr>
      </w:pPr>
    </w:p>
    <w:p>
      <w:pPr>
        <w:jc w:val="both"/>
        <w:rPr>
          <w:rFonts w:eastAsia="楷体_GB2312"/>
          <w:b/>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spacing w:line="600" w:lineRule="exact"/>
        <w:ind w:firstLine="1920" w:firstLineChars="600"/>
        <w:rPr>
          <w:rFonts w:eastAsia="仿宋_GB2312"/>
          <w:sz w:val="32"/>
          <w:szCs w:val="32"/>
          <w:u w:val="single"/>
        </w:rPr>
      </w:pPr>
      <w:r>
        <w:rPr>
          <w:rFonts w:eastAsia="仿宋_GB2312"/>
          <w:sz w:val="32"/>
          <w:szCs w:val="32"/>
        </w:rPr>
        <w:t>单位名称：</w:t>
      </w:r>
      <w:r>
        <w:rPr>
          <w:rFonts w:hint="eastAsia" w:eastAsia="仿宋_GB2312"/>
          <w:sz w:val="32"/>
          <w:szCs w:val="32"/>
          <w:u w:val="single"/>
          <w:lang w:eastAsia="zh-CN"/>
        </w:rPr>
        <w:t>永州市公安局零陵分局</w:t>
      </w:r>
    </w:p>
    <w:p>
      <w:pPr>
        <w:spacing w:line="600" w:lineRule="exact"/>
        <w:ind w:firstLine="3200" w:firstLineChars="1000"/>
        <w:rPr>
          <w:rFonts w:eastAsia="楷体_GB2312"/>
          <w:sz w:val="32"/>
          <w:szCs w:val="32"/>
        </w:rPr>
      </w:pPr>
      <w:r>
        <w:rPr>
          <w:rFonts w:hint="eastAsia" w:eastAsia="楷体_GB2312"/>
          <w:sz w:val="32"/>
          <w:szCs w:val="32"/>
          <w:lang w:val="en-US" w:eastAsia="zh-CN"/>
        </w:rPr>
        <w:t>2026</w:t>
      </w:r>
      <w:r>
        <w:rPr>
          <w:rFonts w:eastAsia="楷体_GB2312"/>
          <w:sz w:val="32"/>
          <w:szCs w:val="32"/>
        </w:rPr>
        <w:t>年</w:t>
      </w:r>
      <w:r>
        <w:rPr>
          <w:rFonts w:hint="eastAsia" w:eastAsia="楷体_GB2312"/>
          <w:sz w:val="32"/>
          <w:szCs w:val="32"/>
          <w:lang w:val="en-US" w:eastAsia="zh-CN"/>
        </w:rPr>
        <w:t>3</w:t>
      </w:r>
      <w:r>
        <w:rPr>
          <w:rFonts w:eastAsia="楷体_GB2312"/>
          <w:sz w:val="32"/>
          <w:szCs w:val="32"/>
        </w:rPr>
        <w:t>月</w:t>
      </w:r>
      <w:r>
        <w:rPr>
          <w:rFonts w:hint="eastAsia" w:eastAsia="楷体_GB2312"/>
          <w:sz w:val="32"/>
          <w:szCs w:val="32"/>
          <w:lang w:val="en-US" w:eastAsia="zh-CN"/>
        </w:rPr>
        <w:t>15</w:t>
      </w:r>
      <w:r>
        <w:rPr>
          <w:rFonts w:eastAsia="楷体_GB2312"/>
          <w:sz w:val="32"/>
          <w:szCs w:val="32"/>
        </w:rPr>
        <w:t>日</w:t>
      </w:r>
    </w:p>
    <w:p>
      <w:pPr>
        <w:jc w:val="center"/>
        <w:rPr>
          <w:rFonts w:eastAsia="黑体"/>
          <w:sz w:val="32"/>
          <w:szCs w:val="32"/>
        </w:rPr>
      </w:pPr>
    </w:p>
    <w:p>
      <w:pPr>
        <w:numPr>
          <w:ilvl w:val="0"/>
          <w:numId w:val="0"/>
        </w:numPr>
        <w:spacing w:line="570" w:lineRule="exact"/>
        <w:ind w:firstLine="640" w:firstLineChars="200"/>
        <w:rPr>
          <w:rFonts w:eastAsia="黑体"/>
          <w:sz w:val="32"/>
          <w:szCs w:val="32"/>
        </w:rPr>
      </w:pPr>
      <w:r>
        <w:rPr>
          <w:rFonts w:eastAsia="仿宋_GB2312"/>
          <w:sz w:val="32"/>
          <w:szCs w:val="32"/>
        </w:rPr>
        <w:br w:type="page"/>
      </w:r>
      <w:r>
        <w:rPr>
          <w:rFonts w:hint="eastAsia" w:ascii="黑体" w:hAnsi="黑体" w:eastAsia="黑体" w:cs="黑体"/>
          <w:sz w:val="32"/>
          <w:szCs w:val="32"/>
        </w:rPr>
        <w:t>一、</w:t>
      </w:r>
      <w:r>
        <w:rPr>
          <w:rFonts w:eastAsia="黑体"/>
          <w:sz w:val="32"/>
          <w:szCs w:val="32"/>
        </w:rPr>
        <w:t>部门（单位）基本情况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（一）部门基本情况</w:t>
      </w:r>
    </w:p>
    <w:p>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_GB2312" w:eastAsia="仿宋_GB2312" w:cs="仿宋_GB2312"/>
          <w:sz w:val="32"/>
          <w:szCs w:val="32"/>
          <w:lang w:val="en-US" w:eastAsia="zh-CN"/>
        </w:rPr>
        <w:t>1、永州市公安局零陵分局为正科级单位，</w:t>
      </w:r>
      <w:r>
        <w:rPr>
          <w:rFonts w:hint="eastAsia" w:eastAsia="仿宋_GB2312"/>
          <w:sz w:val="32"/>
          <w:szCs w:val="32"/>
          <w:lang w:val="en-US" w:eastAsia="zh-CN"/>
        </w:rPr>
        <w:t>永州市公安局零陵分局为正科级单位，内设14个机构（其中刑侦大队、治安大队等11个大队，政工监督室、警务保障室等3个股室）；下属机构2个：看守所、拘留所；派出机构18个：徐家井、朝阳等4个城区派出所及沙沟湾派出所和水上派出所；珠山、接履桥等12个农村派出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sz w:val="32"/>
          <w:szCs w:val="32"/>
        </w:rPr>
      </w:pPr>
      <w:r>
        <w:rPr>
          <w:rFonts w:hint="eastAsia" w:eastAsia="仿宋_GB2312"/>
          <w:sz w:val="32"/>
          <w:szCs w:val="32"/>
        </w:rPr>
        <w:t>年末共有在职民警职工326人，退休干部135人，户管员14人，劳务派遣辅警550人。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2、部门主要职能</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贯彻执行国家有关公安工作的方针、政策和法律、法规，掌握影响稳定、危害国内安全和社会治安的情况，分析形势，拟定对策，为党委、政府和上级公安机关提供社会治安等方面的重要信息，提出预防、打击犯罪和整治社会治安的建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（2）负责辖区内各类案件的侦查工作，协调处置重大案件（事件）、治安事故和骚乱。</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（3）负责依法查处危害社会治安秩序的行为；依法管理户口、居民身份证、枪支弹药、危险爆炸物品、特种行业和公共场所等治安管理工作。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（4）负责辖区内出入境和外国人在境内居留、旅行的有关工作。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（5）负责领导、组织、监督全区消防工作。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（6）负责指导、监督全区国家机关、社会团体、企事业单位和重点建设工程的治安保卫以及群众性治安保卫组织的治安防范工作。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rPr>
        <w:t>（二）部门（单位）整体支出规模</w:t>
      </w:r>
      <w:r>
        <w:rPr>
          <w:rFonts w:hint="eastAsia" w:ascii="仿宋_GB2312" w:hAnsi="仿宋_GB2312" w:eastAsia="仿宋_GB2312" w:cs="仿宋_GB2312"/>
          <w:sz w:val="32"/>
          <w:szCs w:val="32"/>
          <w:lang w:eastAsia="zh-CN"/>
        </w:rPr>
        <w:t>。</w:t>
      </w:r>
      <w:bookmarkStart w:id="3" w:name="OLE_LINK2"/>
    </w:p>
    <w:p>
      <w:pPr>
        <w:widowControl/>
        <w:spacing w:line="600" w:lineRule="exact"/>
        <w:ind w:firstLine="627" w:firstLineChars="196"/>
        <w:jc w:val="left"/>
        <w:rPr>
          <w:rFonts w:hint="eastAsia" w:eastAsia="仿宋_GB2312"/>
          <w:sz w:val="32"/>
          <w:szCs w:val="32"/>
        </w:rPr>
      </w:pPr>
      <w:r>
        <w:rPr>
          <w:rFonts w:hint="eastAsia" w:ascii="仿宋_GB2312" w:hAnsi="仿宋_GB2312" w:eastAsia="仿宋_GB2312" w:cs="仿宋_GB2312"/>
          <w:sz w:val="32"/>
          <w:szCs w:val="32"/>
          <w:lang w:val="en-US" w:eastAsia="zh-CN"/>
        </w:rPr>
        <w:t>2025年部门预算总收入7778.32万元，决算总收入11,086.5万元，</w:t>
      </w:r>
      <w:r>
        <w:rPr>
          <w:rFonts w:hint="eastAsia" w:eastAsia="仿宋_GB2312"/>
          <w:sz w:val="32"/>
          <w:szCs w:val="32"/>
        </w:rPr>
        <w:t>总收入比上年增加</w:t>
      </w:r>
      <w:r>
        <w:rPr>
          <w:rFonts w:eastAsia="仿宋_GB2312"/>
          <w:sz w:val="32"/>
          <w:szCs w:val="32"/>
        </w:rPr>
        <w:t>127.73</w:t>
      </w:r>
      <w:r>
        <w:rPr>
          <w:rFonts w:hint="eastAsia" w:eastAsia="仿宋_GB2312"/>
          <w:sz w:val="32"/>
          <w:szCs w:val="32"/>
        </w:rPr>
        <w:t>万元，增加率</w:t>
      </w:r>
      <w:r>
        <w:rPr>
          <w:rFonts w:eastAsia="仿宋_GB2312"/>
          <w:sz w:val="32"/>
          <w:szCs w:val="32"/>
        </w:rPr>
        <w:t>1.2</w:t>
      </w:r>
      <w:r>
        <w:rPr>
          <w:rFonts w:hint="eastAsia" w:eastAsia="仿宋_GB2312"/>
          <w:sz w:val="32"/>
          <w:szCs w:val="32"/>
        </w:rPr>
        <w:t>%，原因为</w:t>
      </w:r>
      <w:r>
        <w:rPr>
          <w:rFonts w:hint="eastAsia" w:ascii="仿宋_GB2312" w:hAnsi="仿宋" w:eastAsia="仿宋_GB2312" w:cs="仿宋"/>
          <w:color w:val="000000"/>
          <w:sz w:val="32"/>
          <w:szCs w:val="32"/>
        </w:rPr>
        <w:t>人员经费增加，专项支出增加</w:t>
      </w:r>
      <w:r>
        <w:rPr>
          <w:rFonts w:hint="eastAsia" w:eastAsia="仿宋_GB2312"/>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olor w:val="000000"/>
          <w:sz w:val="32"/>
          <w:szCs w:val="32"/>
          <w:lang w:eastAsia="zh-CN"/>
        </w:rPr>
      </w:pPr>
      <w:r>
        <w:rPr>
          <w:rFonts w:hint="eastAsia" w:eastAsia="仿宋_GB2312"/>
          <w:sz w:val="32"/>
          <w:szCs w:val="32"/>
        </w:rPr>
        <w:t>2025年决算总支出</w:t>
      </w:r>
      <w:r>
        <w:rPr>
          <w:rFonts w:eastAsia="仿宋_GB2312"/>
          <w:sz w:val="32"/>
          <w:szCs w:val="32"/>
        </w:rPr>
        <w:t>11,086.51</w:t>
      </w:r>
      <w:r>
        <w:rPr>
          <w:rFonts w:hint="eastAsia" w:eastAsia="仿宋_GB2312"/>
          <w:sz w:val="32"/>
          <w:szCs w:val="32"/>
        </w:rPr>
        <w:t>万元，总支出比上年增加</w:t>
      </w:r>
      <w:r>
        <w:rPr>
          <w:rFonts w:eastAsia="仿宋_GB2312"/>
          <w:sz w:val="32"/>
          <w:szCs w:val="32"/>
        </w:rPr>
        <w:t>127.73</w:t>
      </w:r>
      <w:r>
        <w:rPr>
          <w:rFonts w:hint="eastAsia" w:eastAsia="仿宋_GB2312"/>
          <w:sz w:val="32"/>
          <w:szCs w:val="32"/>
        </w:rPr>
        <w:t>，增加率</w:t>
      </w:r>
      <w:r>
        <w:rPr>
          <w:rFonts w:eastAsia="仿宋_GB2312"/>
          <w:sz w:val="32"/>
          <w:szCs w:val="32"/>
        </w:rPr>
        <w:t>1.2</w:t>
      </w:r>
      <w:r>
        <w:rPr>
          <w:rFonts w:hint="eastAsia" w:eastAsia="仿宋_GB2312"/>
          <w:sz w:val="32"/>
          <w:szCs w:val="32"/>
        </w:rPr>
        <w:t>%</w:t>
      </w:r>
      <w:r>
        <w:rPr>
          <w:rFonts w:hint="eastAsia" w:ascii="仿宋_GB2312" w:hAnsi="仿宋_GB2312" w:eastAsia="仿宋_GB2312" w:cs="仿宋_GB2312"/>
          <w:sz w:val="32"/>
          <w:szCs w:val="32"/>
          <w:lang w:val="en-US" w:eastAsia="zh-CN"/>
        </w:rPr>
        <w:t>。</w:t>
      </w:r>
      <w:bookmarkEnd w:id="3"/>
    </w:p>
    <w:p>
      <w:pPr>
        <w:pStyle w:val="15"/>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（一）基本支出情况</w:t>
      </w:r>
    </w:p>
    <w:p>
      <w:pPr>
        <w:pStyle w:val="15"/>
        <w:numPr>
          <w:ilvl w:val="0"/>
          <w:numId w:val="0"/>
        </w:numPr>
        <w:spacing w:line="57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本支出7,256.88万元。其中：人员经费支出6,062.62万元（工资福利支出6,062.53万元，其中基本工资1,786.80万元，津贴补贴1,654.91万元，奖金1,221.38万元，机关事业单位基本养老保险缴费540.53万元，职工基本医疗保险缴费234.31万元，其他社会保障缴费17.11万元，住房公积金517.54万元，医疗费0.23万元，其他工资福利支出11.70万元；对个人和家庭的补助78.12万元）；日常公用经费支出1,194.26万元（其中公务用车运行维护费132.58万元，公务接待费0万元）；资本性支出9.84万元。</w:t>
      </w:r>
    </w:p>
    <w:p>
      <w:pPr>
        <w:pStyle w:val="15"/>
        <w:numPr>
          <w:ilvl w:val="0"/>
          <w:numId w:val="0"/>
        </w:numPr>
        <w:spacing w:line="570" w:lineRule="exact"/>
        <w:ind w:firstLine="640" w:firstLineChars="200"/>
        <w:rPr>
          <w:rFonts w:hint="eastAsia" w:ascii="仿宋_GB2312" w:hAnsi="仿宋" w:eastAsia="仿宋_GB2312"/>
          <w:sz w:val="32"/>
          <w:szCs w:val="32"/>
        </w:rPr>
      </w:pPr>
      <w:r>
        <w:rPr>
          <w:rFonts w:hint="eastAsia" w:ascii="Times New Roman" w:hAnsi="Times New Roman" w:eastAsia="仿宋_GB2312"/>
          <w:sz w:val="32"/>
          <w:szCs w:val="32"/>
          <w:lang w:eastAsia="zh-CN"/>
        </w:rPr>
        <w:t>（二）</w:t>
      </w:r>
      <w:r>
        <w:rPr>
          <w:rFonts w:ascii="Times New Roman" w:hAnsi="Times New Roman" w:eastAsia="仿宋_GB2312"/>
          <w:sz w:val="32"/>
          <w:szCs w:val="32"/>
        </w:rPr>
        <w:t>项目支出情况</w:t>
      </w:r>
    </w:p>
    <w:p>
      <w:pPr>
        <w:pStyle w:val="15"/>
        <w:numPr>
          <w:ilvl w:val="0"/>
          <w:numId w:val="0"/>
        </w:numPr>
        <w:spacing w:line="570" w:lineRule="exact"/>
        <w:ind w:firstLine="960" w:firstLineChars="300"/>
        <w:rPr>
          <w:rFonts w:hint="default" w:ascii="Times New Roman" w:hAnsi="Times New Roman" w:eastAsia="仿宋_GB2312"/>
          <w:sz w:val="32"/>
          <w:szCs w:val="32"/>
          <w:lang w:val="en-US" w:eastAsia="zh-CN"/>
        </w:rPr>
      </w:pPr>
      <w:r>
        <w:rPr>
          <w:rFonts w:hint="eastAsia" w:ascii="仿宋_GB2312" w:hAnsi="仿宋_GB2312" w:eastAsia="仿宋_GB2312" w:cs="仿宋_GB2312"/>
          <w:sz w:val="32"/>
          <w:szCs w:val="32"/>
          <w:lang w:val="en-US" w:eastAsia="zh-CN"/>
        </w:rPr>
        <w:t>项目支出3,829.63万元。其中：工资福利支出1,861.24万元，商品与服务支出1,200.15万元，对个人和家庭的补助支出261.11万元，资本性支出507.14万元。</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sz w:val="32"/>
          <w:szCs w:val="32"/>
        </w:rPr>
      </w:pPr>
      <w:r>
        <w:rPr>
          <w:rFonts w:hint="eastAsia" w:ascii="仿宋_GB2312" w:hAnsi="仿宋_GB2312" w:eastAsia="仿宋_GB2312" w:cs="仿宋_GB2312"/>
          <w:sz w:val="32"/>
          <w:szCs w:val="32"/>
          <w:lang w:val="en-US" w:eastAsia="zh-CN"/>
        </w:rPr>
        <w:t>我局严格遵守各项财经法规政策规定，建立健全内控管理制度，夯实基础工作，对政府采购规模以上项目，应采尽采，无分割、逃避政府采购的情况。设置内部配套流程，迅速落实电子卖场采购要求。全面落实过</w:t>
      </w:r>
      <w:r>
        <w:rPr>
          <w:rFonts w:hint="default" w:ascii="仿宋_GB2312" w:hAnsi="仿宋_GB2312" w:eastAsia="仿宋_GB2312" w:cs="仿宋_GB2312"/>
          <w:sz w:val="32"/>
          <w:szCs w:val="32"/>
          <w:lang w:val="en-US" w:eastAsia="zh-CN"/>
        </w:rPr>
        <w:t>“紧日子”要求，切实压缩一般性支出，最大程度发挥资金效益。对专项资金实行全过程绩效管理</w:t>
      </w:r>
      <w:r>
        <w:rPr>
          <w:rFonts w:hint="eastAsia" w:ascii="仿宋_GB2312" w:hAnsi="仿宋_GB2312" w:eastAsia="仿宋_GB2312" w:cs="仿宋_GB2312"/>
          <w:sz w:val="32"/>
          <w:szCs w:val="32"/>
          <w:lang w:val="en-US" w:eastAsia="zh-CN"/>
        </w:rPr>
        <w:t>。</w:t>
      </w:r>
    </w:p>
    <w:p>
      <w:pPr>
        <w:pStyle w:val="15"/>
        <w:numPr>
          <w:ilvl w:val="0"/>
          <w:numId w:val="3"/>
        </w:numPr>
        <w:spacing w:line="570" w:lineRule="exact"/>
        <w:ind w:firstLine="640"/>
        <w:jc w:val="both"/>
        <w:rPr>
          <w:rFonts w:hint="eastAsia" w:ascii="Times New Roman" w:hAnsi="Times New Roman" w:eastAsia="黑体"/>
          <w:sz w:val="32"/>
          <w:szCs w:val="32"/>
        </w:rPr>
      </w:pP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15"/>
        <w:numPr>
          <w:ilvl w:val="0"/>
          <w:numId w:val="0"/>
        </w:numPr>
        <w:spacing w:line="570" w:lineRule="exact"/>
        <w:ind w:firstLine="640" w:firstLineChars="200"/>
        <w:jc w:val="both"/>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pPr>
        <w:pStyle w:val="15"/>
        <w:numPr>
          <w:ilvl w:val="0"/>
          <w:numId w:val="3"/>
        </w:numPr>
        <w:spacing w:line="570" w:lineRule="exact"/>
        <w:ind w:left="0" w:leftChars="0" w:firstLine="640" w:firstLineChars="200"/>
        <w:jc w:val="both"/>
        <w:rPr>
          <w:rFonts w:hint="eastAsia" w:ascii="Times New Roman" w:hAnsi="Times New Roman" w:eastAsia="黑体"/>
          <w:sz w:val="32"/>
          <w:szCs w:val="32"/>
        </w:rPr>
      </w:pP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15"/>
        <w:numPr>
          <w:ilvl w:val="0"/>
          <w:numId w:val="0"/>
        </w:numPr>
        <w:spacing w:line="570" w:lineRule="exact"/>
        <w:ind w:leftChars="200" w:firstLine="320" w:firstLineChars="100"/>
        <w:jc w:val="both"/>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我单位无国有资本经营预算支出情况</w:t>
      </w:r>
    </w:p>
    <w:p>
      <w:pPr>
        <w:pStyle w:val="15"/>
        <w:numPr>
          <w:ilvl w:val="0"/>
          <w:numId w:val="3"/>
        </w:numPr>
        <w:spacing w:line="570" w:lineRule="exact"/>
        <w:ind w:left="0" w:leftChars="0" w:firstLine="640" w:firstLineChars="200"/>
        <w:jc w:val="both"/>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15"/>
        <w:numPr>
          <w:ilvl w:val="0"/>
          <w:numId w:val="0"/>
        </w:numPr>
        <w:spacing w:line="570" w:lineRule="exact"/>
        <w:ind w:leftChars="200" w:firstLine="320" w:firstLineChars="100"/>
        <w:jc w:val="both"/>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我单位无社会保险基金预算支出情况</w:t>
      </w:r>
    </w:p>
    <w:p>
      <w:pPr>
        <w:spacing w:line="570" w:lineRule="exact"/>
        <w:ind w:firstLine="640" w:firstLineChars="200"/>
        <w:jc w:val="both"/>
        <w:rPr>
          <w:rFonts w:eastAsia="黑体"/>
          <w:sz w:val="32"/>
          <w:szCs w:val="32"/>
        </w:rPr>
      </w:pPr>
      <w:r>
        <w:rPr>
          <w:rFonts w:eastAsia="黑体"/>
          <w:sz w:val="32"/>
          <w:szCs w:val="32"/>
        </w:rPr>
        <w:t>六、部门整体支出绩效情况</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2025年，零陵公安分局在市委、市政府和上级公安机关的坚强领导下，忠诚履行新时代公安工作职责使命，全力以赴投入防风险、保安全、护稳定、促发展各项工作，为辖区高质量发展创造了安全稳定的社会环境。</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（一）</w:t>
      </w:r>
      <w:r>
        <w:rPr>
          <w:rFonts w:hint="eastAsia" w:ascii="黑体" w:hAnsi="黑体" w:eastAsia="黑体"/>
          <w:sz w:val="32"/>
          <w:szCs w:val="32"/>
        </w:rPr>
        <w:t>强化政治建警，锻造忠诚过硬队伍</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始终坚持把政治建设摆在首位，着力锻造“四个铁一般”公安铁军。</w:t>
      </w:r>
      <w:r>
        <w:rPr>
          <w:rFonts w:hint="eastAsia" w:ascii="楷体_GB2312" w:eastAsia="楷体_GB2312"/>
          <w:b/>
          <w:sz w:val="32"/>
          <w:szCs w:val="32"/>
        </w:rPr>
        <w:t>一是筑牢思想根基</w:t>
      </w:r>
      <w:r>
        <w:rPr>
          <w:rFonts w:hint="eastAsia" w:ascii="仿宋_GB2312" w:eastAsia="仿宋_GB2312"/>
          <w:sz w:val="32"/>
          <w:szCs w:val="32"/>
        </w:rPr>
        <w:t>。组织开展党委理论学习中心组学习12次，持续巩固主题教育成果，引导全警深刻领悟“两个确立”的决定性意义，坚决做到“两个维护”。</w:t>
      </w:r>
      <w:r>
        <w:rPr>
          <w:rFonts w:hint="eastAsia" w:ascii="楷体_GB2312" w:eastAsia="楷体_GB2312"/>
          <w:b/>
          <w:sz w:val="32"/>
          <w:szCs w:val="32"/>
        </w:rPr>
        <w:t>二是严明纪律作风。</w:t>
      </w:r>
      <w:r>
        <w:rPr>
          <w:rFonts w:hint="eastAsia" w:ascii="仿宋_GB2312" w:eastAsia="仿宋_GB2312"/>
          <w:sz w:val="32"/>
          <w:szCs w:val="32"/>
        </w:rPr>
        <w:t>严格执行各项警纪警规和规章制度，深入开展纪律作风教育整顿，紧盯“关键少数”和重点岗位，强化日常监督管理。</w:t>
      </w:r>
      <w:r>
        <w:rPr>
          <w:rFonts w:hint="eastAsia" w:ascii="楷体_GB2312" w:eastAsia="楷体_GB2312"/>
          <w:b/>
          <w:sz w:val="32"/>
          <w:szCs w:val="32"/>
        </w:rPr>
        <w:t>三是提升专业能力。</w:t>
      </w:r>
      <w:r>
        <w:rPr>
          <w:rFonts w:hint="eastAsia" w:ascii="仿宋_GB2312" w:eastAsia="仿宋_GB2312"/>
          <w:sz w:val="32"/>
          <w:szCs w:val="32"/>
        </w:rPr>
        <w:t>聚焦实战需求，组织开展警务技能、应急处突等岗位练兵活动，全面提升民警履职能力，激发队伍内生动力和创新活力。</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（二）</w:t>
      </w:r>
      <w:r>
        <w:rPr>
          <w:rFonts w:hint="eastAsia" w:ascii="黑体" w:hAnsi="黑体" w:eastAsia="黑体"/>
          <w:sz w:val="32"/>
          <w:szCs w:val="32"/>
        </w:rPr>
        <w:t>维护安全稳定，建设更高水平平安辖区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坚决扛起维护安全稳定政治责任，全力营造安定有序的社会环境。</w:t>
      </w:r>
      <w:r>
        <w:rPr>
          <w:rFonts w:hint="eastAsia" w:ascii="楷体_GB2312" w:eastAsia="楷体_GB2312"/>
          <w:b/>
          <w:sz w:val="32"/>
          <w:szCs w:val="32"/>
        </w:rPr>
        <w:t>一是深化矛盾化解。</w:t>
      </w:r>
      <w:r>
        <w:rPr>
          <w:rFonts w:hint="eastAsia" w:ascii="仿宋_GB2312" w:eastAsia="仿宋_GB2312"/>
          <w:sz w:val="32"/>
          <w:szCs w:val="32"/>
        </w:rPr>
        <w:t xml:space="preserve"> 全年排查各类矛盾纠纷1536起，成功化解1514起，化解率达98.56%，有效防止了“民转刑”案件和群体性事件的发生。</w:t>
      </w:r>
      <w:r>
        <w:rPr>
          <w:rFonts w:hint="eastAsia" w:ascii="楷体_GB2312" w:eastAsia="楷体_GB2312"/>
          <w:b/>
          <w:sz w:val="32"/>
          <w:szCs w:val="32"/>
        </w:rPr>
        <w:t>二是强化治安管控。</w:t>
      </w:r>
      <w:r>
        <w:rPr>
          <w:rFonts w:hint="eastAsia" w:ascii="Times New Roman" w:hAnsi="Times New Roman" w:eastAsia="仿宋_GB2312" w:cs="仿宋_GB2312"/>
          <w:sz w:val="32"/>
          <w:szCs w:val="32"/>
        </w:rPr>
        <w:t>构建“4+1”巡防工作模式，实现网上网下协同配合，构建全时空、全天候、全地域的大巡防体系，街面先期处置率达到100%，街面寻衅滋事、盗抢类警情明显下降。</w:t>
      </w:r>
      <w:r>
        <w:rPr>
          <w:rFonts w:hint="eastAsia" w:ascii="楷体_GB2312" w:eastAsia="楷体_GB2312"/>
          <w:b/>
          <w:sz w:val="32"/>
          <w:szCs w:val="32"/>
        </w:rPr>
        <w:t>三是完成重大安保。</w:t>
      </w:r>
      <w:r>
        <w:rPr>
          <w:rFonts w:hint="eastAsia" w:ascii="Times New Roman" w:hAnsi="Times New Roman" w:eastAsia="仿宋_GB2312" w:cs="仿宋_GB2312"/>
          <w:sz w:val="32"/>
          <w:szCs w:val="32"/>
        </w:rPr>
        <w:t>圆满完成“两节”“两会”“</w:t>
      </w:r>
      <w:r>
        <w:rPr>
          <w:rFonts w:ascii="Times New Roman" w:hAnsi="Times New Roman" w:eastAsia="仿宋_GB2312" w:cs="仿宋_GB2312"/>
          <w:sz w:val="32"/>
          <w:szCs w:val="32"/>
        </w:rPr>
        <w:t>6.4”</w:t>
      </w:r>
      <w:r>
        <w:rPr>
          <w:rFonts w:hint="eastAsia" w:ascii="Times New Roman" w:hAnsi="Times New Roman" w:eastAsia="仿宋_GB2312" w:cs="仿宋_GB2312"/>
          <w:sz w:val="32"/>
          <w:szCs w:val="32"/>
        </w:rPr>
        <w:t>“三考”、党的二十届四中全会等30余个重要敏感节点，以及第六届柳宗元文化旅游周零陵夜宴暨“湘超”永州惠民消费季、第二届一眼千年零陵古城cosplay暨“AI文旅爱零陵”科技周等30余起区内大型活动安保</w:t>
      </w:r>
      <w:r>
        <w:rPr>
          <w:rFonts w:hint="eastAsia" w:ascii="仿宋_GB2312" w:eastAsia="仿宋_GB2312"/>
          <w:sz w:val="32"/>
          <w:szCs w:val="32"/>
        </w:rPr>
        <w:t>，确保各项活动安全顺利进行。</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（三）</w:t>
      </w:r>
      <w:r>
        <w:rPr>
          <w:rFonts w:hint="eastAsia" w:ascii="黑体" w:hAnsi="黑体" w:eastAsia="黑体"/>
          <w:sz w:val="32"/>
          <w:szCs w:val="32"/>
        </w:rPr>
        <w:t>严打违法犯罪，切实保障人民群众安全</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始终保持对违法犯罪的凌厉攻势，全力守护人民群众生命财产安全。</w:t>
      </w:r>
      <w:r>
        <w:rPr>
          <w:rFonts w:hint="eastAsia" w:ascii="楷体_GB2312" w:eastAsia="楷体_GB2312"/>
          <w:b/>
          <w:sz w:val="32"/>
          <w:szCs w:val="32"/>
        </w:rPr>
        <w:t>一是严打暴力犯罪。</w:t>
      </w:r>
      <w:r>
        <w:rPr>
          <w:rFonts w:hint="eastAsia" w:ascii="仿宋_GB2312" w:eastAsia="仿宋_GB2312"/>
          <w:sz w:val="32"/>
          <w:szCs w:val="32"/>
        </w:rPr>
        <w:t xml:space="preserve"> 现行命案破案率保持100%，</w:t>
      </w:r>
      <w:r>
        <w:rPr>
          <w:rFonts w:hint="eastAsia" w:ascii="Times New Roman" w:hAnsi="Times New Roman" w:eastAsia="仿宋_GB2312" w:cs="仿宋_GB2312"/>
          <w:sz w:val="32"/>
          <w:szCs w:val="32"/>
        </w:rPr>
        <w:t>现行性侵未成年人案件</w:t>
      </w:r>
      <w:r>
        <w:rPr>
          <w:rFonts w:hint="eastAsia" w:eastAsia="仿宋_GB2312" w:cs="仿宋_GB2312"/>
          <w:sz w:val="32"/>
          <w:szCs w:val="32"/>
        </w:rPr>
        <w:t>全</w:t>
      </w:r>
      <w:r>
        <w:rPr>
          <w:rFonts w:hint="eastAsia" w:ascii="Times New Roman" w:hAnsi="Times New Roman" w:eastAsia="仿宋_GB2312" w:cs="仿宋_GB2312"/>
          <w:sz w:val="32"/>
          <w:szCs w:val="32"/>
        </w:rPr>
        <w:t>破</w:t>
      </w:r>
      <w:r>
        <w:rPr>
          <w:rFonts w:hint="eastAsia" w:eastAsia="仿宋_GB2312" w:cs="仿宋_GB2312"/>
          <w:sz w:val="32"/>
          <w:szCs w:val="32"/>
        </w:rPr>
        <w:t>，</w:t>
      </w:r>
      <w:r>
        <w:rPr>
          <w:rFonts w:hint="eastAsia" w:ascii="Times New Roman" w:hAnsi="Times New Roman" w:eastAsia="仿宋_GB2312" w:cs="仿宋_GB2312"/>
          <w:sz w:val="32"/>
          <w:szCs w:val="32"/>
        </w:rPr>
        <w:t>现行命案连续17年全破</w:t>
      </w:r>
      <w:r>
        <w:rPr>
          <w:rFonts w:hint="eastAsia" w:ascii="仿宋_GB2312" w:hAnsi="仿宋_GB2312" w:eastAsia="仿宋_GB2312" w:cs="仿宋_GB2312"/>
          <w:color w:val="333333"/>
          <w:sz w:val="32"/>
          <w:szCs w:val="32"/>
        </w:rPr>
        <w:t>，</w:t>
      </w:r>
      <w:r>
        <w:rPr>
          <w:rFonts w:hint="eastAsia" w:ascii="仿宋_GB2312" w:eastAsia="仿宋_GB2312"/>
          <w:sz w:val="32"/>
          <w:szCs w:val="32"/>
        </w:rPr>
        <w:t>八类严重暴力犯罪破案率保持高位。</w:t>
      </w:r>
      <w:r>
        <w:rPr>
          <w:rFonts w:hint="eastAsia" w:ascii="楷体_GB2312" w:eastAsia="楷体_GB2312"/>
          <w:b/>
          <w:sz w:val="32"/>
          <w:szCs w:val="32"/>
        </w:rPr>
        <w:t>二是惩治侵财犯罪。</w:t>
      </w:r>
      <w:r>
        <w:rPr>
          <w:rFonts w:hint="eastAsia" w:ascii="仿宋_GB2312" w:hAnsi="仿宋_GB2312" w:eastAsia="仿宋_GB2312" w:cs="仿宋_GB2312"/>
          <w:sz w:val="32"/>
          <w:szCs w:val="32"/>
        </w:rPr>
        <w:t>盗窃案件破案率65.08%；入室盗窃案件破案率76.47%</w:t>
      </w:r>
      <w:r>
        <w:rPr>
          <w:rFonts w:hint="eastAsia" w:ascii="仿宋_GB2312" w:hAnsi="仿宋_GB2312" w:eastAsia="仿宋_GB2312" w:cs="仿宋_GB2312"/>
          <w:color w:val="333333"/>
          <w:sz w:val="32"/>
          <w:szCs w:val="32"/>
        </w:rPr>
        <w:t>。破获跨区域盗窃类案件2起（跨省1起、跨市1起）</w:t>
      </w:r>
      <w:r>
        <w:rPr>
          <w:rFonts w:hint="eastAsia" w:ascii="仿宋_GB2312" w:eastAsia="仿宋_GB2312"/>
          <w:sz w:val="32"/>
          <w:szCs w:val="32"/>
        </w:rPr>
        <w:t>。</w:t>
      </w:r>
      <w:r>
        <w:rPr>
          <w:rFonts w:hint="eastAsia" w:ascii="楷体_GB2312" w:eastAsia="楷体_GB2312"/>
          <w:b/>
          <w:sz w:val="32"/>
          <w:szCs w:val="32"/>
        </w:rPr>
        <w:t>三是攻坚电诈犯罪。</w:t>
      </w:r>
      <w:r>
        <w:rPr>
          <w:rFonts w:hint="eastAsia" w:ascii="仿宋_GB2312" w:eastAsia="仿宋_GB2312"/>
          <w:sz w:val="32"/>
          <w:szCs w:val="32"/>
        </w:rPr>
        <w:t>破获电诈案件100起，抓获犯罪嫌疑人140名，预警劝阻潜在受害人188人次，止付涉案资金2000万元。</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eastAsia="zh-CN"/>
        </w:rPr>
        <w:t>（四）</w:t>
      </w:r>
      <w:r>
        <w:rPr>
          <w:rFonts w:hint="eastAsia" w:ascii="黑体" w:hAnsi="黑体" w:eastAsia="黑体"/>
          <w:sz w:val="32"/>
          <w:szCs w:val="32"/>
        </w:rPr>
        <w:t>优化营商环境，服务保障高质量发展</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主动融入发展大局，全力营造优质高效的服务环境。</w:t>
      </w:r>
      <w:r>
        <w:rPr>
          <w:rFonts w:hint="eastAsia" w:ascii="楷体_GB2312" w:eastAsia="楷体_GB2312"/>
          <w:b/>
          <w:sz w:val="32"/>
          <w:szCs w:val="32"/>
        </w:rPr>
        <w:t>一是深化政务服务。</w:t>
      </w:r>
      <w:r>
        <w:rPr>
          <w:rFonts w:hint="eastAsia" w:ascii="仿宋_GB2312" w:eastAsia="仿宋_GB2312"/>
          <w:sz w:val="32"/>
          <w:szCs w:val="32"/>
        </w:rPr>
        <w:t>深化“一窗通办”“一网通办”“跨省通办”和“一件事一次办”，简化服务流程，共处理“一件事一次办”业务200余件。</w:t>
      </w:r>
      <w:r>
        <w:rPr>
          <w:rFonts w:hint="eastAsia" w:ascii="楷体_GB2312" w:eastAsia="楷体_GB2312"/>
          <w:b/>
          <w:sz w:val="32"/>
          <w:szCs w:val="32"/>
        </w:rPr>
        <w:t>二是规范涉企执法。</w:t>
      </w:r>
      <w:r>
        <w:rPr>
          <w:rFonts w:hint="eastAsia" w:ascii="仿宋_GB2312" w:eastAsia="仿宋_GB2312"/>
          <w:sz w:val="32"/>
          <w:szCs w:val="32"/>
        </w:rPr>
        <w:t>依法慎用涉企强制措施，依法保护各类市场主体合法权益，最大限度减少执法活动对企业正常生产经营的影响。</w:t>
      </w:r>
      <w:r>
        <w:rPr>
          <w:rFonts w:hint="eastAsia" w:ascii="楷体_GB2312" w:eastAsia="楷体_GB2312"/>
          <w:b/>
          <w:sz w:val="32"/>
          <w:szCs w:val="32"/>
        </w:rPr>
        <w:t>三是维护市场秩序。</w:t>
      </w:r>
      <w:r>
        <w:rPr>
          <w:rFonts w:hint="eastAsia" w:ascii="仿宋_GB2312" w:eastAsia="仿宋_GB2312"/>
          <w:sz w:val="32"/>
          <w:szCs w:val="32"/>
        </w:rPr>
        <w:t>依法严厉打击合同诈骗、侵犯知识产权等破坏市场经济秩序的犯罪行为，破获经济犯罪案件7起，挽回经济损失1200万元。</w:t>
      </w:r>
    </w:p>
    <w:p>
      <w:pPr>
        <w:pStyle w:val="15"/>
        <w:spacing w:line="570" w:lineRule="exact"/>
        <w:ind w:firstLine="640"/>
        <w:jc w:val="both"/>
        <w:rPr>
          <w:rFonts w:ascii="Times New Roman" w:hAnsi="Times New Roman" w:eastAsia="黑体"/>
          <w:sz w:val="32"/>
          <w:szCs w:val="32"/>
        </w:rPr>
      </w:pPr>
      <w:r>
        <w:rPr>
          <w:rFonts w:ascii="Times New Roman" w:hAnsi="Times New Roman" w:eastAsia="黑体"/>
          <w:sz w:val="32"/>
          <w:szCs w:val="32"/>
        </w:rPr>
        <w:t>七、存在的问题及原因分析</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存在主要问题：因工作人员少，专业素质能力不足等问题，开展绩效自评仍然较吃力，对绩效目标、绩效指标值的设定完成等认识不足，部分绩效目标设置过于保守等。</w:t>
      </w:r>
    </w:p>
    <w:p>
      <w:pPr>
        <w:numPr>
          <w:ilvl w:val="0"/>
          <w:numId w:val="4"/>
        </w:numPr>
        <w:spacing w:line="570" w:lineRule="exact"/>
        <w:ind w:firstLine="640" w:firstLineChars="200"/>
        <w:jc w:val="both"/>
        <w:rPr>
          <w:rFonts w:eastAsia="黑体"/>
          <w:sz w:val="32"/>
          <w:szCs w:val="32"/>
        </w:rPr>
      </w:pPr>
      <w:r>
        <w:rPr>
          <w:rFonts w:eastAsia="黑体"/>
          <w:sz w:val="32"/>
          <w:szCs w:val="32"/>
        </w:rPr>
        <w:t>下一步改进措施</w:t>
      </w:r>
    </w:p>
    <w:p>
      <w:pPr>
        <w:pStyle w:val="5"/>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一是加强对财务人员的业务知识培训，提升绩效管理水平。二是完善部门预算绩效管理制度，提高对预算绩效管理的认知。</w:t>
      </w:r>
    </w:p>
    <w:p>
      <w:pPr>
        <w:numPr>
          <w:ilvl w:val="0"/>
          <w:numId w:val="4"/>
        </w:numPr>
        <w:spacing w:line="570" w:lineRule="exact"/>
        <w:ind w:left="0" w:leftChars="0" w:firstLine="640" w:firstLineChars="200"/>
        <w:jc w:val="both"/>
        <w:rPr>
          <w:rFonts w:eastAsia="黑体"/>
          <w:sz w:val="32"/>
          <w:szCs w:val="32"/>
        </w:rPr>
      </w:pPr>
      <w:r>
        <w:rPr>
          <w:rFonts w:eastAsia="黑体"/>
          <w:sz w:val="32"/>
          <w:szCs w:val="32"/>
        </w:rPr>
        <w:t>部门整体支出绩效自评结果拟应用和公开情况</w:t>
      </w:r>
    </w:p>
    <w:p>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firstLine="480" w:firstLineChars="200"/>
        <w:textAlignment w:val="baseline"/>
        <w:rPr>
          <w:rFonts w:hint="default" w:eastAsia="宋体"/>
          <w:lang w:val="en-US" w:eastAsia="zh-CN"/>
        </w:rPr>
      </w:pPr>
      <w:r>
        <w:rPr>
          <w:rFonts w:hint="eastAsia"/>
          <w:lang w:val="en-US" w:eastAsia="zh-CN"/>
        </w:rPr>
        <w:t xml:space="preserve">   </w:t>
      </w:r>
      <w:r>
        <w:rPr>
          <w:rFonts w:hint="eastAsia" w:ascii="仿宋_GB2312" w:hAnsi="仿宋_GB2312" w:eastAsia="仿宋_GB2312" w:cs="仿宋_GB2312"/>
          <w:snapToGrid w:val="0"/>
          <w:color w:val="000000"/>
          <w:kern w:val="0"/>
          <w:sz w:val="32"/>
          <w:szCs w:val="32"/>
          <w:lang w:val="en-US" w:eastAsia="zh-CN" w:bidi="ar-SA"/>
        </w:rPr>
        <w:t>通过对部门整体支出绩效自评，在平常使用资金过程中，使资金执行率、完成率更高，社会效益更好。部门整体支出绩效自评拟通过政府及财政部门门户网站予以公开。</w:t>
      </w:r>
    </w:p>
    <w:p>
      <w:pPr>
        <w:spacing w:line="570" w:lineRule="exact"/>
        <w:ind w:firstLine="640" w:firstLineChars="200"/>
        <w:jc w:val="both"/>
        <w:rPr>
          <w:rFonts w:eastAsia="黑体"/>
          <w:sz w:val="32"/>
          <w:szCs w:val="32"/>
        </w:rPr>
      </w:pPr>
      <w:r>
        <w:rPr>
          <w:rFonts w:hint="eastAsia" w:eastAsia="黑体"/>
          <w:sz w:val="32"/>
          <w:szCs w:val="32"/>
        </w:rPr>
        <w:t>十、</w:t>
      </w:r>
      <w:r>
        <w:rPr>
          <w:rFonts w:eastAsia="黑体"/>
          <w:sz w:val="32"/>
          <w:szCs w:val="32"/>
        </w:rPr>
        <w:t>其他需要说明的情况</w:t>
      </w:r>
    </w:p>
    <w:p>
      <w:pPr>
        <w:rPr>
          <w:rFonts w:hint="default" w:ascii="仿宋_GB2312" w:hAnsi="仿宋_GB2312" w:eastAsia="仿宋_GB2312" w:cs="仿宋_GB2312"/>
          <w:kern w:val="2"/>
          <w:sz w:val="32"/>
          <w:szCs w:val="32"/>
          <w:lang w:val="en-US" w:eastAsia="zh-CN" w:bidi="ar-SA"/>
        </w:rPr>
      </w:pPr>
      <w:r>
        <w:rPr>
          <w:rFonts w:hint="eastAsia"/>
          <w:lang w:val="en-US" w:eastAsia="zh-CN"/>
        </w:rPr>
        <w:t xml:space="preserve">      。</w:t>
      </w:r>
      <w:r>
        <w:rPr>
          <w:rFonts w:hint="eastAsia" w:ascii="仿宋_GB2312" w:hAnsi="仿宋_GB2312" w:eastAsia="仿宋_GB2312" w:cs="仿宋_GB2312"/>
          <w:kern w:val="2"/>
          <w:sz w:val="32"/>
          <w:szCs w:val="32"/>
          <w:lang w:val="en-US" w:eastAsia="zh-CN" w:bidi="ar-SA"/>
        </w:rPr>
        <w:t>无</w:t>
      </w: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宋体-方正超大字符集"/>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宋体-方正超大字符集">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94D4DD"/>
    <w:multiLevelType w:val="singleLevel"/>
    <w:tmpl w:val="8A94D4DD"/>
    <w:lvl w:ilvl="0" w:tentative="0">
      <w:start w:val="3"/>
      <w:numFmt w:val="chineseCounting"/>
      <w:suff w:val="nothing"/>
      <w:lvlText w:val="%1、"/>
      <w:lvlJc w:val="left"/>
      <w:rPr>
        <w:rFonts w:hint="eastAsia"/>
      </w:rPr>
    </w:lvl>
  </w:abstractNum>
  <w:abstractNum w:abstractNumId="1">
    <w:nsid w:val="AD7B7228"/>
    <w:multiLevelType w:val="singleLevel"/>
    <w:tmpl w:val="AD7B7228"/>
    <w:lvl w:ilvl="0" w:tentative="0">
      <w:start w:val="8"/>
      <w:numFmt w:val="chineseCounting"/>
      <w:suff w:val="nothing"/>
      <w:lvlText w:val="%1、"/>
      <w:lvlJc w:val="left"/>
      <w:rPr>
        <w:rFonts w:hint="eastAsia"/>
      </w:rPr>
    </w:lvl>
  </w:abstractNum>
  <w:abstractNum w:abstractNumId="2">
    <w:nsid w:val="D2D54B47"/>
    <w:multiLevelType w:val="singleLevel"/>
    <w:tmpl w:val="D2D54B47"/>
    <w:lvl w:ilvl="0" w:tentative="0">
      <w:start w:val="3"/>
      <w:numFmt w:val="decimal"/>
      <w:suff w:val="nothing"/>
      <w:lvlText w:val="%1、"/>
      <w:lvlJc w:val="left"/>
    </w:lvl>
  </w:abstractNum>
  <w:abstractNum w:abstractNumId="3">
    <w:nsid w:val="7F2B295F"/>
    <w:multiLevelType w:val="singleLevel"/>
    <w:tmpl w:val="7F2B295F"/>
    <w:lvl w:ilvl="0" w:tentative="0">
      <w:start w:val="4"/>
      <w:numFmt w:val="chineseCounting"/>
      <w:suff w:val="space"/>
      <w:lvlText w:val="第%1部分"/>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C96E5F"/>
    <w:rsid w:val="13FE7116"/>
    <w:rsid w:val="1D97DEFF"/>
    <w:rsid w:val="1DAC215B"/>
    <w:rsid w:val="1DFF72E5"/>
    <w:rsid w:val="1E847249"/>
    <w:rsid w:val="1EFC6F07"/>
    <w:rsid w:val="249B7109"/>
    <w:rsid w:val="2FDF85B8"/>
    <w:rsid w:val="2FFFEE04"/>
    <w:rsid w:val="33761FCF"/>
    <w:rsid w:val="34B25EF2"/>
    <w:rsid w:val="34DF85B0"/>
    <w:rsid w:val="3B8F36BC"/>
    <w:rsid w:val="491FF225"/>
    <w:rsid w:val="4FFD214C"/>
    <w:rsid w:val="5777D4F5"/>
    <w:rsid w:val="59DD8326"/>
    <w:rsid w:val="5B8A7321"/>
    <w:rsid w:val="5DEF592A"/>
    <w:rsid w:val="5FC6BB1E"/>
    <w:rsid w:val="5FF720F1"/>
    <w:rsid w:val="67FF5C0B"/>
    <w:rsid w:val="683F7A22"/>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4"/>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17</Words>
  <Characters>21</Characters>
  <Lines>69</Lines>
  <Paragraphs>19</Paragraphs>
  <TotalTime>15</TotalTime>
  <ScaleCrop>false</ScaleCrop>
  <LinksUpToDate>false</LinksUpToDate>
  <CharactersWithSpaces>21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lenovo</cp:lastModifiedBy>
  <cp:lastPrinted>2024-08-10T02:20:00Z</cp:lastPrinted>
  <dcterms:modified xsi:type="dcterms:W3CDTF">2026-09-28T08:24:34Z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B9DAAAE26D4341068B5978E83715A6F1_13</vt:lpwstr>
  </property>
</Properties>
</file>